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744855</wp:posOffset>
            </wp:positionH>
            <wp:positionV relativeFrom="page">
              <wp:posOffset>271780</wp:posOffset>
            </wp:positionV>
            <wp:extent cx="660781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7810" cy="6985"/>
                    </a:xfrm>
                    <a:prstGeom prst="rect">
                      <a:avLst/>
                    </a:prstGeom>
                    <a:noFill/>
                  </pic:spPr>
                </pic:pic>
              </a:graphicData>
            </a:graphic>
          </wp:anchor>
        </w:drawing>
        <w:drawing>
          <wp:anchor simplePos="0" relativeHeight="251657728" behindDoc="1" locked="0" layoutInCell="0" allowOverlap="1">
            <wp:simplePos x="0" y="0"/>
            <wp:positionH relativeFrom="page">
              <wp:posOffset>744855</wp:posOffset>
            </wp:positionH>
            <wp:positionV relativeFrom="page">
              <wp:posOffset>285750</wp:posOffset>
            </wp:positionV>
            <wp:extent cx="66078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7810" cy="698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3305810</wp:posOffset>
            </wp:positionH>
            <wp:positionV relativeFrom="paragraph">
              <wp:posOffset>45720</wp:posOffset>
            </wp:positionV>
            <wp:extent cx="556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6260" cy="6985"/>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3305810</wp:posOffset>
            </wp:positionH>
            <wp:positionV relativeFrom="paragraph">
              <wp:posOffset>61595</wp:posOffset>
            </wp:positionV>
            <wp:extent cx="55626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260" cy="6985"/>
                    </a:xfrm>
                    <a:prstGeom prst="rect">
                      <a:avLst/>
                    </a:prstGeom>
                    <a:noFill/>
                  </pic:spPr>
                </pic:pic>
              </a:graphicData>
            </a:graphic>
          </wp:anchor>
        </w:drawing>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4" w:lineRule="exact"/>
        <w:rPr>
          <w:sz w:val="24"/>
          <w:szCs w:val="24"/>
          <w:color w:val="auto"/>
        </w:rPr>
      </w:pPr>
    </w:p>
    <w:p>
      <w:pPr>
        <w:jc w:val="right"/>
        <w:ind w:left="4240" w:right="4240" w:hanging="4231"/>
        <w:spacing w:after="0" w:line="318" w:lineRule="auto"/>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-237490</wp:posOffset>
            </wp:positionV>
            <wp:extent cx="64135" cy="64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35" cy="647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OR</w:t>
      </w:r>
    </w:p>
    <w:p>
      <w:pPr>
        <w:spacing w:after="0" w:line="33" w:lineRule="exact"/>
        <w:rPr>
          <w:sz w:val="24"/>
          <w:szCs w:val="24"/>
          <w:color w:val="auto"/>
        </w:rPr>
      </w:pPr>
    </w:p>
    <w:p>
      <w:pPr>
        <w:spacing w:after="0"/>
        <w:tabs>
          <w:tab w:leader="none" w:pos="440" w:val="left"/>
          <w:tab w:leader="none" w:pos="1052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b w:val="1"/>
          <w:bCs w:val="1"/>
          <w:color w:val="auto"/>
        </w:rPr>
        <w:t>TRANSITION REPORT PURSUANT TO SECTION 13 OR 15(d) OF THE SECURITIES EXCHANGE ACT OF 1934 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-62230</wp:posOffset>
            </wp:positionV>
            <wp:extent cx="64135" cy="64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35" cy="6477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Commission File Number 001-07782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2630170</wp:posOffset>
            </wp:positionH>
            <wp:positionV relativeFrom="paragraph">
              <wp:posOffset>62230</wp:posOffset>
            </wp:positionV>
            <wp:extent cx="1913890" cy="401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3890" cy="401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397"/>
        </w:trPr>
        <w:tc>
          <w:tcPr>
            <w:tcW w:w="11280" w:type="dxa"/>
            <w:vAlign w:val="bottom"/>
            <w:gridSpan w:val="9"/>
          </w:tcPr>
          <w:p>
            <w:pPr>
              <w:jc w:val="center"/>
              <w:spacing w:after="0"/>
              <w:rPr>
                <w:sz w:val="20"/>
                <w:szCs w:val="20"/>
                <w:color w:val="auto"/>
              </w:rPr>
            </w:pPr>
            <w:r>
              <w:rPr>
                <w:rFonts w:ascii="Arial" w:cs="Arial" w:eastAsia="Arial" w:hAnsi="Arial"/>
                <w:sz w:val="33"/>
                <w:szCs w:val="33"/>
                <w:b w:val="1"/>
                <w:bCs w:val="1"/>
                <w:color w:val="auto"/>
                <w:w w:val="97"/>
              </w:rPr>
              <w:t>PARSONS CORPORATION</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3340" w:type="dxa"/>
            <w:vAlign w:val="bottom"/>
            <w:gridSpan w:val="7"/>
          </w:tcPr>
          <w:p>
            <w:pPr>
              <w:jc w:val="center"/>
              <w:ind w:right="60"/>
              <w:spacing w:after="0"/>
              <w:rPr>
                <w:sz w:val="20"/>
                <w:szCs w:val="20"/>
                <w:color w:val="auto"/>
              </w:rPr>
            </w:pPr>
            <w:r>
              <w:rPr>
                <w:rFonts w:ascii="Arial" w:cs="Arial" w:eastAsia="Arial" w:hAnsi="Arial"/>
                <w:sz w:val="11"/>
                <w:szCs w:val="11"/>
                <w:b w:val="1"/>
                <w:bCs w:val="1"/>
                <w:color w:val="auto"/>
              </w:rPr>
              <w:t>(Exact name of Registrant as Specified in Its Charter)</w:t>
            </w: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vMerge w:val="restart"/>
          </w:tcPr>
          <w:p>
            <w:pPr>
              <w:jc w:val="center"/>
              <w:ind w:left="1512"/>
              <w:spacing w:after="0"/>
              <w:rPr>
                <w:sz w:val="20"/>
                <w:szCs w:val="20"/>
                <w:color w:val="auto"/>
              </w:rPr>
            </w:pPr>
            <w:r>
              <w:rPr>
                <w:rFonts w:ascii="Arial" w:cs="Arial" w:eastAsia="Arial" w:hAnsi="Arial"/>
                <w:sz w:val="13"/>
                <w:szCs w:val="13"/>
                <w:b w:val="1"/>
                <w:bCs w:val="1"/>
                <w:color w:val="auto"/>
              </w:rPr>
              <w:t>Delaware</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40" w:type="dxa"/>
            <w:vAlign w:val="bottom"/>
            <w:vMerge w:val="restart"/>
          </w:tcPr>
          <w:p>
            <w:pPr>
              <w:jc w:val="right"/>
              <w:ind w:right="2383"/>
              <w:spacing w:after="0"/>
              <w:rPr>
                <w:sz w:val="20"/>
                <w:szCs w:val="20"/>
                <w:color w:val="auto"/>
              </w:rPr>
            </w:pPr>
            <w:r>
              <w:rPr>
                <w:rFonts w:ascii="Arial" w:cs="Arial" w:eastAsia="Arial" w:hAnsi="Arial"/>
                <w:sz w:val="13"/>
                <w:szCs w:val="13"/>
                <w:b w:val="1"/>
                <w:bCs w:val="1"/>
                <w:color w:val="auto"/>
              </w:rPr>
              <w:t>95-3232481</w:t>
            </w:r>
          </w:p>
        </w:tc>
        <w:tc>
          <w:tcPr>
            <w:tcW w:w="0" w:type="dxa"/>
            <w:vAlign w:val="bottom"/>
          </w:tcPr>
          <w:p>
            <w:pPr>
              <w:spacing w:after="0"/>
              <w:rPr>
                <w:sz w:val="1"/>
                <w:szCs w:val="1"/>
                <w:color w:val="auto"/>
              </w:rPr>
            </w:pPr>
          </w:p>
        </w:tc>
      </w:tr>
      <w:tr>
        <w:trPr>
          <w:trHeight w:val="196"/>
        </w:trPr>
        <w:tc>
          <w:tcPr>
            <w:tcW w:w="4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4000" w:type="dxa"/>
            <w:vAlign w:val="bottom"/>
          </w:tcPr>
          <w:p>
            <w:pPr>
              <w:jc w:val="center"/>
              <w:ind w:left="1512"/>
              <w:spacing w:after="0" w:line="111" w:lineRule="exact"/>
              <w:rPr>
                <w:sz w:val="20"/>
                <w:szCs w:val="20"/>
                <w:color w:val="auto"/>
              </w:rPr>
            </w:pPr>
            <w:r>
              <w:rPr>
                <w:rFonts w:ascii="Arial" w:cs="Arial" w:eastAsia="Arial" w:hAnsi="Arial"/>
                <w:sz w:val="10"/>
                <w:szCs w:val="10"/>
                <w:b w:val="1"/>
                <w:bCs w:val="1"/>
                <w:color w:val="auto"/>
              </w:rPr>
              <w:t>(State or other jurisdiction of</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940" w:type="dxa"/>
            <w:vAlign w:val="bottom"/>
          </w:tcPr>
          <w:p>
            <w:pPr>
              <w:jc w:val="center"/>
              <w:ind w:right="1583"/>
              <w:spacing w:after="0" w:line="111" w:lineRule="exact"/>
              <w:rPr>
                <w:sz w:val="20"/>
                <w:szCs w:val="20"/>
                <w:color w:val="auto"/>
              </w:rPr>
            </w:pPr>
            <w:r>
              <w:rPr>
                <w:rFonts w:ascii="Arial" w:cs="Arial" w:eastAsia="Arial" w:hAnsi="Arial"/>
                <w:sz w:val="10"/>
                <w:szCs w:val="10"/>
                <w:b w:val="1"/>
                <w:bCs w:val="1"/>
                <w:color w:val="auto"/>
              </w:rPr>
              <w:t>(I.R.S. Employer</w:t>
            </w:r>
          </w:p>
        </w:tc>
        <w:tc>
          <w:tcPr>
            <w:tcW w:w="0" w:type="dxa"/>
            <w:vAlign w:val="bottom"/>
          </w:tcPr>
          <w:p>
            <w:pPr>
              <w:spacing w:after="0"/>
              <w:rPr>
                <w:sz w:val="1"/>
                <w:szCs w:val="1"/>
                <w:color w:val="auto"/>
              </w:rPr>
            </w:pPr>
          </w:p>
        </w:tc>
      </w:tr>
      <w:tr>
        <w:trPr>
          <w:trHeight w:val="113"/>
        </w:trPr>
        <w:tc>
          <w:tcPr>
            <w:tcW w:w="4000" w:type="dxa"/>
            <w:vAlign w:val="bottom"/>
          </w:tcPr>
          <w:p>
            <w:pPr>
              <w:jc w:val="center"/>
              <w:ind w:left="1532"/>
              <w:spacing w:after="0" w:line="114" w:lineRule="exact"/>
              <w:rPr>
                <w:sz w:val="20"/>
                <w:szCs w:val="20"/>
                <w:color w:val="auto"/>
              </w:rPr>
            </w:pPr>
            <w:r>
              <w:rPr>
                <w:rFonts w:ascii="Arial" w:cs="Arial" w:eastAsia="Arial" w:hAnsi="Arial"/>
                <w:sz w:val="10"/>
                <w:szCs w:val="10"/>
                <w:b w:val="1"/>
                <w:bCs w:val="1"/>
                <w:color w:val="auto"/>
              </w:rPr>
              <w:t>incorporation or organization)</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940" w:type="dxa"/>
            <w:vAlign w:val="bottom"/>
          </w:tcPr>
          <w:p>
            <w:pPr>
              <w:jc w:val="center"/>
              <w:ind w:right="1583"/>
              <w:spacing w:after="0" w:line="114" w:lineRule="exact"/>
              <w:rPr>
                <w:sz w:val="20"/>
                <w:szCs w:val="20"/>
                <w:color w:val="auto"/>
              </w:rPr>
            </w:pPr>
            <w:r>
              <w:rPr>
                <w:rFonts w:ascii="Arial" w:cs="Arial" w:eastAsia="Arial" w:hAnsi="Arial"/>
                <w:sz w:val="10"/>
                <w:szCs w:val="10"/>
                <w:b w:val="1"/>
                <w:bCs w:val="1"/>
                <w:color w:val="auto"/>
              </w:rPr>
              <w:t>Identification No.)</w:t>
            </w:r>
          </w:p>
        </w:tc>
        <w:tc>
          <w:tcPr>
            <w:tcW w:w="0" w:type="dxa"/>
            <w:vAlign w:val="bottom"/>
          </w:tcPr>
          <w:p>
            <w:pPr>
              <w:spacing w:after="0"/>
              <w:rPr>
                <w:sz w:val="1"/>
                <w:szCs w:val="1"/>
                <w:color w:val="auto"/>
              </w:rPr>
            </w:pPr>
          </w:p>
        </w:tc>
      </w:tr>
      <w:tr>
        <w:trPr>
          <w:trHeight w:val="155"/>
        </w:trPr>
        <w:tc>
          <w:tcPr>
            <w:tcW w:w="4000" w:type="dxa"/>
            <w:vAlign w:val="bottom"/>
          </w:tcPr>
          <w:p>
            <w:pPr>
              <w:jc w:val="center"/>
              <w:ind w:left="1512"/>
              <w:spacing w:after="0"/>
              <w:rPr>
                <w:sz w:val="20"/>
                <w:szCs w:val="20"/>
                <w:color w:val="auto"/>
              </w:rPr>
            </w:pPr>
            <w:r>
              <w:rPr>
                <w:rFonts w:ascii="Arial" w:cs="Arial" w:eastAsia="Arial" w:hAnsi="Arial"/>
                <w:sz w:val="13"/>
                <w:szCs w:val="13"/>
                <w:b w:val="1"/>
                <w:bCs w:val="1"/>
                <w:color w:val="auto"/>
              </w:rPr>
              <w:t>5875 Trinity Parkway, #300,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00" w:type="dxa"/>
            <w:vAlign w:val="bottom"/>
          </w:tcPr>
          <w:p>
            <w:pPr>
              <w:jc w:val="center"/>
              <w:ind w:left="1532"/>
              <w:spacing w:after="0"/>
              <w:rPr>
                <w:sz w:val="20"/>
                <w:szCs w:val="20"/>
                <w:color w:val="auto"/>
              </w:rPr>
            </w:pPr>
            <w:r>
              <w:rPr>
                <w:rFonts w:ascii="Arial" w:cs="Arial" w:eastAsia="Arial" w:hAnsi="Arial"/>
                <w:sz w:val="13"/>
                <w:szCs w:val="13"/>
                <w:b w:val="1"/>
                <w:bCs w:val="1"/>
                <w:color w:val="auto"/>
              </w:rPr>
              <w:t>Centreville, VA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940" w:type="dxa"/>
            <w:vAlign w:val="bottom"/>
          </w:tcPr>
          <w:p>
            <w:pPr>
              <w:jc w:val="right"/>
              <w:ind w:right="2543"/>
              <w:spacing w:after="0"/>
              <w:rPr>
                <w:sz w:val="20"/>
                <w:szCs w:val="20"/>
                <w:color w:val="auto"/>
              </w:rPr>
            </w:pPr>
            <w:r>
              <w:rPr>
                <w:rFonts w:ascii="Arial" w:cs="Arial" w:eastAsia="Arial" w:hAnsi="Arial"/>
                <w:sz w:val="13"/>
                <w:szCs w:val="13"/>
                <w:b w:val="1"/>
                <w:bCs w:val="1"/>
                <w:color w:val="auto"/>
              </w:rPr>
              <w:t>21120</w:t>
            </w:r>
          </w:p>
        </w:tc>
        <w:tc>
          <w:tcPr>
            <w:tcW w:w="0" w:type="dxa"/>
            <w:vAlign w:val="bottom"/>
          </w:tcPr>
          <w:p>
            <w:pPr>
              <w:spacing w:after="0"/>
              <w:rPr>
                <w:sz w:val="1"/>
                <w:szCs w:val="1"/>
                <w:color w:val="auto"/>
              </w:rPr>
            </w:pPr>
          </w:p>
        </w:tc>
      </w:tr>
      <w:tr>
        <w:trPr>
          <w:trHeight w:val="136"/>
        </w:trPr>
        <w:tc>
          <w:tcPr>
            <w:tcW w:w="4000" w:type="dxa"/>
            <w:vAlign w:val="bottom"/>
          </w:tcPr>
          <w:p>
            <w:pPr>
              <w:jc w:val="center"/>
              <w:ind w:left="1532"/>
              <w:spacing w:after="0"/>
              <w:rPr>
                <w:sz w:val="20"/>
                <w:szCs w:val="20"/>
                <w:color w:val="auto"/>
              </w:rPr>
            </w:pPr>
            <w:r>
              <w:rPr>
                <w:rFonts w:ascii="Arial" w:cs="Arial" w:eastAsia="Arial" w:hAnsi="Arial"/>
                <w:sz w:val="10"/>
                <w:szCs w:val="10"/>
                <w:b w:val="1"/>
                <w:bCs w:val="1"/>
                <w:color w:val="auto"/>
              </w:rPr>
              <w:t>(Address of principal executive offices)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940" w:type="dxa"/>
            <w:vAlign w:val="bottom"/>
          </w:tcPr>
          <w:p>
            <w:pPr>
              <w:jc w:val="center"/>
              <w:ind w:right="1583"/>
              <w:spacing w:after="0"/>
              <w:rPr>
                <w:sz w:val="20"/>
                <w:szCs w:val="20"/>
                <w:color w:val="auto"/>
              </w:rPr>
            </w:pPr>
            <w:r>
              <w:rPr>
                <w:rFonts w:ascii="Arial" w:cs="Arial" w:eastAsia="Arial" w:hAnsi="Arial"/>
                <w:sz w:val="10"/>
                <w:szCs w:val="10"/>
                <w:b w:val="1"/>
                <w:bCs w:val="1"/>
                <w:color w:val="auto"/>
              </w:rPr>
              <w:t>(Zip Code)</w:t>
            </w:r>
          </w:p>
        </w:tc>
        <w:tc>
          <w:tcPr>
            <w:tcW w:w="0" w:type="dxa"/>
            <w:vAlign w:val="bottom"/>
          </w:tcPr>
          <w:p>
            <w:pPr>
              <w:spacing w:after="0"/>
              <w:rPr>
                <w:sz w:val="1"/>
                <w:szCs w:val="1"/>
                <w:color w:val="auto"/>
              </w:rPr>
            </w:pPr>
          </w:p>
        </w:tc>
      </w:tr>
      <w:tr>
        <w:trPr>
          <w:trHeight w:val="198"/>
        </w:trPr>
        <w:tc>
          <w:tcPr>
            <w:tcW w:w="11280" w:type="dxa"/>
            <w:vAlign w:val="bottom"/>
            <w:gridSpan w:val="9"/>
          </w:tcPr>
          <w:p>
            <w:pPr>
              <w:jc w:val="center"/>
              <w:spacing w:after="0"/>
              <w:rPr>
                <w:sz w:val="20"/>
                <w:szCs w:val="20"/>
                <w:color w:val="auto"/>
              </w:rPr>
            </w:pPr>
            <w:r>
              <w:rPr>
                <w:rFonts w:ascii="Arial" w:cs="Arial" w:eastAsia="Arial" w:hAnsi="Arial"/>
                <w:sz w:val="13"/>
                <w:szCs w:val="13"/>
                <w:b w:val="1"/>
                <w:bCs w:val="1"/>
                <w:color w:val="auto"/>
              </w:rPr>
              <w:t>Registrant’s telephone number, including area code: (703) 988-8500</w:t>
            </w:r>
          </w:p>
        </w:tc>
        <w:tc>
          <w:tcPr>
            <w:tcW w:w="0" w:type="dxa"/>
            <w:vAlign w:val="bottom"/>
          </w:tcPr>
          <w:p>
            <w:pPr>
              <w:spacing w:after="0"/>
              <w:rPr>
                <w:sz w:val="1"/>
                <w:szCs w:val="1"/>
                <w:color w:val="auto"/>
              </w:rPr>
            </w:pPr>
          </w:p>
        </w:tc>
      </w:tr>
      <w:tr>
        <w:trPr>
          <w:trHeight w:val="60"/>
        </w:trPr>
        <w:tc>
          <w:tcPr>
            <w:tcW w:w="4000" w:type="dxa"/>
            <w:vAlign w:val="bottom"/>
            <w:vMerge w:val="restart"/>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0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20" w:type="dxa"/>
            <w:vAlign w:val="bottom"/>
            <w:gridSpan w:val="5"/>
          </w:tcPr>
          <w:p>
            <w:pPr>
              <w:jc w:val="center"/>
              <w:ind w:right="1240"/>
              <w:spacing w:after="0"/>
              <w:rPr>
                <w:sz w:val="20"/>
                <w:szCs w:val="20"/>
                <w:color w:val="auto"/>
              </w:rPr>
            </w:pPr>
            <w:r>
              <w:rPr>
                <w:rFonts w:ascii="Arial" w:cs="Arial" w:eastAsia="Arial" w:hAnsi="Arial"/>
                <w:sz w:val="10"/>
                <w:szCs w:val="10"/>
                <w:b w:val="1"/>
                <w:bCs w:val="1"/>
                <w:color w:val="auto"/>
                <w:w w:val="98"/>
              </w:rPr>
              <w:t>Trading</w:t>
            </w:r>
          </w:p>
        </w:tc>
        <w:tc>
          <w:tcPr>
            <w:tcW w:w="3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000" w:type="dxa"/>
            <w:vAlign w:val="bottom"/>
            <w:tcBorders>
              <w:bottom w:val="single" w:sz="8" w:color="auto"/>
            </w:tcBorders>
          </w:tcPr>
          <w:p>
            <w:pPr>
              <w:jc w:val="center"/>
              <w:ind w:left="232"/>
              <w:spacing w:after="0"/>
              <w:rPr>
                <w:sz w:val="20"/>
                <w:szCs w:val="20"/>
                <w:color w:val="auto"/>
              </w:rPr>
            </w:pPr>
            <w:r>
              <w:rPr>
                <w:rFonts w:ascii="Arial" w:cs="Arial" w:eastAsia="Arial" w:hAnsi="Arial"/>
                <w:sz w:val="10"/>
                <w:szCs w:val="10"/>
                <w:b w:val="1"/>
                <w:bCs w:val="1"/>
                <w:color w:val="auto"/>
              </w:rPr>
              <w:t>Title of each class</w:t>
            </w:r>
          </w:p>
        </w:tc>
        <w:tc>
          <w:tcPr>
            <w:tcW w:w="3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rPr>
              <w:t>Symbol(s)</w:t>
            </w:r>
          </w:p>
        </w:tc>
        <w:tc>
          <w:tcPr>
            <w:tcW w:w="12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940" w:type="dxa"/>
            <w:vAlign w:val="bottom"/>
            <w:tcBorders>
              <w:bottom w:val="single" w:sz="8" w:color="auto"/>
            </w:tcBorders>
          </w:tcPr>
          <w:p>
            <w:pPr>
              <w:jc w:val="center"/>
              <w:ind w:right="1063"/>
              <w:spacing w:after="0"/>
              <w:rPr>
                <w:sz w:val="20"/>
                <w:szCs w:val="20"/>
                <w:color w:val="auto"/>
              </w:rPr>
            </w:pPr>
            <w:r>
              <w:rPr>
                <w:rFonts w:ascii="Arial" w:cs="Arial" w:eastAsia="Arial" w:hAnsi="Arial"/>
                <w:sz w:val="10"/>
                <w:szCs w:val="10"/>
                <w:b w:val="1"/>
                <w:bCs w:val="1"/>
                <w:color w:val="auto"/>
              </w:rPr>
              <w:t>Name of each exchange on which registered</w:t>
            </w:r>
          </w:p>
        </w:tc>
        <w:tc>
          <w:tcPr>
            <w:tcW w:w="0" w:type="dxa"/>
            <w:vAlign w:val="bottom"/>
          </w:tcPr>
          <w:p>
            <w:pPr>
              <w:spacing w:after="0"/>
              <w:rPr>
                <w:sz w:val="1"/>
                <w:szCs w:val="1"/>
                <w:color w:val="auto"/>
              </w:rPr>
            </w:pPr>
          </w:p>
        </w:tc>
      </w:tr>
      <w:tr>
        <w:trPr>
          <w:trHeight w:val="136"/>
        </w:trPr>
        <w:tc>
          <w:tcPr>
            <w:tcW w:w="4000" w:type="dxa"/>
            <w:vAlign w:val="bottom"/>
          </w:tcPr>
          <w:p>
            <w:pPr>
              <w:jc w:val="center"/>
              <w:ind w:left="252"/>
              <w:spacing w:after="0" w:line="136" w:lineRule="exact"/>
              <w:rPr>
                <w:sz w:val="20"/>
                <w:szCs w:val="20"/>
                <w:color w:val="auto"/>
              </w:rPr>
            </w:pPr>
            <w:r>
              <w:rPr>
                <w:rFonts w:ascii="Arial" w:cs="Arial" w:eastAsia="Arial" w:hAnsi="Arial"/>
                <w:sz w:val="12"/>
                <w:szCs w:val="12"/>
                <w:color w:val="auto"/>
                <w:w w:val="98"/>
              </w:rPr>
              <w:t>Common Stock, $1 par value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20" w:type="dxa"/>
            <w:vAlign w:val="bottom"/>
            <w:gridSpan w:val="5"/>
          </w:tcPr>
          <w:p>
            <w:pPr>
              <w:jc w:val="center"/>
              <w:ind w:right="1240"/>
              <w:spacing w:after="0" w:line="136" w:lineRule="exact"/>
              <w:rPr>
                <w:sz w:val="20"/>
                <w:szCs w:val="20"/>
                <w:color w:val="auto"/>
              </w:rPr>
            </w:pPr>
            <w:r>
              <w:rPr>
                <w:rFonts w:ascii="Arial" w:cs="Arial" w:eastAsia="Arial" w:hAnsi="Arial"/>
                <w:sz w:val="12"/>
                <w:szCs w:val="12"/>
                <w:color w:val="auto"/>
                <w:w w:val="97"/>
              </w:rPr>
              <w:t>PSN</w:t>
            </w:r>
          </w:p>
        </w:tc>
        <w:tc>
          <w:tcPr>
            <w:tcW w:w="3940" w:type="dxa"/>
            <w:vAlign w:val="bottom"/>
          </w:tcPr>
          <w:p>
            <w:pPr>
              <w:jc w:val="center"/>
              <w:ind w:right="1063"/>
              <w:spacing w:after="0" w:line="136" w:lineRule="exact"/>
              <w:rPr>
                <w:sz w:val="20"/>
                <w:szCs w:val="20"/>
                <w:color w:val="auto"/>
              </w:rPr>
            </w:pPr>
            <w:r>
              <w:rPr>
                <w:rFonts w:ascii="Arial" w:cs="Arial" w:eastAsia="Arial" w:hAnsi="Arial"/>
                <w:sz w:val="12"/>
                <w:szCs w:val="12"/>
                <w:color w:val="auto"/>
                <w:w w:val="97"/>
              </w:rPr>
              <w:t>New York Stock Exchange</w:t>
            </w:r>
          </w:p>
        </w:tc>
        <w:tc>
          <w:tcPr>
            <w:tcW w:w="0" w:type="dxa"/>
            <w:vAlign w:val="bottom"/>
          </w:tcPr>
          <w:p>
            <w:pPr>
              <w:spacing w:after="0"/>
              <w:rPr>
                <w:sz w:val="1"/>
                <w:szCs w:val="1"/>
                <w:color w:val="auto"/>
              </w:rPr>
            </w:pPr>
          </w:p>
        </w:tc>
      </w:tr>
    </w:tbl>
    <w:p>
      <w:pPr>
        <w:spacing w:after="0" w:line="18"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Securities registered pursuant to Section 12(g) of the Act: </w:t>
      </w:r>
      <w:r>
        <w:rPr>
          <w:rFonts w:ascii="Arial" w:cs="Arial" w:eastAsia="Arial" w:hAnsi="Arial"/>
          <w:sz w:val="11"/>
          <w:szCs w:val="11"/>
          <w:b w:val="1"/>
          <w:bCs w:val="1"/>
          <w:color w:val="auto"/>
        </w:rPr>
        <w:t>None</w:t>
      </w:r>
    </w:p>
    <w:p>
      <w:pPr>
        <w:spacing w:after="0" w:line="25" w:lineRule="exact"/>
        <w:rPr>
          <w:sz w:val="24"/>
          <w:szCs w:val="24"/>
          <w:color w:val="auto"/>
        </w:rPr>
      </w:pPr>
    </w:p>
    <w:p>
      <w:pPr>
        <w:ind w:right="4860"/>
        <w:spacing w:after="0" w:line="170"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520"/>
        <w:spacing w:after="0" w:line="133"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60"/>
        <w:spacing w:after="0" w:line="133"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3" w:lineRule="exact"/>
        <w:rPr>
          <w:sz w:val="24"/>
          <w:szCs w:val="24"/>
          <w:color w:val="auto"/>
        </w:rPr>
      </w:pPr>
    </w:p>
    <w:p>
      <w:pPr>
        <w:ind w:right="320"/>
        <w:spacing w:after="0" w:line="242"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129"/>
        </w:trPr>
        <w:tc>
          <w:tcPr>
            <w:tcW w:w="19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7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040"/>
              <w:spacing w:after="0"/>
              <w:rPr>
                <w:sz w:val="20"/>
                <w:szCs w:val="20"/>
                <w:color w:val="auto"/>
              </w:rPr>
            </w:pPr>
            <w:r>
              <w:rPr>
                <w:rFonts w:ascii="Arial" w:cs="Arial" w:eastAsia="Arial" w:hAnsi="Arial"/>
                <w:sz w:val="11"/>
                <w:szCs w:val="11"/>
                <w:color w:val="auto"/>
              </w:rPr>
              <w:t>Accelerated filer</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22"/>
        </w:trPr>
        <w:tc>
          <w:tcPr>
            <w:tcW w:w="1900" w:type="dxa"/>
            <w:vAlign w:val="bottom"/>
          </w:tcPr>
          <w:p>
            <w:pPr>
              <w:spacing w:after="0" w:line="122" w:lineRule="exact"/>
              <w:rPr>
                <w:sz w:val="20"/>
                <w:szCs w:val="20"/>
                <w:color w:val="auto"/>
              </w:rPr>
            </w:pPr>
            <w:r>
              <w:rPr>
                <w:rFonts w:ascii="Arial" w:cs="Arial" w:eastAsia="Arial" w:hAnsi="Arial"/>
                <w:sz w:val="11"/>
                <w:szCs w:val="11"/>
                <w:color w:val="auto"/>
              </w:rPr>
              <w:t>Non-accelerated filer</w:t>
            </w:r>
          </w:p>
        </w:tc>
        <w:tc>
          <w:tcPr>
            <w:tcW w:w="37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ind w:left="3040"/>
              <w:spacing w:after="0" w:line="122" w:lineRule="exact"/>
              <w:rPr>
                <w:sz w:val="20"/>
                <w:szCs w:val="20"/>
                <w:color w:val="auto"/>
              </w:rPr>
            </w:pPr>
            <w:r>
              <w:rPr>
                <w:rFonts w:ascii="Arial" w:cs="Arial" w:eastAsia="Arial" w:hAnsi="Arial"/>
                <w:sz w:val="11"/>
                <w:szCs w:val="11"/>
                <w:color w:val="auto"/>
              </w:rPr>
              <w:t>Smaller reporting company</w:t>
            </w:r>
          </w:p>
        </w:tc>
        <w:tc>
          <w:tcPr>
            <w:tcW w:w="680" w:type="dxa"/>
            <w:vAlign w:val="bottom"/>
          </w:tcPr>
          <w:p>
            <w:pPr>
              <w:ind w:left="5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3"/>
        </w:trPr>
        <w:tc>
          <w:tcPr>
            <w:tcW w:w="1900" w:type="dxa"/>
            <w:vAlign w:val="bottom"/>
          </w:tcPr>
          <w:p>
            <w:pPr>
              <w:spacing w:after="0"/>
              <w:rPr>
                <w:sz w:val="20"/>
                <w:szCs w:val="20"/>
                <w:color w:val="auto"/>
              </w:rPr>
            </w:pPr>
            <w:r>
              <w:rPr>
                <w:rFonts w:ascii="Arial" w:cs="Arial" w:eastAsia="Arial" w:hAnsi="Arial"/>
                <w:sz w:val="11"/>
                <w:szCs w:val="11"/>
                <w:color w:val="auto"/>
              </w:rPr>
              <w:t>Emerging growth company</w:t>
            </w:r>
          </w:p>
        </w:tc>
        <w:tc>
          <w:tcPr>
            <w:tcW w:w="3720" w:type="dxa"/>
            <w:vAlign w:val="bottom"/>
          </w:tcPr>
          <w:p>
            <w:pPr>
              <w:ind w:left="600"/>
              <w:spacing w:after="0" w:line="111" w:lineRule="exact"/>
              <w:rPr>
                <w:sz w:val="20"/>
                <w:szCs w:val="20"/>
                <w:color w:val="auto"/>
              </w:rPr>
            </w:pPr>
            <w:r>
              <w:rPr>
                <w:rFonts w:ascii="MS PGothic" w:cs="MS PGothic" w:eastAsia="MS PGothic" w:hAnsi="MS PGothic"/>
                <w:sz w:val="11"/>
                <w:szCs w:val="11"/>
                <w:color w:val="auto"/>
              </w:rPr>
              <w:t>☐</w:t>
            </w:r>
          </w:p>
        </w:tc>
        <w:tc>
          <w:tcPr>
            <w:tcW w:w="494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70" w:lineRule="exact"/>
        <w:rPr>
          <w:sz w:val="24"/>
          <w:szCs w:val="24"/>
          <w:color w:val="auto"/>
        </w:rPr>
      </w:pPr>
    </w:p>
    <w:p>
      <w:pPr>
        <w:jc w:val="both"/>
        <w:ind w:right="40"/>
        <w:spacing w:after="0" w:line="133"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3" w:lineRule="exact"/>
        <w:rPr>
          <w:sz w:val="24"/>
          <w:szCs w:val="24"/>
          <w:color w:val="auto"/>
        </w:rPr>
      </w:pPr>
    </w:p>
    <w:p>
      <w:pPr>
        <w:ind w:right="80"/>
        <w:spacing w:after="0" w:line="133"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62" w:lineRule="exact"/>
        <w:rPr>
          <w:sz w:val="24"/>
          <w:szCs w:val="24"/>
          <w:color w:val="auto"/>
        </w:rPr>
      </w:pPr>
    </w:p>
    <w:p>
      <w:pPr>
        <w:ind w:right="80"/>
        <w:spacing w:after="0" w:line="242" w:lineRule="auto"/>
        <w:rPr>
          <w:sz w:val="20"/>
          <w:szCs w:val="20"/>
          <w:color w:val="auto"/>
        </w:rPr>
      </w:pPr>
      <w:r>
        <w:rPr>
          <w:rFonts w:ascii="Arial" w:cs="Arial" w:eastAsia="Arial" w:hAnsi="Arial"/>
          <w:sz w:val="11"/>
          <w:szCs w:val="11"/>
          <w:color w:val="auto"/>
        </w:rPr>
        <w:t>The aggregate market value of the voting and non-voting common equity held by non-affiliates of the Registrant, based on the closing price of the shares of common stock on The New York Stock Exchange on June 30, 2020, was $3.7 billion.</w:t>
      </w:r>
    </w:p>
    <w:p>
      <w:pPr>
        <w:spacing w:after="0" w:line="33" w:lineRule="exact"/>
        <w:rPr>
          <w:sz w:val="24"/>
          <w:szCs w:val="24"/>
          <w:color w:val="auto"/>
        </w:rPr>
      </w:pPr>
    </w:p>
    <w:p>
      <w:pPr>
        <w:spacing w:after="0"/>
        <w:rPr>
          <w:sz w:val="20"/>
          <w:szCs w:val="20"/>
          <w:color w:val="auto"/>
        </w:rPr>
      </w:pPr>
      <w:r>
        <w:rPr>
          <w:rFonts w:ascii="Arial" w:cs="Arial" w:eastAsia="Arial" w:hAnsi="Arial"/>
          <w:sz w:val="11"/>
          <w:szCs w:val="11"/>
          <w:color w:val="auto"/>
        </w:rPr>
        <w:t>The number of shares of Registrant’s Common Stock outstanding as of February 12, 2021 was 102,360,662.</w:t>
      </w:r>
    </w:p>
    <w:p>
      <w:pPr>
        <w:spacing w:after="0" w:line="40" w:lineRule="exact"/>
        <w:rPr>
          <w:sz w:val="24"/>
          <w:szCs w:val="24"/>
          <w:color w:val="auto"/>
        </w:rPr>
      </w:pPr>
    </w:p>
    <w:p>
      <w:pPr>
        <w:ind w:left="4380"/>
        <w:spacing w:after="0"/>
        <w:rPr>
          <w:sz w:val="20"/>
          <w:szCs w:val="20"/>
          <w:color w:val="auto"/>
        </w:rPr>
      </w:pPr>
      <w:r>
        <w:rPr>
          <w:rFonts w:ascii="Arial" w:cs="Arial" w:eastAsia="Arial" w:hAnsi="Arial"/>
          <w:sz w:val="11"/>
          <w:szCs w:val="11"/>
          <w:color w:val="auto"/>
        </w:rPr>
        <w:t>DOCUMENTS INCORPORATED BY REFERENCE</w:t>
      </w:r>
    </w:p>
    <w:p>
      <w:pPr>
        <w:spacing w:after="0" w:line="40" w:lineRule="exact"/>
        <w:rPr>
          <w:sz w:val="24"/>
          <w:szCs w:val="24"/>
          <w:color w:val="auto"/>
        </w:rPr>
      </w:pPr>
    </w:p>
    <w:p>
      <w:pPr>
        <w:spacing w:after="0"/>
        <w:rPr>
          <w:sz w:val="20"/>
          <w:szCs w:val="20"/>
          <w:color w:val="auto"/>
        </w:rPr>
      </w:pPr>
      <w:r>
        <w:rPr>
          <w:rFonts w:ascii="Arial" w:cs="Arial" w:eastAsia="Arial" w:hAnsi="Arial"/>
          <w:sz w:val="11"/>
          <w:szCs w:val="11"/>
          <w:color w:val="auto"/>
        </w:rPr>
        <w:t>Portions of Parsons’ 2020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32385</wp:posOffset>
            </wp:positionV>
            <wp:extent cx="715708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wp:posOffset>
            </wp:positionV>
            <wp:extent cx="715708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0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342265</wp:posOffset>
            </wp:positionV>
            <wp:extent cx="7157085"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6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6"/>
        </w:trPr>
        <w:tc>
          <w:tcPr>
            <w:tcW w:w="900" w:type="dxa"/>
            <w:vAlign w:val="bottom"/>
          </w:tcPr>
          <w:p>
            <w:pPr>
              <w:spacing w:after="0"/>
              <w:rPr>
                <w:sz w:val="17"/>
                <w:szCs w:val="17"/>
                <w:color w:val="auto"/>
              </w:rPr>
            </w:pPr>
          </w:p>
        </w:tc>
        <w:tc>
          <w:tcPr>
            <w:tcW w:w="9580" w:type="dxa"/>
            <w:vAlign w:val="bottom"/>
          </w:tcPr>
          <w:p>
            <w:pPr>
              <w:ind w:left="4120"/>
              <w:spacing w:after="0"/>
              <w:rPr>
                <w:sz w:val="20"/>
                <w:szCs w:val="20"/>
                <w:color w:val="auto"/>
              </w:rPr>
            </w:pPr>
            <w:r>
              <w:rPr>
                <w:rFonts w:ascii="Arial" w:cs="Arial" w:eastAsia="Arial" w:hAnsi="Arial"/>
                <w:sz w:val="15"/>
                <w:szCs w:val="15"/>
                <w:b w:val="1"/>
                <w:bCs w:val="1"/>
                <w:color w:val="auto"/>
              </w:rPr>
              <w:t>Table of Contents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3"/>
        </w:trPr>
        <w:tc>
          <w:tcPr>
            <w:tcW w:w="900" w:type="dxa"/>
            <w:vAlign w:val="bottom"/>
            <w:vMerge w:val="restart"/>
          </w:tcPr>
          <w:p>
            <w:pPr>
              <w:spacing w:after="0"/>
              <w:rPr>
                <w:sz w:val="20"/>
                <w:szCs w:val="20"/>
                <w:color w:val="auto"/>
              </w:rPr>
            </w:pPr>
            <w:r>
              <w:rPr>
                <w:rFonts w:ascii="Arial" w:cs="Arial" w:eastAsia="Arial" w:hAnsi="Arial"/>
                <w:sz w:val="15"/>
                <w:szCs w:val="15"/>
                <w:b w:val="1"/>
                <w:bCs w:val="1"/>
                <w:color w:val="auto"/>
              </w:rPr>
              <w:t>PART I</w:t>
            </w:r>
          </w:p>
        </w:tc>
        <w:tc>
          <w:tcPr>
            <w:tcW w:w="9580" w:type="dxa"/>
            <w:vAlign w:val="bottom"/>
          </w:tcPr>
          <w:p>
            <w:pPr>
              <w:spacing w:after="0"/>
              <w:rPr>
                <w:sz w:val="24"/>
                <w:szCs w:val="24"/>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79"/>
        </w:trPr>
        <w:tc>
          <w:tcPr>
            <w:tcW w:w="900" w:type="dxa"/>
            <w:vAlign w:val="bottom"/>
            <w:vMerge w:val="continue"/>
          </w:tcPr>
          <w:p>
            <w:pPr>
              <w:spacing w:after="0"/>
              <w:rPr>
                <w:sz w:val="15"/>
                <w:szCs w:val="15"/>
                <w:color w:val="auto"/>
              </w:rPr>
            </w:pPr>
          </w:p>
        </w:tc>
        <w:tc>
          <w:tcPr>
            <w:tcW w:w="95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w:t>
            </w:r>
          </w:p>
        </w:tc>
        <w:tc>
          <w:tcPr>
            <w:tcW w:w="9580" w:type="dxa"/>
            <w:vAlign w:val="bottom"/>
          </w:tcPr>
          <w:p>
            <w:pPr>
              <w:ind w:left="260"/>
              <w:spacing w:after="0"/>
              <w:rPr>
                <w:rFonts w:ascii="Arial" w:cs="Arial" w:eastAsia="Arial" w:hAnsi="Arial"/>
                <w:sz w:val="15"/>
                <w:szCs w:val="15"/>
                <w:u w:val="single" w:color="auto"/>
                <w:color w:val="0000EE"/>
              </w:rPr>
            </w:pPr>
            <w:hyperlink w:anchor="page5">
              <w:r>
                <w:rPr>
                  <w:rFonts w:ascii="Arial" w:cs="Arial" w:eastAsia="Arial" w:hAnsi="Arial"/>
                  <w:sz w:val="15"/>
                  <w:szCs w:val="15"/>
                  <w:u w:val="single" w:color="auto"/>
                  <w:color w:val="0000EE"/>
                </w:rPr>
                <w:t>Business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1A.</w:t>
            </w:r>
          </w:p>
        </w:tc>
        <w:tc>
          <w:tcPr>
            <w:tcW w:w="9580" w:type="dxa"/>
            <w:vAlign w:val="bottom"/>
          </w:tcPr>
          <w:p>
            <w:pPr>
              <w:ind w:left="260"/>
              <w:spacing w:after="0"/>
              <w:rPr>
                <w:rFonts w:ascii="Arial" w:cs="Arial" w:eastAsia="Arial" w:hAnsi="Arial"/>
                <w:sz w:val="15"/>
                <w:szCs w:val="15"/>
                <w:u w:val="single" w:color="auto"/>
                <w:color w:val="0000EE"/>
              </w:rPr>
            </w:pPr>
            <w:hyperlink w:anchor="page22">
              <w:r>
                <w:rPr>
                  <w:rFonts w:ascii="Arial" w:cs="Arial" w:eastAsia="Arial" w:hAnsi="Arial"/>
                  <w:sz w:val="15"/>
                  <w:szCs w:val="15"/>
                  <w:u w:val="single" w:color="auto"/>
                  <w:color w:val="0000EE"/>
                </w:rPr>
                <w:t>Risk Factors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1B.</w:t>
            </w:r>
          </w:p>
        </w:tc>
        <w:tc>
          <w:tcPr>
            <w:tcW w:w="9580" w:type="dxa"/>
            <w:vAlign w:val="bottom"/>
          </w:tcPr>
          <w:p>
            <w:pPr>
              <w:ind w:left="260"/>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Unresolved Staff Comments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2.</w:t>
            </w:r>
          </w:p>
        </w:tc>
        <w:tc>
          <w:tcPr>
            <w:tcW w:w="9580" w:type="dxa"/>
            <w:vAlign w:val="bottom"/>
          </w:tcPr>
          <w:p>
            <w:pPr>
              <w:ind w:left="260"/>
              <w:spacing w:after="0"/>
              <w:rPr>
                <w:rFonts w:ascii="Arial" w:cs="Arial" w:eastAsia="Arial" w:hAnsi="Arial"/>
                <w:sz w:val="15"/>
                <w:szCs w:val="15"/>
                <w:u w:val="single" w:color="auto"/>
                <w:color w:val="0000EE"/>
              </w:rPr>
            </w:pPr>
            <w:hyperlink w:anchor="page51">
              <w:r>
                <w:rPr>
                  <w:rFonts w:ascii="Arial" w:cs="Arial" w:eastAsia="Arial" w:hAnsi="Arial"/>
                  <w:sz w:val="15"/>
                  <w:szCs w:val="15"/>
                  <w:u w:val="single" w:color="auto"/>
                  <w:color w:val="0000EE"/>
                </w:rPr>
                <w:t>Properties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3.</w:t>
            </w:r>
          </w:p>
        </w:tc>
        <w:tc>
          <w:tcPr>
            <w:tcW w:w="9580" w:type="dxa"/>
            <w:vAlign w:val="bottom"/>
          </w:tcPr>
          <w:p>
            <w:pPr>
              <w:ind w:left="260"/>
              <w:spacing w:after="0"/>
              <w:rPr>
                <w:rFonts w:ascii="Arial" w:cs="Arial" w:eastAsia="Arial" w:hAnsi="Arial"/>
                <w:sz w:val="15"/>
                <w:szCs w:val="15"/>
                <w:u w:val="single" w:color="auto"/>
                <w:color w:val="0000EE"/>
              </w:rPr>
            </w:pPr>
            <w:hyperlink w:anchor="page52">
              <w:r>
                <w:rPr>
                  <w:rFonts w:ascii="Arial" w:cs="Arial" w:eastAsia="Arial" w:hAnsi="Arial"/>
                  <w:sz w:val="15"/>
                  <w:szCs w:val="15"/>
                  <w:u w:val="single" w:color="auto"/>
                  <w:color w:val="0000EE"/>
                </w:rPr>
                <w:t>Legal Proceedings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78"/>
        </w:trPr>
        <w:tc>
          <w:tcPr>
            <w:tcW w:w="900" w:type="dxa"/>
            <w:vAlign w:val="bottom"/>
          </w:tcPr>
          <w:p>
            <w:pPr>
              <w:ind w:left="100"/>
              <w:spacing w:after="0"/>
              <w:rPr>
                <w:sz w:val="20"/>
                <w:szCs w:val="20"/>
                <w:color w:val="auto"/>
              </w:rPr>
            </w:pPr>
            <w:r>
              <w:rPr>
                <w:rFonts w:ascii="Arial" w:cs="Arial" w:eastAsia="Arial" w:hAnsi="Arial"/>
                <w:sz w:val="15"/>
                <w:szCs w:val="15"/>
                <w:color w:val="auto"/>
              </w:rPr>
              <w:t>Item 4.</w:t>
            </w:r>
          </w:p>
        </w:tc>
        <w:tc>
          <w:tcPr>
            <w:tcW w:w="9580" w:type="dxa"/>
            <w:vAlign w:val="bottom"/>
          </w:tcPr>
          <w:p>
            <w:pPr>
              <w:ind w:left="260"/>
              <w:spacing w:after="0"/>
              <w:rPr>
                <w:rFonts w:ascii="Arial" w:cs="Arial" w:eastAsia="Arial" w:hAnsi="Arial"/>
                <w:sz w:val="15"/>
                <w:szCs w:val="15"/>
                <w:u w:val="single" w:color="auto"/>
                <w:color w:val="0000EE"/>
              </w:rPr>
            </w:pPr>
            <w:hyperlink w:anchor="page53">
              <w:r>
                <w:rPr>
                  <w:rFonts w:ascii="Arial" w:cs="Arial" w:eastAsia="Arial" w:hAnsi="Arial"/>
                  <w:sz w:val="15"/>
                  <w:szCs w:val="15"/>
                  <w:u w:val="single" w:color="auto"/>
                  <w:color w:val="0000EE"/>
                </w:rPr>
                <w:t>Mine Safety Disclosures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355"/>
        </w:trPr>
        <w:tc>
          <w:tcPr>
            <w:tcW w:w="900" w:type="dxa"/>
            <w:vAlign w:val="bottom"/>
          </w:tcPr>
          <w:p>
            <w:pPr>
              <w:spacing w:after="0"/>
              <w:rPr>
                <w:sz w:val="20"/>
                <w:szCs w:val="20"/>
                <w:color w:val="auto"/>
              </w:rPr>
            </w:pPr>
            <w:r>
              <w:rPr>
                <w:rFonts w:ascii="Arial" w:cs="Arial" w:eastAsia="Arial" w:hAnsi="Arial"/>
                <w:sz w:val="15"/>
                <w:szCs w:val="15"/>
                <w:b w:val="1"/>
                <w:bCs w:val="1"/>
                <w:color w:val="auto"/>
              </w:rPr>
              <w:t>PART II</w:t>
            </w:r>
          </w:p>
        </w:tc>
        <w:tc>
          <w:tcPr>
            <w:tcW w:w="9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100"/>
              <w:spacing w:after="0"/>
              <w:rPr>
                <w:sz w:val="20"/>
                <w:szCs w:val="20"/>
                <w:color w:val="auto"/>
              </w:rPr>
            </w:pPr>
            <w:r>
              <w:rPr>
                <w:rFonts w:ascii="Arial" w:cs="Arial" w:eastAsia="Arial" w:hAnsi="Arial"/>
                <w:sz w:val="15"/>
                <w:szCs w:val="15"/>
                <w:color w:val="auto"/>
              </w:rPr>
              <w:t>Item 5.</w:t>
            </w:r>
          </w:p>
        </w:tc>
        <w:tc>
          <w:tcPr>
            <w:tcW w:w="9580" w:type="dxa"/>
            <w:vAlign w:val="bottom"/>
          </w:tcPr>
          <w:p>
            <w:pPr>
              <w:ind w:left="260"/>
              <w:spacing w:after="0"/>
              <w:rPr>
                <w:rFonts w:ascii="Arial" w:cs="Arial" w:eastAsia="Arial" w:hAnsi="Arial"/>
                <w:sz w:val="15"/>
                <w:szCs w:val="15"/>
                <w:u w:val="single" w:color="auto"/>
                <w:color w:val="0000EE"/>
              </w:rPr>
            </w:pPr>
            <w:hyperlink w:anchor="page54">
              <w:r>
                <w:rPr>
                  <w:rFonts w:ascii="Arial" w:cs="Arial" w:eastAsia="Arial" w:hAnsi="Arial"/>
                  <w:sz w:val="15"/>
                  <w:szCs w:val="15"/>
                  <w:u w:val="single" w:color="auto"/>
                  <w:color w:val="0000EE"/>
                </w:rPr>
                <w:t>Market for Registrant’s Common Equity, Related Stockholder Matters and Issuer Purchases of Equity Securities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6.</w:t>
            </w:r>
          </w:p>
        </w:tc>
        <w:tc>
          <w:tcPr>
            <w:tcW w:w="9580" w:type="dxa"/>
            <w:vAlign w:val="bottom"/>
          </w:tcPr>
          <w:p>
            <w:pPr>
              <w:ind w:left="260"/>
              <w:spacing w:after="0"/>
              <w:rPr>
                <w:rFonts w:ascii="Arial" w:cs="Arial" w:eastAsia="Arial" w:hAnsi="Arial"/>
                <w:sz w:val="15"/>
                <w:szCs w:val="15"/>
                <w:u w:val="single" w:color="auto"/>
                <w:color w:val="0000EE"/>
              </w:rPr>
            </w:pPr>
            <w:hyperlink w:anchor="page56">
              <w:r>
                <w:rPr>
                  <w:rFonts w:ascii="Arial" w:cs="Arial" w:eastAsia="Arial" w:hAnsi="Arial"/>
                  <w:sz w:val="15"/>
                  <w:szCs w:val="15"/>
                  <w:u w:val="single" w:color="auto"/>
                  <w:color w:val="0000EE"/>
                </w:rPr>
                <w:t>Selected Financial Data</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52</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7.</w:t>
            </w:r>
          </w:p>
        </w:tc>
        <w:tc>
          <w:tcPr>
            <w:tcW w:w="9580" w:type="dxa"/>
            <w:vAlign w:val="bottom"/>
          </w:tcPr>
          <w:p>
            <w:pPr>
              <w:ind w:left="260"/>
              <w:spacing w:after="0"/>
              <w:rPr>
                <w:rFonts w:ascii="Arial" w:cs="Arial" w:eastAsia="Arial" w:hAnsi="Arial"/>
                <w:sz w:val="15"/>
                <w:szCs w:val="15"/>
                <w:u w:val="single" w:color="auto"/>
                <w:color w:val="0000EE"/>
              </w:rPr>
            </w:pPr>
            <w:hyperlink w:anchor="page59">
              <w:r>
                <w:rPr>
                  <w:rFonts w:ascii="Arial" w:cs="Arial" w:eastAsia="Arial" w:hAnsi="Arial"/>
                  <w:sz w:val="15"/>
                  <w:szCs w:val="15"/>
                  <w:u w:val="single" w:color="auto"/>
                  <w:color w:val="0000EE"/>
                </w:rPr>
                <w:t>Management’s Discussion and Analysis of Financial Condition and Results of Operations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7A.</w:t>
            </w:r>
          </w:p>
        </w:tc>
        <w:tc>
          <w:tcPr>
            <w:tcW w:w="9580" w:type="dxa"/>
            <w:vAlign w:val="bottom"/>
          </w:tcPr>
          <w:p>
            <w:pPr>
              <w:ind w:left="26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Quantitative and Qualitative Disclosures About Market Risk</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8.</w:t>
            </w:r>
          </w:p>
        </w:tc>
        <w:tc>
          <w:tcPr>
            <w:tcW w:w="9580" w:type="dxa"/>
            <w:vAlign w:val="bottom"/>
          </w:tcPr>
          <w:p>
            <w:pPr>
              <w:ind w:left="26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Financial Statements and Supplementary Data</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9.</w:t>
            </w:r>
          </w:p>
        </w:tc>
        <w:tc>
          <w:tcPr>
            <w:tcW w:w="9580" w:type="dxa"/>
            <w:vAlign w:val="bottom"/>
          </w:tcPr>
          <w:p>
            <w:pPr>
              <w:ind w:left="260"/>
              <w:spacing w:after="0"/>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Changes in and Disagreements With Accountants on Accounting and Financial Disclosure</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9A.</w:t>
            </w:r>
          </w:p>
        </w:tc>
        <w:tc>
          <w:tcPr>
            <w:tcW w:w="9580" w:type="dxa"/>
            <w:vAlign w:val="bottom"/>
          </w:tcPr>
          <w:p>
            <w:pPr>
              <w:ind w:left="260"/>
              <w:spacing w:after="0"/>
              <w:rPr>
                <w:rFonts w:ascii="Arial" w:cs="Arial" w:eastAsia="Arial" w:hAnsi="Arial"/>
                <w:sz w:val="15"/>
                <w:szCs w:val="15"/>
                <w:u w:val="single" w:color="auto"/>
                <w:color w:val="0000EE"/>
              </w:rPr>
            </w:pPr>
            <w:hyperlink w:anchor="page86">
              <w:r>
                <w:rPr>
                  <w:rFonts w:ascii="Arial" w:cs="Arial" w:eastAsia="Arial" w:hAnsi="Arial"/>
                  <w:sz w:val="15"/>
                  <w:szCs w:val="15"/>
                  <w:u w:val="single" w:color="auto"/>
                  <w:color w:val="0000EE"/>
                </w:rPr>
                <w:t>Controls and Procedures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78"/>
        </w:trPr>
        <w:tc>
          <w:tcPr>
            <w:tcW w:w="900" w:type="dxa"/>
            <w:vAlign w:val="bottom"/>
          </w:tcPr>
          <w:p>
            <w:pPr>
              <w:ind w:left="100"/>
              <w:spacing w:after="0"/>
              <w:rPr>
                <w:sz w:val="20"/>
                <w:szCs w:val="20"/>
                <w:color w:val="auto"/>
              </w:rPr>
            </w:pPr>
            <w:r>
              <w:rPr>
                <w:rFonts w:ascii="Arial" w:cs="Arial" w:eastAsia="Arial" w:hAnsi="Arial"/>
                <w:sz w:val="15"/>
                <w:szCs w:val="15"/>
                <w:color w:val="auto"/>
              </w:rPr>
              <w:t>Item 9B.</w:t>
            </w:r>
          </w:p>
        </w:tc>
        <w:tc>
          <w:tcPr>
            <w:tcW w:w="9580" w:type="dxa"/>
            <w:vAlign w:val="bottom"/>
          </w:tcPr>
          <w:p>
            <w:pPr>
              <w:ind w:left="260"/>
              <w:spacing w:after="0"/>
              <w:rPr>
                <w:rFonts w:ascii="Arial" w:cs="Arial" w:eastAsia="Arial" w:hAnsi="Arial"/>
                <w:sz w:val="15"/>
                <w:szCs w:val="15"/>
                <w:u w:val="single" w:color="auto"/>
                <w:color w:val="0000EE"/>
              </w:rPr>
            </w:pPr>
            <w:hyperlink w:anchor="page86">
              <w:r>
                <w:rPr>
                  <w:rFonts w:ascii="Arial" w:cs="Arial" w:eastAsia="Arial" w:hAnsi="Arial"/>
                  <w:sz w:val="15"/>
                  <w:szCs w:val="15"/>
                  <w:u w:val="single" w:color="auto"/>
                  <w:color w:val="0000EE"/>
                </w:rPr>
                <w:t>Other Information</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355"/>
        </w:trPr>
        <w:tc>
          <w:tcPr>
            <w:tcW w:w="900" w:type="dxa"/>
            <w:vAlign w:val="bottom"/>
          </w:tcPr>
          <w:p>
            <w:pPr>
              <w:spacing w:after="0"/>
              <w:rPr>
                <w:sz w:val="20"/>
                <w:szCs w:val="20"/>
                <w:color w:val="auto"/>
              </w:rPr>
            </w:pPr>
            <w:r>
              <w:rPr>
                <w:rFonts w:ascii="Arial" w:cs="Arial" w:eastAsia="Arial" w:hAnsi="Arial"/>
                <w:sz w:val="15"/>
                <w:szCs w:val="15"/>
                <w:b w:val="1"/>
                <w:bCs w:val="1"/>
                <w:color w:val="auto"/>
              </w:rPr>
              <w:t>PART III</w:t>
            </w:r>
          </w:p>
        </w:tc>
        <w:tc>
          <w:tcPr>
            <w:tcW w:w="9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100"/>
              <w:spacing w:after="0"/>
              <w:rPr>
                <w:sz w:val="20"/>
                <w:szCs w:val="20"/>
                <w:color w:val="auto"/>
              </w:rPr>
            </w:pPr>
            <w:r>
              <w:rPr>
                <w:rFonts w:ascii="Arial" w:cs="Arial" w:eastAsia="Arial" w:hAnsi="Arial"/>
                <w:sz w:val="15"/>
                <w:szCs w:val="15"/>
                <w:color w:val="auto"/>
              </w:rPr>
              <w:t>Item 10.</w:t>
            </w:r>
          </w:p>
        </w:tc>
        <w:tc>
          <w:tcPr>
            <w:tcW w:w="9580" w:type="dxa"/>
            <w:vAlign w:val="bottom"/>
          </w:tcPr>
          <w:p>
            <w:pPr>
              <w:ind w:left="26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Directors, Executive Officers and Corporate Governance</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11.</w:t>
            </w:r>
          </w:p>
        </w:tc>
        <w:tc>
          <w:tcPr>
            <w:tcW w:w="9580" w:type="dxa"/>
            <w:vAlign w:val="bottom"/>
          </w:tcPr>
          <w:p>
            <w:pPr>
              <w:ind w:left="26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Executive Compensation</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12.</w:t>
            </w:r>
          </w:p>
        </w:tc>
        <w:tc>
          <w:tcPr>
            <w:tcW w:w="9580" w:type="dxa"/>
            <w:vAlign w:val="bottom"/>
          </w:tcPr>
          <w:p>
            <w:pPr>
              <w:ind w:left="26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Security Ownership of Certain Beneficial Owners and Management and Related Stockholder Matters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13.</w:t>
            </w:r>
          </w:p>
        </w:tc>
        <w:tc>
          <w:tcPr>
            <w:tcW w:w="9580" w:type="dxa"/>
            <w:vAlign w:val="bottom"/>
          </w:tcPr>
          <w:p>
            <w:pPr>
              <w:ind w:left="26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Certain Relationships and Related Transactions, and Director Independence</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178"/>
        </w:trPr>
        <w:tc>
          <w:tcPr>
            <w:tcW w:w="900" w:type="dxa"/>
            <w:vAlign w:val="bottom"/>
          </w:tcPr>
          <w:p>
            <w:pPr>
              <w:ind w:left="100"/>
              <w:spacing w:after="0"/>
              <w:rPr>
                <w:sz w:val="20"/>
                <w:szCs w:val="20"/>
                <w:color w:val="auto"/>
              </w:rPr>
            </w:pPr>
            <w:r>
              <w:rPr>
                <w:rFonts w:ascii="Arial" w:cs="Arial" w:eastAsia="Arial" w:hAnsi="Arial"/>
                <w:sz w:val="15"/>
                <w:szCs w:val="15"/>
                <w:color w:val="auto"/>
              </w:rPr>
              <w:t>Item 14.</w:t>
            </w:r>
          </w:p>
        </w:tc>
        <w:tc>
          <w:tcPr>
            <w:tcW w:w="9580" w:type="dxa"/>
            <w:vAlign w:val="bottom"/>
          </w:tcPr>
          <w:p>
            <w:pPr>
              <w:ind w:left="260"/>
              <w:spacing w:after="0"/>
              <w:rPr>
                <w:rFonts w:ascii="Arial" w:cs="Arial" w:eastAsia="Arial" w:hAnsi="Arial"/>
                <w:sz w:val="15"/>
                <w:szCs w:val="15"/>
                <w:u w:val="single" w:color="auto"/>
                <w:color w:val="0000EE"/>
              </w:rPr>
            </w:pPr>
            <w:hyperlink w:anchor="page87">
              <w:r>
                <w:rPr>
                  <w:rFonts w:ascii="Arial" w:cs="Arial" w:eastAsia="Arial" w:hAnsi="Arial"/>
                  <w:sz w:val="15"/>
                  <w:szCs w:val="15"/>
                  <w:u w:val="single" w:color="auto"/>
                  <w:color w:val="0000EE"/>
                </w:rPr>
                <w:t>Principal Accounting Fees and Services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83</w:t>
            </w:r>
          </w:p>
        </w:tc>
        <w:tc>
          <w:tcPr>
            <w:tcW w:w="0" w:type="dxa"/>
            <w:vAlign w:val="bottom"/>
          </w:tcPr>
          <w:p>
            <w:pPr>
              <w:spacing w:after="0"/>
              <w:rPr>
                <w:sz w:val="1"/>
                <w:szCs w:val="1"/>
                <w:color w:val="auto"/>
              </w:rPr>
            </w:pPr>
          </w:p>
        </w:tc>
      </w:tr>
      <w:tr>
        <w:trPr>
          <w:trHeight w:val="355"/>
        </w:trPr>
        <w:tc>
          <w:tcPr>
            <w:tcW w:w="900" w:type="dxa"/>
            <w:vAlign w:val="bottom"/>
          </w:tcPr>
          <w:p>
            <w:pPr>
              <w:spacing w:after="0"/>
              <w:rPr>
                <w:sz w:val="20"/>
                <w:szCs w:val="20"/>
                <w:color w:val="auto"/>
              </w:rPr>
            </w:pPr>
            <w:r>
              <w:rPr>
                <w:rFonts w:ascii="Arial" w:cs="Arial" w:eastAsia="Arial" w:hAnsi="Arial"/>
                <w:sz w:val="15"/>
                <w:szCs w:val="15"/>
                <w:b w:val="1"/>
                <w:bCs w:val="1"/>
                <w:color w:val="auto"/>
              </w:rPr>
              <w:t>PART IV</w:t>
            </w:r>
          </w:p>
        </w:tc>
        <w:tc>
          <w:tcPr>
            <w:tcW w:w="9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00" w:type="dxa"/>
            <w:vAlign w:val="bottom"/>
          </w:tcPr>
          <w:p>
            <w:pPr>
              <w:ind w:left="100"/>
              <w:spacing w:after="0"/>
              <w:rPr>
                <w:sz w:val="20"/>
                <w:szCs w:val="20"/>
                <w:color w:val="auto"/>
              </w:rPr>
            </w:pPr>
            <w:r>
              <w:rPr>
                <w:rFonts w:ascii="Arial" w:cs="Arial" w:eastAsia="Arial" w:hAnsi="Arial"/>
                <w:sz w:val="15"/>
                <w:szCs w:val="15"/>
                <w:color w:val="auto"/>
              </w:rPr>
              <w:t>Item 15.</w:t>
            </w:r>
          </w:p>
        </w:tc>
        <w:tc>
          <w:tcPr>
            <w:tcW w:w="9580" w:type="dxa"/>
            <w:vAlign w:val="bottom"/>
          </w:tcPr>
          <w:p>
            <w:pPr>
              <w:ind w:left="260"/>
              <w:spacing w:after="0"/>
              <w:rPr>
                <w:rFonts w:ascii="Arial" w:cs="Arial" w:eastAsia="Arial" w:hAnsi="Arial"/>
                <w:sz w:val="15"/>
                <w:szCs w:val="15"/>
                <w:u w:val="single" w:color="auto"/>
                <w:color w:val="0000EE"/>
              </w:rPr>
            </w:pPr>
            <w:hyperlink w:anchor="page88">
              <w:r>
                <w:rPr>
                  <w:rFonts w:ascii="Arial" w:cs="Arial" w:eastAsia="Arial" w:hAnsi="Arial"/>
                  <w:sz w:val="15"/>
                  <w:szCs w:val="15"/>
                  <w:u w:val="single" w:color="auto"/>
                  <w:color w:val="0000EE"/>
                </w:rPr>
                <w:t>Exhibits, Financial Statement Schedules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7"/>
        </w:trPr>
        <w:tc>
          <w:tcPr>
            <w:tcW w:w="900" w:type="dxa"/>
            <w:vAlign w:val="bottom"/>
          </w:tcPr>
          <w:p>
            <w:pPr>
              <w:ind w:left="100"/>
              <w:spacing w:after="0"/>
              <w:rPr>
                <w:sz w:val="20"/>
                <w:szCs w:val="20"/>
                <w:color w:val="auto"/>
              </w:rPr>
            </w:pPr>
            <w:r>
              <w:rPr>
                <w:rFonts w:ascii="Arial" w:cs="Arial" w:eastAsia="Arial" w:hAnsi="Arial"/>
                <w:sz w:val="15"/>
                <w:szCs w:val="15"/>
                <w:color w:val="auto"/>
              </w:rPr>
              <w:t>Item 16</w:t>
            </w:r>
          </w:p>
        </w:tc>
        <w:tc>
          <w:tcPr>
            <w:tcW w:w="9580" w:type="dxa"/>
            <w:vAlign w:val="bottom"/>
          </w:tcPr>
          <w:p>
            <w:pPr>
              <w:ind w:left="260"/>
              <w:spacing w:after="0"/>
              <w:rPr>
                <w:rFonts w:ascii="Arial" w:cs="Arial" w:eastAsia="Arial" w:hAnsi="Arial"/>
                <w:sz w:val="15"/>
                <w:szCs w:val="15"/>
                <w:u w:val="single" w:color="auto"/>
                <w:color w:val="0000EE"/>
              </w:rPr>
            </w:pPr>
            <w:hyperlink w:anchor="page88">
              <w:r>
                <w:rPr>
                  <w:rFonts w:ascii="Arial" w:cs="Arial" w:eastAsia="Arial" w:hAnsi="Arial"/>
                  <w:sz w:val="15"/>
                  <w:szCs w:val="15"/>
                  <w:u w:val="single" w:color="auto"/>
                  <w:color w:val="0000EE"/>
                </w:rPr>
                <w:t>Form 10-K Summary</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11"/>
        </w:trPr>
        <w:tc>
          <w:tcPr>
            <w:tcW w:w="900" w:type="dxa"/>
            <w:vAlign w:val="bottom"/>
          </w:tcPr>
          <w:p>
            <w:pPr>
              <w:spacing w:after="0"/>
              <w:rPr>
                <w:sz w:val="18"/>
                <w:szCs w:val="18"/>
                <w:color w:val="auto"/>
              </w:rPr>
            </w:pPr>
          </w:p>
        </w:tc>
        <w:tc>
          <w:tcPr>
            <w:tcW w:w="9580" w:type="dxa"/>
            <w:vAlign w:val="bottom"/>
          </w:tcPr>
          <w:p>
            <w:pPr>
              <w:ind w:left="260"/>
              <w:spacing w:after="0"/>
              <w:rPr>
                <w:rFonts w:ascii="Arial" w:cs="Arial" w:eastAsia="Arial" w:hAnsi="Arial"/>
                <w:sz w:val="15"/>
                <w:szCs w:val="15"/>
                <w:u w:val="single" w:color="auto"/>
                <w:color w:val="0000EE"/>
              </w:rPr>
            </w:pPr>
            <w:hyperlink w:anchor="page89">
              <w:r>
                <w:rPr>
                  <w:rFonts w:ascii="Arial" w:cs="Arial" w:eastAsia="Arial" w:hAnsi="Arial"/>
                  <w:sz w:val="15"/>
                  <w:szCs w:val="15"/>
                  <w:u w:val="single" w:color="auto"/>
                  <w:color w:val="0000EE"/>
                </w:rPr>
                <w:t>Exhibit Index</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421"/>
        </w:trPr>
        <w:tc>
          <w:tcPr>
            <w:tcW w:w="900" w:type="dxa"/>
            <w:vAlign w:val="bottom"/>
          </w:tcPr>
          <w:p>
            <w:pPr>
              <w:spacing w:after="0"/>
              <w:rPr>
                <w:sz w:val="24"/>
                <w:szCs w:val="24"/>
                <w:color w:val="auto"/>
              </w:rPr>
            </w:pPr>
          </w:p>
        </w:tc>
        <w:tc>
          <w:tcPr>
            <w:tcW w:w="9580" w:type="dxa"/>
            <w:vAlign w:val="bottom"/>
          </w:tcPr>
          <w:p>
            <w:pPr>
              <w:ind w:left="260"/>
              <w:spacing w:after="0"/>
              <w:rPr>
                <w:rFonts w:ascii="Arial" w:cs="Arial" w:eastAsia="Arial" w:hAnsi="Arial"/>
                <w:sz w:val="15"/>
                <w:szCs w:val="15"/>
                <w:u w:val="single" w:color="auto"/>
                <w:color w:val="0000EE"/>
              </w:rPr>
            </w:pPr>
            <w:hyperlink w:anchor="page92">
              <w:r>
                <w:rPr>
                  <w:rFonts w:ascii="Arial" w:cs="Arial" w:eastAsia="Arial" w:hAnsi="Arial"/>
                  <w:sz w:val="15"/>
                  <w:szCs w:val="15"/>
                  <w:u w:val="single" w:color="auto"/>
                  <w:color w:val="0000EE"/>
                </w:rPr>
                <w:t>Signatures</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11"/>
        </w:trPr>
        <w:tc>
          <w:tcPr>
            <w:tcW w:w="900" w:type="dxa"/>
            <w:vAlign w:val="bottom"/>
          </w:tcPr>
          <w:p>
            <w:pPr>
              <w:spacing w:after="0"/>
              <w:rPr>
                <w:sz w:val="18"/>
                <w:szCs w:val="18"/>
                <w:color w:val="auto"/>
              </w:rPr>
            </w:pPr>
          </w:p>
        </w:tc>
        <w:tc>
          <w:tcPr>
            <w:tcW w:w="9580" w:type="dxa"/>
            <w:vAlign w:val="bottom"/>
          </w:tcPr>
          <w:p>
            <w:pPr>
              <w:ind w:left="260"/>
              <w:spacing w:after="0"/>
              <w:rPr>
                <w:rFonts w:ascii="Arial" w:cs="Arial" w:eastAsia="Arial" w:hAnsi="Arial"/>
                <w:sz w:val="15"/>
                <w:szCs w:val="15"/>
                <w:u w:val="single" w:color="auto"/>
                <w:color w:val="0000EE"/>
              </w:rPr>
            </w:pPr>
            <w:hyperlink w:anchor="page93">
              <w:r>
                <w:rPr>
                  <w:rFonts w:ascii="Arial" w:cs="Arial" w:eastAsia="Arial" w:hAnsi="Arial"/>
                  <w:sz w:val="15"/>
                  <w:szCs w:val="15"/>
                  <w:u w:val="single" w:color="auto"/>
                  <w:color w:val="0000EE"/>
                </w:rPr>
                <w:t>Index to Consolidated Financial Statements and Report of Independent Registered Public Accounting Firm</w:t>
              </w:r>
            </w:hyperlink>
          </w:p>
        </w:tc>
        <w:tc>
          <w:tcPr>
            <w:tcW w:w="800" w:type="dxa"/>
            <w:vAlign w:val="bottom"/>
          </w:tcPr>
          <w:p>
            <w:pPr>
              <w:jc w:val="right"/>
              <w:spacing w:after="0"/>
              <w:rPr>
                <w:sz w:val="20"/>
                <w:szCs w:val="20"/>
                <w:color w:val="auto"/>
              </w:rPr>
            </w:pPr>
            <w:r>
              <w:rPr>
                <w:rFonts w:ascii="Arial" w:cs="Arial" w:eastAsia="Arial" w:hAnsi="Arial"/>
                <w:sz w:val="15"/>
                <w:szCs w:val="15"/>
                <w:color w:val="auto"/>
              </w:rPr>
              <w:t>F-1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178435</wp:posOffset>
            </wp:positionV>
            <wp:extent cx="7157085"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89"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This annual report on Form 10-K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80" w:lineRule="exact"/>
        <w:rPr>
          <w:sz w:val="20"/>
          <w:szCs w:val="20"/>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issue that compromises our relationships with the U.S. federal government or its agencies or other state, local or foreign governments or agencies;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issues that damage our professional reputation;</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governmental priorities that shift expenditures away from agencies or programs that we support;</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dependence on long-term government contracts, which are subject to the government’s budgetary approval process;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size of our addressable markets and the amount of government spending on private contractors;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failure by us or our employees to obtain and maintain necessary security clearances or certifications;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failure to comply with numerous laws and regulations;</w:t>
      </w:r>
    </w:p>
    <w:p>
      <w:pPr>
        <w:spacing w:after="0" w:line="82" w:lineRule="exact"/>
        <w:rPr>
          <w:rFonts w:ascii="Arial" w:cs="Arial" w:eastAsia="Arial" w:hAnsi="Arial"/>
          <w:sz w:val="15"/>
          <w:szCs w:val="15"/>
          <w:color w:val="auto"/>
        </w:rPr>
      </w:pPr>
    </w:p>
    <w:p>
      <w:pPr>
        <w:ind w:left="1020" w:right="140" w:hanging="280"/>
        <w:spacing w:after="0" w:line="239"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government procurement, contract or other practices or the adoption by governments of new laws, rules, regulations and programs in a manner adverse to us;</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termination or nonrenewal of our government contracts, particularly our contracts with the U.S. federal government;</w:t>
      </w:r>
    </w:p>
    <w:p>
      <w:pPr>
        <w:spacing w:after="0" w:line="82" w:lineRule="exact"/>
        <w:rPr>
          <w:rFonts w:ascii="Arial" w:cs="Arial" w:eastAsia="Arial" w:hAnsi="Arial"/>
          <w:sz w:val="15"/>
          <w:szCs w:val="15"/>
          <w:color w:val="auto"/>
        </w:rPr>
      </w:pPr>
    </w:p>
    <w:p>
      <w:pPr>
        <w:ind w:left="1020" w:right="320" w:hanging="280"/>
        <w:spacing w:after="0" w:line="239"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compete effectively in the competitive bidding process and delays, contract terminations or cancellations caused by competitors’ protests of major contract awards received by us;</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generate revenue under certain of our contracts;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any inability to attract, train or retain employees with the requisite skills, experience and security clearances;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loss of members of senior management or failure to develop new leaders;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misconduct or other improper activities from our employees or subcontractors;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ability to realize the full value of our backlog and the timing of our receipt of revenue under contracts included in backlog;</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the mix of our contracts and our ability to accurately estimate or otherwise recover expenses, time and resources for our contracts;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changes in estimates used in recognizing revenue;</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internal system or service failures and security breaches;</w:t>
      </w:r>
    </w:p>
    <w:p>
      <w:pPr>
        <w:spacing w:after="0" w:line="60" w:lineRule="exact"/>
        <w:rPr>
          <w:rFonts w:ascii="Arial" w:cs="Arial" w:eastAsia="Arial" w:hAnsi="Arial"/>
          <w:sz w:val="15"/>
          <w:szCs w:val="15"/>
          <w:color w:val="auto"/>
        </w:rPr>
      </w:pPr>
    </w:p>
    <w:p>
      <w:pPr>
        <w:ind w:left="1020" w:right="200" w:hanging="280"/>
        <w:spacing w:after="0" w:line="239" w:lineRule="auto"/>
        <w:tabs>
          <w:tab w:leader="none" w:pos="102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inherent uncertainties and potential adverse developments in legal proceedings, including litigation, audits, reviews and investigations, which may result in materially adverse judgments, settlements or other unfavorable outcomes; and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178435</wp:posOffset>
            </wp:positionV>
            <wp:extent cx="715708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3" w:name="page4"/>
    <w:bookmarkEnd w:id="3"/>
    <w:p>
      <w:pPr>
        <w:ind w:left="1020" w:hanging="280"/>
        <w:spacing w:after="0"/>
        <w:tabs>
          <w:tab w:leader="none" w:pos="10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risks and factors listed under “Risk Factors” and elsewhere in this report.</w:t>
      </w:r>
    </w:p>
    <w:p>
      <w:pPr>
        <w:spacing w:after="0" w:line="171"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69"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7" w:lineRule="exact"/>
        <w:rPr>
          <w:sz w:val="20"/>
          <w:szCs w:val="20"/>
          <w:color w:val="auto"/>
        </w:rPr>
      </w:pPr>
    </w:p>
    <w:p>
      <w:pPr>
        <w:jc w:val="both"/>
        <w:ind w:right="60" w:firstLine="737"/>
        <w:spacing w:after="0" w:line="236" w:lineRule="auto"/>
        <w:rPr>
          <w:sz w:val="20"/>
          <w:szCs w:val="20"/>
          <w:color w:val="auto"/>
        </w:rPr>
      </w:pPr>
      <w:r>
        <w:rPr>
          <w:rFonts w:ascii="Arial" w:cs="Arial" w:eastAsia="Arial" w:hAnsi="Arial"/>
          <w:sz w:val="15"/>
          <w:szCs w:val="15"/>
          <w:color w:val="auto"/>
        </w:rPr>
        <w:t>You should read this report and the documents that we reference in this report and have filed as exhibits to the registration statement of which this report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67" w:lineRule="exact"/>
        <w:rPr>
          <w:sz w:val="20"/>
          <w:szCs w:val="20"/>
          <w:color w:val="auto"/>
        </w:rPr>
      </w:pPr>
    </w:p>
    <w:p>
      <w:pPr>
        <w:jc w:val="both"/>
        <w:ind w:right="460" w:firstLine="737"/>
        <w:spacing w:after="0" w:line="272" w:lineRule="auto"/>
        <w:rPr>
          <w:sz w:val="20"/>
          <w:szCs w:val="20"/>
          <w:color w:val="auto"/>
        </w:rPr>
      </w:pPr>
      <w:r>
        <w:rPr>
          <w:rFonts w:ascii="Arial" w:cs="Arial" w:eastAsia="Arial" w:hAnsi="Arial"/>
          <w:sz w:val="14"/>
          <w:szCs w:val="14"/>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178435</wp:posOffset>
            </wp:positionV>
            <wp:extent cx="7157085"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5"/>
          <w:szCs w:val="15"/>
          <w:b w:val="1"/>
          <w:bCs w:val="1"/>
          <w:color w:val="auto"/>
        </w:rPr>
        <w:t>PART I</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89" w:lineRule="exact"/>
        <w:rPr>
          <w:sz w:val="20"/>
          <w:szCs w:val="20"/>
          <w:color w:val="auto"/>
        </w:rPr>
      </w:pPr>
    </w:p>
    <w:p>
      <w:pPr>
        <w:ind w:right="20" w:firstLine="737"/>
        <w:spacing w:after="0" w:line="234" w:lineRule="auto"/>
        <w:rPr>
          <w:sz w:val="20"/>
          <w:szCs w:val="20"/>
          <w:color w:val="auto"/>
        </w:rPr>
      </w:pPr>
      <w:r>
        <w:rPr>
          <w:rFonts w:ascii="Arial" w:cs="Arial" w:eastAsia="Arial" w:hAnsi="Arial"/>
          <w:sz w:val="15"/>
          <w:szCs w:val="15"/>
          <w:color w:val="auto"/>
        </w:rPr>
        <w:t>We are a leading provider of innovative technology-driven solutions in the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(Command, Control, Computers, Communications, Cyber, Intelligence, Surveillance, and Reconnaissance), space, geospatial, mobility solutions and connected communities. By combining our talented team of professionals and advanced technology, we solve complex technical challenges to enable a safer, smarter and more connected world.</w:t>
      </w:r>
    </w:p>
    <w:p>
      <w:pPr>
        <w:spacing w:after="0" w:line="168" w:lineRule="exact"/>
        <w:rPr>
          <w:sz w:val="20"/>
          <w:szCs w:val="20"/>
          <w:color w:val="auto"/>
        </w:rPr>
      </w:pPr>
    </w:p>
    <w:p>
      <w:pPr>
        <w:ind w:right="40" w:firstLine="737"/>
        <w:spacing w:after="0" w:line="254" w:lineRule="auto"/>
        <w:rPr>
          <w:sz w:val="20"/>
          <w:szCs w:val="20"/>
          <w:color w:val="auto"/>
        </w:rPr>
      </w:pPr>
      <w:r>
        <w:rPr>
          <w:rFonts w:ascii="Arial" w:cs="Arial" w:eastAsia="Arial" w:hAnsi="Arial"/>
          <w:sz w:val="14"/>
          <w:szCs w:val="14"/>
          <w:color w:val="auto"/>
        </w:rPr>
        <w:t>Since our founding nearly 77 years ago, we have built our reputation and business on our ability to successfully innovate and transform while leveraging cutting-edge technologies to meet our customers’ needs and grow our business. Whether our customers need a first-of-its-kind advanced missile development and testing facility, or an artificial intelligence enabled cloud platform to defend against cybersecurity threats, we deliver for our customers. We seek to grow by offering our clients innovative solutions derived from strategic hiring combined with research and development investments, as well as targeted acquisitions of innovative technology companies. We have developed longstanding relationships with customers such as the U.S. military and intelligence agencies and state and local governments and agencies.</w:t>
      </w:r>
    </w:p>
    <w:p>
      <w:pPr>
        <w:spacing w:after="0" w:line="157" w:lineRule="exact"/>
        <w:rPr>
          <w:sz w:val="20"/>
          <w:szCs w:val="20"/>
          <w:color w:val="auto"/>
        </w:rPr>
      </w:pPr>
    </w:p>
    <w:p>
      <w:pPr>
        <w:ind w:right="80" w:firstLine="737"/>
        <w:spacing w:after="0" w:line="236" w:lineRule="auto"/>
        <w:rPr>
          <w:sz w:val="20"/>
          <w:szCs w:val="20"/>
          <w:color w:val="auto"/>
        </w:rPr>
      </w:pPr>
      <w:r>
        <w:rPr>
          <w:rFonts w:ascii="Arial" w:cs="Arial" w:eastAsia="Arial" w:hAnsi="Arial"/>
          <w:sz w:val="15"/>
          <w:szCs w:val="15"/>
          <w:color w:val="auto"/>
        </w:rPr>
        <w:t>We operate in two reportable segments, Federal Solutions and Critical Infrastructure, with both revenue and adjusted earnings before interest, taxes, depreciation and amortization (EBITDA) contribution of 49% and 51%, respectively, for fiscal 2020. See "Management’s Discussion and Analysis of Financial Condition and Results of Operations—Segment Results” for further discussion on our segments.</w:t>
      </w:r>
    </w:p>
    <w:p>
      <w:pPr>
        <w:spacing w:after="0" w:line="63" w:lineRule="exact"/>
        <w:rPr>
          <w:sz w:val="20"/>
          <w:szCs w:val="20"/>
          <w:color w:val="auto"/>
        </w:rPr>
      </w:pPr>
    </w:p>
    <w:p>
      <w:pPr>
        <w:ind w:left="300" w:right="60" w:firstLine="288"/>
        <w:spacing w:after="0" w:line="237" w:lineRule="auto"/>
        <w:rPr>
          <w:sz w:val="20"/>
          <w:szCs w:val="20"/>
          <w:color w:val="auto"/>
        </w:rPr>
      </w:pPr>
      <w:r>
        <w:rPr>
          <w:rFonts w:ascii="Arial" w:cs="Arial" w:eastAsia="Arial" w:hAnsi="Arial"/>
          <w:sz w:val="15"/>
          <w:szCs w:val="15"/>
          <w:i w:val="1"/>
          <w:iCs w:val="1"/>
          <w:color w:val="auto"/>
        </w:rPr>
        <w:t xml:space="preserve">Federal Solutions: </w:t>
      </w:r>
      <w:r>
        <w:rPr>
          <w:rFonts w:ascii="Arial" w:cs="Arial" w:eastAsia="Arial" w:hAnsi="Arial"/>
          <w:sz w:val="15"/>
          <w:szCs w:val="15"/>
          <w:color w:val="auto"/>
        </w:rPr>
        <w:t>Our Federal Solutions segment is an advanced technology provider to the U.S. government, delivering timely, cost-effective solutions for</w:t>
      </w:r>
      <w:r>
        <w:rPr>
          <w:rFonts w:ascii="Arial" w:cs="Arial" w:eastAsia="Arial" w:hAnsi="Arial"/>
          <w:sz w:val="15"/>
          <w:szCs w:val="15"/>
          <w:i w:val="1"/>
          <w:iCs w:val="1"/>
          <w:color w:val="auto"/>
        </w:rPr>
        <w:t xml:space="preserve"> </w:t>
      </w:r>
      <w:r>
        <w:rPr>
          <w:rFonts w:ascii="Arial" w:cs="Arial" w:eastAsia="Arial" w:hAnsi="Arial"/>
          <w:sz w:val="15"/>
          <w:szCs w:val="15"/>
          <w:color w:val="auto"/>
        </w:rPr>
        <w:t>mission-critical projects. We provide critical technologies, including cybersecurity, missile defense systems, C5ISR, space launch and situational awareness, geospatial intelligence, radio frequency signals intelligence, nuclear and chemical waste remediation, and engineering services. The U.S. government and its agencies represent substantially all of the revenue of our Federal Solutions segment. These U.S. government agencies include the United States intelligence community, the U.S. Department of Defense military services and Missile Defense Agency, the Department of Energy, the Department of Homeland Security and the Federal Aviation Administration.</w:t>
      </w:r>
    </w:p>
    <w:p>
      <w:pPr>
        <w:spacing w:after="0" w:line="64" w:lineRule="exact"/>
        <w:rPr>
          <w:sz w:val="20"/>
          <w:szCs w:val="20"/>
          <w:color w:val="auto"/>
        </w:rPr>
      </w:pPr>
    </w:p>
    <w:p>
      <w:pPr>
        <w:ind w:left="300" w:firstLine="288"/>
        <w:spacing w:after="0" w:line="259" w:lineRule="auto"/>
        <w:rPr>
          <w:sz w:val="20"/>
          <w:szCs w:val="20"/>
          <w:color w:val="auto"/>
        </w:rPr>
      </w:pPr>
      <w:r>
        <w:rPr>
          <w:rFonts w:ascii="Arial" w:cs="Arial" w:eastAsia="Arial" w:hAnsi="Arial"/>
          <w:sz w:val="14"/>
          <w:szCs w:val="14"/>
          <w:i w:val="1"/>
          <w:iCs w:val="1"/>
          <w:color w:val="auto"/>
        </w:rPr>
        <w:t xml:space="preserve">Critical Infrastructure: </w:t>
      </w:r>
      <w:r>
        <w:rPr>
          <w:rFonts w:ascii="Arial" w:cs="Arial" w:eastAsia="Arial" w:hAnsi="Arial"/>
          <w:sz w:val="14"/>
          <w:szCs w:val="14"/>
          <w:color w:val="auto"/>
        </w:rPr>
        <w:t>Our Critical Infrastructure segment provides integrated design and engineering services for complex physical and digital infrastructure</w:t>
      </w:r>
      <w:r>
        <w:rPr>
          <w:rFonts w:ascii="Arial" w:cs="Arial" w:eastAsia="Arial" w:hAnsi="Arial"/>
          <w:sz w:val="14"/>
          <w:szCs w:val="14"/>
          <w:i w:val="1"/>
          <w:iCs w:val="1"/>
          <w:color w:val="auto"/>
        </w:rPr>
        <w:t xml:space="preserve"> </w:t>
      </w:r>
      <w:r>
        <w:rPr>
          <w:rFonts w:ascii="Arial" w:cs="Arial" w:eastAsia="Arial" w:hAnsi="Arial"/>
          <w:sz w:val="14"/>
          <w:szCs w:val="14"/>
          <w:color w:val="auto"/>
        </w:rPr>
        <w:t>around the globe. We are a technology innovator focused on next generation aviation, rail and transit, and automotive sustainable infrastructure, leveraging sensors and data. Our capabilities in environmental remediation, systems’ engineering and project management allow us to deliver significant value to our customers by employing cutting-edge technologies, improving timelines and reducing costs. We serve a diverse global customer base including federal, state, municipal and industry customers such as Los Angeles World Airports, Canada’s Metrolinx, Dubai’s Roads and Transport Authority and the Port Authority of New York and New Jersey.</w:t>
      </w:r>
    </w:p>
    <w:p>
      <w:pPr>
        <w:spacing w:after="0" w:line="67" w:lineRule="exact"/>
        <w:rPr>
          <w:sz w:val="20"/>
          <w:szCs w:val="20"/>
          <w:color w:val="auto"/>
        </w:rPr>
      </w:pPr>
    </w:p>
    <w:p>
      <w:pPr>
        <w:ind w:left="300" w:right="100" w:firstLine="288"/>
        <w:spacing w:after="0" w:line="235" w:lineRule="auto"/>
        <w:rPr>
          <w:sz w:val="20"/>
          <w:szCs w:val="20"/>
          <w:color w:val="auto"/>
        </w:rPr>
      </w:pPr>
      <w:r>
        <w:rPr>
          <w:rFonts w:ascii="Arial" w:cs="Arial" w:eastAsia="Arial" w:hAnsi="Arial"/>
          <w:sz w:val="15"/>
          <w:szCs w:val="15"/>
          <w:color w:val="auto"/>
        </w:rPr>
        <w:t>Advances in technology and global awareness and focus on sustainability are dramatically shifting the operating landscape across our markets. Governments and companies are grappling with pressing challenges ranging from confronting increasingly sophisticated cybersecurity threats to upgrading aging systems and infrastructure to reducing environmental footprint and impact. To address these challenges, our customers are actively seeking technology-enabled solutions to enhance and transform their operations and assets. Our wide-ranging capabilities enable us to provide our services,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5" w:name="page6"/>
    <w:bookmarkEnd w:id="5"/>
    <w:p>
      <w:pPr>
        <w:jc w:val="both"/>
        <w:ind w:left="300" w:right="20"/>
        <w:spacing w:after="0" w:line="236" w:lineRule="auto"/>
        <w:rPr>
          <w:sz w:val="20"/>
          <w:szCs w:val="20"/>
          <w:color w:val="auto"/>
        </w:rPr>
      </w:pPr>
      <w:r>
        <w:rPr>
          <w:rFonts w:ascii="Arial" w:cs="Arial" w:eastAsia="Arial" w:hAnsi="Arial"/>
          <w:sz w:val="15"/>
          <w:szCs w:val="15"/>
          <w:color w:val="auto"/>
        </w:rPr>
        <w:t>products and solutions across the defense, intelligence and critical infrastructure markets. As a leading technology-driven solutions provider with a proven track record, we believe we are well positioned to benefit from these trends and serve our customers’ evolving needs. We have capabilities in the following four areas that cut across our segments and business lines:</w:t>
      </w:r>
    </w:p>
    <w:p>
      <w:pPr>
        <w:spacing w:after="0" w:line="61" w:lineRule="exact"/>
        <w:rPr>
          <w:sz w:val="20"/>
          <w:szCs w:val="20"/>
          <w:color w:val="auto"/>
        </w:rPr>
      </w:pPr>
    </w:p>
    <w:p>
      <w:pPr>
        <w:jc w:val="both"/>
        <w:ind w:left="300" w:firstLine="288"/>
        <w:spacing w:after="0" w:line="299" w:lineRule="auto"/>
        <w:rPr>
          <w:sz w:val="20"/>
          <w:szCs w:val="20"/>
          <w:color w:val="auto"/>
        </w:rPr>
      </w:pPr>
      <w:r>
        <w:rPr>
          <w:rFonts w:ascii="Arial" w:cs="Arial" w:eastAsia="Arial" w:hAnsi="Arial"/>
          <w:sz w:val="14"/>
          <w:szCs w:val="14"/>
          <w:b w:val="1"/>
          <w:bCs w:val="1"/>
          <w:color w:val="auto"/>
        </w:rPr>
        <w:t xml:space="preserve">Product Development: </w:t>
      </w:r>
      <w:r>
        <w:rPr>
          <w:rFonts w:ascii="Arial" w:cs="Arial" w:eastAsia="Arial" w:hAnsi="Arial"/>
          <w:sz w:val="14"/>
          <w:szCs w:val="14"/>
          <w:color w:val="auto"/>
        </w:rPr>
        <w:t>We develop software and hardware across many domains and mission-specific applications. Our experienced engineers and developers</w:t>
      </w:r>
      <w:r>
        <w:rPr>
          <w:rFonts w:ascii="Arial" w:cs="Arial" w:eastAsia="Arial" w:hAnsi="Arial"/>
          <w:sz w:val="14"/>
          <w:szCs w:val="14"/>
          <w:b w:val="1"/>
          <w:bCs w:val="1"/>
          <w:color w:val="auto"/>
        </w:rPr>
        <w:t xml:space="preserve"> </w:t>
      </w:r>
      <w:r>
        <w:rPr>
          <w:rFonts w:ascii="Arial" w:cs="Arial" w:eastAsia="Arial" w:hAnsi="Arial"/>
          <w:sz w:val="14"/>
          <w:szCs w:val="14"/>
          <w:color w:val="auto"/>
        </w:rPr>
        <w:t>design, develop, integrate, operate and sustain mission-critical software and hardware products across cyber, intelligence, defense and commercial customers.</w:t>
      </w:r>
    </w:p>
    <w:p>
      <w:pPr>
        <w:spacing w:after="0" w:line="20" w:lineRule="exact"/>
        <w:rPr>
          <w:sz w:val="20"/>
          <w:szCs w:val="20"/>
          <w:color w:val="auto"/>
        </w:rPr>
      </w:pPr>
    </w:p>
    <w:p>
      <w:pPr>
        <w:ind w:left="300" w:right="240" w:firstLine="288"/>
        <w:spacing w:after="0" w:line="263" w:lineRule="auto"/>
        <w:rPr>
          <w:sz w:val="20"/>
          <w:szCs w:val="20"/>
          <w:color w:val="auto"/>
        </w:rPr>
      </w:pPr>
      <w:r>
        <w:rPr>
          <w:rFonts w:ascii="Arial" w:cs="Arial" w:eastAsia="Arial" w:hAnsi="Arial"/>
          <w:sz w:val="15"/>
          <w:szCs w:val="15"/>
          <w:b w:val="1"/>
          <w:bCs w:val="1"/>
          <w:color w:val="auto"/>
        </w:rPr>
        <w:t xml:space="preserve">Systems Integration: </w:t>
      </w:r>
      <w:r>
        <w:rPr>
          <w:rFonts w:ascii="Arial" w:cs="Arial" w:eastAsia="Arial" w:hAnsi="Arial"/>
          <w:sz w:val="15"/>
          <w:szCs w:val="15"/>
          <w:color w:val="auto"/>
        </w:rPr>
        <w:t>We provide engineering services and technology for large digital and physical systems with high technical complexity. We lead projects</w:t>
      </w:r>
      <w:r>
        <w:rPr>
          <w:rFonts w:ascii="Arial" w:cs="Arial" w:eastAsia="Arial" w:hAnsi="Arial"/>
          <w:sz w:val="15"/>
          <w:szCs w:val="15"/>
          <w:b w:val="1"/>
          <w:bCs w:val="1"/>
          <w:color w:val="auto"/>
        </w:rPr>
        <w:t xml:space="preserve"> </w:t>
      </w:r>
      <w:r>
        <w:rPr>
          <w:rFonts w:ascii="Arial" w:cs="Arial" w:eastAsia="Arial" w:hAnsi="Arial"/>
          <w:sz w:val="15"/>
          <w:szCs w:val="15"/>
          <w:color w:val="auto"/>
        </w:rPr>
        <w:t>from concept development through design, implementation, testing and verification, ensuring interoperability of these complex, disparate systems.</w:t>
      </w:r>
    </w:p>
    <w:p>
      <w:pPr>
        <w:spacing w:after="0" w:line="43" w:lineRule="exact"/>
        <w:rPr>
          <w:sz w:val="20"/>
          <w:szCs w:val="20"/>
          <w:color w:val="auto"/>
        </w:rPr>
      </w:pPr>
    </w:p>
    <w:p>
      <w:pPr>
        <w:ind w:left="300" w:right="100" w:firstLine="288"/>
        <w:spacing w:after="0" w:line="263" w:lineRule="auto"/>
        <w:rPr>
          <w:sz w:val="20"/>
          <w:szCs w:val="20"/>
          <w:color w:val="auto"/>
        </w:rPr>
      </w:pPr>
      <w:r>
        <w:rPr>
          <w:rFonts w:ascii="Arial" w:cs="Arial" w:eastAsia="Arial" w:hAnsi="Arial"/>
          <w:sz w:val="15"/>
          <w:szCs w:val="15"/>
          <w:b w:val="1"/>
          <w:bCs w:val="1"/>
          <w:color w:val="auto"/>
        </w:rPr>
        <w:t xml:space="preserve">Program Management: </w:t>
      </w:r>
      <w:r>
        <w:rPr>
          <w:rFonts w:ascii="Arial" w:cs="Arial" w:eastAsia="Arial" w:hAnsi="Arial"/>
          <w:sz w:val="15"/>
          <w:szCs w:val="15"/>
          <w:color w:val="auto"/>
        </w:rPr>
        <w:t>We provide expertise and technology to advance our customers’ execution of large, complex projects within their defined sustainability,</w:t>
      </w:r>
      <w:r>
        <w:rPr>
          <w:rFonts w:ascii="Arial" w:cs="Arial" w:eastAsia="Arial" w:hAnsi="Arial"/>
          <w:sz w:val="15"/>
          <w:szCs w:val="15"/>
          <w:b w:val="1"/>
          <w:bCs w:val="1"/>
          <w:color w:val="auto"/>
        </w:rPr>
        <w:t xml:space="preserve"> </w:t>
      </w:r>
      <w:r>
        <w:rPr>
          <w:rFonts w:ascii="Arial" w:cs="Arial" w:eastAsia="Arial" w:hAnsi="Arial"/>
          <w:sz w:val="15"/>
          <w:szCs w:val="15"/>
          <w:color w:val="auto"/>
        </w:rPr>
        <w:t>quality, time and cost parameters.</w:t>
      </w:r>
    </w:p>
    <w:p>
      <w:pPr>
        <w:spacing w:after="0" w:line="43" w:lineRule="exact"/>
        <w:rPr>
          <w:sz w:val="20"/>
          <w:szCs w:val="20"/>
          <w:color w:val="auto"/>
        </w:rPr>
      </w:pPr>
    </w:p>
    <w:p>
      <w:pPr>
        <w:ind w:left="300" w:right="620" w:firstLine="288"/>
        <w:spacing w:after="0" w:line="263" w:lineRule="auto"/>
        <w:rPr>
          <w:sz w:val="20"/>
          <w:szCs w:val="20"/>
          <w:color w:val="auto"/>
        </w:rPr>
      </w:pPr>
      <w:r>
        <w:rPr>
          <w:rFonts w:ascii="Arial" w:cs="Arial" w:eastAsia="Arial" w:hAnsi="Arial"/>
          <w:sz w:val="15"/>
          <w:szCs w:val="15"/>
          <w:b w:val="1"/>
          <w:bCs w:val="1"/>
          <w:color w:val="auto"/>
        </w:rPr>
        <w:t xml:space="preserve">Design Engineering: </w:t>
      </w:r>
      <w:r>
        <w:rPr>
          <w:rFonts w:ascii="Arial" w:cs="Arial" w:eastAsia="Arial" w:hAnsi="Arial"/>
          <w:sz w:val="15"/>
          <w:szCs w:val="15"/>
          <w:color w:val="auto"/>
        </w:rPr>
        <w:t>We provide advanced systems and infrastructure engineering design associated with missile systems infrastructure, nuclear waste</w:t>
      </w:r>
      <w:r>
        <w:rPr>
          <w:rFonts w:ascii="Arial" w:cs="Arial" w:eastAsia="Arial" w:hAnsi="Arial"/>
          <w:sz w:val="15"/>
          <w:szCs w:val="15"/>
          <w:b w:val="1"/>
          <w:bCs w:val="1"/>
          <w:color w:val="auto"/>
        </w:rPr>
        <w:t xml:space="preserve"> </w:t>
      </w:r>
      <w:r>
        <w:rPr>
          <w:rFonts w:ascii="Arial" w:cs="Arial" w:eastAsia="Arial" w:hAnsi="Arial"/>
          <w:sz w:val="15"/>
          <w:szCs w:val="15"/>
          <w:color w:val="auto"/>
        </w:rPr>
        <w:t>processing facilities, environmental remediation, long-span bridges, rail and transit systems and other associated infrastructure.</w:t>
      </w:r>
    </w:p>
    <w:p>
      <w:pPr>
        <w:spacing w:after="0" w:line="216" w:lineRule="exact"/>
        <w:rPr>
          <w:sz w:val="20"/>
          <w:szCs w:val="20"/>
          <w:color w:val="auto"/>
        </w:rPr>
      </w:pPr>
    </w:p>
    <w:p>
      <w:pPr>
        <w:ind w:right="300" w:firstLine="737"/>
        <w:spacing w:after="0" w:line="235" w:lineRule="auto"/>
        <w:rPr>
          <w:sz w:val="20"/>
          <w:szCs w:val="20"/>
          <w:color w:val="auto"/>
        </w:rPr>
      </w:pPr>
      <w:r>
        <w:rPr>
          <w:rFonts w:ascii="Arial" w:cs="Arial" w:eastAsia="Arial" w:hAnsi="Arial"/>
          <w:sz w:val="15"/>
          <w:szCs w:val="15"/>
          <w:color w:val="auto"/>
        </w:rPr>
        <w:t>Our customer relationships, which are based on a long history of successfully delivering complex technical services, are key to our success. We are often involved in the early stages of our customers’ planning and permitting processes, which allows us to efficiently optimize our service delivery model. These relationships, along with our technical expertise and intellectual property, allow us to successfully deliver solutions that meet our customers’ demanding technical and execution requirements and fulfill our corporate purpose of developing a better world.</w:t>
      </w:r>
    </w:p>
    <w:p>
      <w:pPr>
        <w:spacing w:after="0" w:line="167"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Technology and our people are our most important assets, allowing us to consistently deliver for our customers and help them solve their most pressing challenges. Investment in key technological capabilities is core to our business and helps us to stay at the forefront of the evolving trends across our end markets. To meet the challenges of tomorrow, we are focusing our technology investment on artificial intelligence and machine learning, data processing and analytics, autonomous systems, cloud computing applications and migration, and IoT sensing and command and control. The work of our diverse and collaborative, highly skilled and dedicated employees has enabled our long track record of continued innovation and execution on behalf of our customers. Our team of engineers, scientists, programmers and other specialists include PhDs and certified hackers and a large number of our skilled workforce hold government security clearances, which provides a significant competitive advantage for the highly technical and demanding work we perform.</w:t>
      </w:r>
    </w:p>
    <w:p>
      <w:pPr>
        <w:spacing w:after="0" w:line="169" w:lineRule="exact"/>
        <w:rPr>
          <w:sz w:val="20"/>
          <w:szCs w:val="20"/>
          <w:color w:val="auto"/>
        </w:rPr>
      </w:pPr>
    </w:p>
    <w:p>
      <w:pPr>
        <w:ind w:right="160" w:firstLine="434"/>
        <w:spacing w:after="0" w:line="239" w:lineRule="auto"/>
        <w:rPr>
          <w:sz w:val="20"/>
          <w:szCs w:val="20"/>
          <w:color w:val="auto"/>
        </w:rPr>
      </w:pPr>
      <w:r>
        <w:rPr>
          <w:rFonts w:ascii="Arial" w:cs="Arial" w:eastAsia="Arial" w:hAnsi="Arial"/>
          <w:sz w:val="15"/>
          <w:szCs w:val="15"/>
          <w:color w:val="auto"/>
        </w:rPr>
        <w:t>In fiscal 2020, we generated revenues of $3.9 billion, net income attributable to Parsons Corporation of $98.5 million and Adjusted EBITDA of $342.6 million. For a definition of Adjusted EBITDA and reconciliation to net income attributable to Parsons Corporation, see Item 6 – Selected Financial Data.</w:t>
      </w:r>
    </w:p>
    <w:p>
      <w:pPr>
        <w:spacing w:after="0" w:line="166" w:lineRule="exact"/>
        <w:rPr>
          <w:sz w:val="20"/>
          <w:szCs w:val="20"/>
          <w:color w:val="auto"/>
        </w:rPr>
      </w:pPr>
    </w:p>
    <w:p>
      <w:pPr>
        <w:ind w:right="60" w:firstLine="438"/>
        <w:spacing w:after="0" w:line="236" w:lineRule="auto"/>
        <w:rPr>
          <w:sz w:val="20"/>
          <w:szCs w:val="20"/>
          <w:color w:val="auto"/>
        </w:rPr>
      </w:pPr>
      <w:r>
        <w:rPr>
          <w:rFonts w:ascii="Arial" w:cs="Arial" w:eastAsia="Arial" w:hAnsi="Arial"/>
          <w:sz w:val="15"/>
          <w:szCs w:val="15"/>
          <w:color w:val="auto"/>
        </w:rPr>
        <w:t>On new contracts and task orders for which we competed, we achieved an overall win rate of 46.4% in fiscal 2020, 37.4% in fiscal 2019 and 42.9% in fiscal 2018. As of December 31, 2020, our total backlog was $8.1 billion, an increase of 0.8% from December 31, 2019 due largely to the acquisition of Braxton Science and Technology Group LLC (Braxton).</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Services, Products and Solutions</w:t>
      </w:r>
    </w:p>
    <w:p>
      <w:pPr>
        <w:spacing w:after="0" w:line="189" w:lineRule="exact"/>
        <w:rPr>
          <w:sz w:val="20"/>
          <w:szCs w:val="20"/>
          <w:color w:val="auto"/>
        </w:rPr>
      </w:pPr>
    </w:p>
    <w:p>
      <w:pPr>
        <w:ind w:right="60" w:firstLine="434"/>
        <w:spacing w:after="0" w:line="236" w:lineRule="auto"/>
        <w:rPr>
          <w:sz w:val="20"/>
          <w:szCs w:val="20"/>
          <w:color w:val="auto"/>
        </w:rPr>
      </w:pPr>
      <w:r>
        <w:rPr>
          <w:rFonts w:ascii="Arial" w:cs="Arial" w:eastAsia="Arial" w:hAnsi="Arial"/>
          <w:sz w:val="15"/>
          <w:szCs w:val="15"/>
          <w:color w:val="auto"/>
        </w:rPr>
        <w:t>Within each of our segments, we focus our solutions, products and services on the needs of customers in each of our business lines. Parsons is differentiated by our people, processes and technology that work together to develop, rapidly prototype and deploy specialized hardware, software and infrastructure solutions to meet continually evolving customer missions and needs. With a culture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05" w:right="359" w:bottom="1440" w:gutter="0" w:footer="0" w:header="0"/>
        </w:sectPr>
      </w:pPr>
    </w:p>
    <w:bookmarkStart w:id="6" w:name="page7"/>
    <w:bookmarkEnd w:id="6"/>
    <w:p>
      <w:pPr>
        <w:ind w:right="200"/>
        <w:spacing w:after="0" w:line="236" w:lineRule="auto"/>
        <w:rPr>
          <w:sz w:val="20"/>
          <w:szCs w:val="20"/>
          <w:color w:val="auto"/>
        </w:rPr>
      </w:pPr>
      <w:r>
        <w:rPr>
          <w:rFonts w:ascii="Arial" w:cs="Arial" w:eastAsia="Arial" w:hAnsi="Arial"/>
          <w:sz w:val="15"/>
          <w:szCs w:val="15"/>
          <w:color w:val="auto"/>
        </w:rPr>
        <w:t>driven by agility, innovation and collaboration, we develop and deploy operationally proven capabilities in emerging technical areas, including advanced analytics, artificial intelligence/machine learning, cyber tools/platforms/operations, advanced sensing and command and control. We perform systems integration, product development, program management and engineering across our segments and business lines.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Federal Solutions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Federal Solutions business provides engineering services, software and hardware products and integrated solutions. Federal Solutions consists of four business</w:t>
      </w:r>
    </w:p>
    <w:p>
      <w:pPr>
        <w:spacing w:after="0" w:line="5" w:lineRule="exact"/>
        <w:rPr>
          <w:sz w:val="20"/>
          <w:szCs w:val="20"/>
          <w:color w:val="auto"/>
        </w:rPr>
      </w:pPr>
    </w:p>
    <w:p>
      <w:pPr>
        <w:ind w:right="260"/>
        <w:spacing w:after="0" w:line="236" w:lineRule="auto"/>
        <w:rPr>
          <w:sz w:val="20"/>
          <w:szCs w:val="20"/>
          <w:color w:val="auto"/>
        </w:rPr>
      </w:pPr>
      <w:r>
        <w:rPr>
          <w:rFonts w:ascii="Arial" w:cs="Arial" w:eastAsia="Arial" w:hAnsi="Arial"/>
          <w:sz w:val="15"/>
          <w:szCs w:val="15"/>
          <w:color w:val="auto"/>
        </w:rPr>
        <w:t>lines: Cyber &amp; Intelligence (C&amp;I), Space &amp; Geospatial Solutions (SGS), Missile Defense and C5ISR (MDC), and Engineered Systems (ES). Our strategy is to continue to expand our market position in the cybersecurity, intelligence, space, missile defense and C5ISR with integrated solutions that allow our customers to effectively and efficiently conduct their missions.</w:t>
      </w:r>
    </w:p>
    <w:p>
      <w:pPr>
        <w:spacing w:after="0" w:line="167" w:lineRule="exact"/>
        <w:rPr>
          <w:sz w:val="20"/>
          <w:szCs w:val="20"/>
          <w:color w:val="auto"/>
        </w:rPr>
      </w:pPr>
    </w:p>
    <w:p>
      <w:pPr>
        <w:ind w:left="1300" w:right="60" w:hanging="427"/>
        <w:spacing w:after="0" w:line="235" w:lineRule="auto"/>
        <w:tabs>
          <w:tab w:leader="none" w:pos="1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C&amp;I—Our C&amp;I business line focuses on two related, but discrete markets: cybersecurity and intelligence. Our customers include the U.S. Department of Defense, the United States intelligence community, which consists of 17 separate United States government intelligence agencies, U.S. Cyber Command, the Department of Justice and the Department of Homeland Security. We provide offensive and defensive cybersecurity platforms, tools and operations.</w:t>
      </w:r>
    </w:p>
    <w:p>
      <w:pPr>
        <w:spacing w:after="0" w:line="166" w:lineRule="exact"/>
        <w:rPr>
          <w:rFonts w:ascii="Arial" w:cs="Arial" w:eastAsia="Arial" w:hAnsi="Arial"/>
          <w:sz w:val="15"/>
          <w:szCs w:val="15"/>
          <w:color w:val="auto"/>
        </w:rPr>
      </w:pPr>
    </w:p>
    <w:p>
      <w:pPr>
        <w:ind w:left="2160" w:right="20" w:hanging="423"/>
        <w:spacing w:after="0" w:line="235" w:lineRule="auto"/>
        <w:tabs>
          <w:tab w:leader="none" w:pos="2160" w:val="left"/>
        </w:tabs>
        <w:numPr>
          <w:ilvl w:val="1"/>
          <w:numId w:val="4"/>
        </w:numPr>
        <w:rPr>
          <w:rFonts w:ascii="Arial" w:cs="Arial" w:eastAsia="Arial" w:hAnsi="Arial"/>
          <w:sz w:val="15"/>
          <w:szCs w:val="15"/>
          <w:color w:val="auto"/>
        </w:rPr>
      </w:pPr>
      <w:r>
        <w:rPr>
          <w:rFonts w:ascii="Arial" w:cs="Arial" w:eastAsia="Arial" w:hAnsi="Arial"/>
          <w:sz w:val="15"/>
          <w:szCs w:val="15"/>
          <w:color w:val="auto"/>
        </w:rPr>
        <w:t>An example is Enhanced Network Visualization Environment (ENVE), our tool that assists combatant commanders with combat information reports in a timely manner. ENVE supports passive reconnaissance and analysis missions by receiving data feeds from mission partners at remote sites through various means. This scalable solution – which includes Parsons’ high-speed processing product – constructs network topologies (map-like displays) from data in real time.</w:t>
      </w:r>
    </w:p>
    <w:p>
      <w:pPr>
        <w:spacing w:after="0" w:line="166" w:lineRule="exact"/>
        <w:rPr>
          <w:rFonts w:ascii="Arial" w:cs="Arial" w:eastAsia="Arial" w:hAnsi="Arial"/>
          <w:sz w:val="15"/>
          <w:szCs w:val="15"/>
          <w:color w:val="auto"/>
        </w:rPr>
      </w:pPr>
    </w:p>
    <w:p>
      <w:pPr>
        <w:ind w:left="2160" w:right="60" w:hanging="423"/>
        <w:spacing w:after="0" w:line="235" w:lineRule="auto"/>
        <w:tabs>
          <w:tab w:leader="none" w:pos="2160" w:val="left"/>
        </w:tabs>
        <w:numPr>
          <w:ilvl w:val="1"/>
          <w:numId w:val="4"/>
        </w:numPr>
        <w:rPr>
          <w:rFonts w:ascii="Arial" w:cs="Arial" w:eastAsia="Arial" w:hAnsi="Arial"/>
          <w:sz w:val="15"/>
          <w:szCs w:val="15"/>
          <w:color w:val="auto"/>
        </w:rPr>
      </w:pPr>
      <w:r>
        <w:rPr>
          <w:rFonts w:ascii="Arial" w:cs="Arial" w:eastAsia="Arial" w:hAnsi="Arial"/>
          <w:sz w:val="15"/>
          <w:szCs w:val="15"/>
          <w:color w:val="auto"/>
        </w:rPr>
        <w:t>Other representative cyber solutions and products include the Army’s Defensive Cyber Operations Mission Planning (DCOMP), where Parsons is the lead system integrator leveraging our streamlined DevSecOps processes for user/developer collaboration; Advanced Video Activity Analytics, or AVAA, which enables the automated analysis of actionable data produced from massive volumes of motion imagery; and Knowtify®, an open source intelligence search engine.</w:t>
      </w:r>
    </w:p>
    <w:p>
      <w:pPr>
        <w:spacing w:after="0" w:line="166" w:lineRule="exact"/>
        <w:rPr>
          <w:rFonts w:ascii="Arial" w:cs="Arial" w:eastAsia="Arial" w:hAnsi="Arial"/>
          <w:sz w:val="15"/>
          <w:szCs w:val="15"/>
          <w:color w:val="auto"/>
        </w:rPr>
      </w:pPr>
    </w:p>
    <w:p>
      <w:pPr>
        <w:ind w:left="1300" w:hanging="427"/>
        <w:spacing w:after="0" w:line="234" w:lineRule="auto"/>
        <w:tabs>
          <w:tab w:leader="none" w:pos="1300" w:val="left"/>
        </w:tabs>
        <w:numPr>
          <w:ilvl w:val="0"/>
          <w:numId w:val="4"/>
        </w:numPr>
        <w:rPr>
          <w:rFonts w:ascii="Arial" w:cs="Arial" w:eastAsia="Arial" w:hAnsi="Arial"/>
          <w:sz w:val="15"/>
          <w:szCs w:val="15"/>
          <w:color w:val="auto"/>
        </w:rPr>
      </w:pPr>
      <w:r>
        <w:rPr>
          <w:rFonts w:ascii="Arial" w:cs="Arial" w:eastAsia="Arial" w:hAnsi="Arial"/>
          <w:sz w:val="15"/>
          <w:szCs w:val="15"/>
          <w:color w:val="auto"/>
        </w:rPr>
        <w:t>SGS—Our SGS business line focuses on providing geospatial intelligence, threat analytics, space situational awareness, small satellite launch and integration, satellite ground systems, fight dynamics, and command and control solutions for the space end market. Our customers include the National Geospatial-Intelligence Agency, or NGA, National Reconnaissance Office, or NRO, and multiple units within the U.S. Department of Defense including the Special Operations Command, or SOCOM, the Unites States Space Force and military services. The acquisition of Braxton allows us to capitalize on quickly evolving space missions for national security space customers.</w:t>
      </w:r>
    </w:p>
    <w:p>
      <w:pPr>
        <w:spacing w:after="0" w:line="167" w:lineRule="exact"/>
        <w:rPr>
          <w:rFonts w:ascii="Arial" w:cs="Arial" w:eastAsia="Arial" w:hAnsi="Arial"/>
          <w:sz w:val="15"/>
          <w:szCs w:val="15"/>
          <w:color w:val="auto"/>
        </w:rPr>
      </w:pPr>
    </w:p>
    <w:p>
      <w:pPr>
        <w:ind w:left="2160" w:right="200" w:hanging="423"/>
        <w:spacing w:after="0" w:line="239" w:lineRule="auto"/>
        <w:tabs>
          <w:tab w:leader="none" w:pos="2160" w:val="left"/>
        </w:tabs>
        <w:numPr>
          <w:ilvl w:val="1"/>
          <w:numId w:val="4"/>
        </w:numPr>
        <w:rPr>
          <w:rFonts w:ascii="Arial" w:cs="Arial" w:eastAsia="Arial" w:hAnsi="Arial"/>
          <w:sz w:val="15"/>
          <w:szCs w:val="15"/>
          <w:color w:val="auto"/>
        </w:rPr>
      </w:pPr>
      <w:r>
        <w:rPr>
          <w:rFonts w:ascii="Arial" w:cs="Arial" w:eastAsia="Arial" w:hAnsi="Arial"/>
          <w:sz w:val="15"/>
          <w:szCs w:val="15"/>
          <w:color w:val="auto"/>
        </w:rPr>
        <w:t>An example is our work with NGA in providing automated capabilities to analyze, collect and expose geospatial intelligence content from the open source environment.</w:t>
      </w:r>
    </w:p>
    <w:p>
      <w:pPr>
        <w:spacing w:after="0" w:line="166" w:lineRule="exact"/>
        <w:rPr>
          <w:rFonts w:ascii="Arial" w:cs="Arial" w:eastAsia="Arial" w:hAnsi="Arial"/>
          <w:sz w:val="15"/>
          <w:szCs w:val="15"/>
          <w:color w:val="auto"/>
        </w:rPr>
      </w:pPr>
    </w:p>
    <w:p>
      <w:pPr>
        <w:ind w:left="2160" w:right="220" w:hanging="423"/>
        <w:spacing w:after="0" w:line="239" w:lineRule="auto"/>
        <w:tabs>
          <w:tab w:leader="none" w:pos="2160" w:val="left"/>
        </w:tabs>
        <w:numPr>
          <w:ilvl w:val="1"/>
          <w:numId w:val="4"/>
        </w:numPr>
        <w:rPr>
          <w:rFonts w:ascii="Arial" w:cs="Arial" w:eastAsia="Arial" w:hAnsi="Arial"/>
          <w:sz w:val="15"/>
          <w:szCs w:val="15"/>
          <w:color w:val="auto"/>
        </w:rPr>
      </w:pPr>
      <w:r>
        <w:rPr>
          <w:rFonts w:ascii="Arial" w:cs="Arial" w:eastAsia="Arial" w:hAnsi="Arial"/>
          <w:sz w:val="15"/>
          <w:szCs w:val="15"/>
          <w:color w:val="auto"/>
        </w:rPr>
        <w:t>We are a leader in the U.S. Department of Defense Enterprise Ground Services effort, providing a common architecture to organize and synchronize space platforms/constellations.</w:t>
      </w:r>
    </w:p>
    <w:p>
      <w:pPr>
        <w:spacing w:after="0" w:line="166" w:lineRule="exact"/>
        <w:rPr>
          <w:rFonts w:ascii="Arial" w:cs="Arial" w:eastAsia="Arial" w:hAnsi="Arial"/>
          <w:sz w:val="15"/>
          <w:szCs w:val="15"/>
          <w:color w:val="auto"/>
        </w:rPr>
      </w:pPr>
    </w:p>
    <w:p>
      <w:pPr>
        <w:ind w:left="2160" w:hanging="423"/>
        <w:spacing w:after="0" w:line="239" w:lineRule="auto"/>
        <w:tabs>
          <w:tab w:leader="none" w:pos="2160" w:val="left"/>
        </w:tabs>
        <w:numPr>
          <w:ilvl w:val="1"/>
          <w:numId w:val="4"/>
        </w:numPr>
        <w:rPr>
          <w:rFonts w:ascii="Arial" w:cs="Arial" w:eastAsia="Arial" w:hAnsi="Arial"/>
          <w:sz w:val="15"/>
          <w:szCs w:val="15"/>
          <w:color w:val="auto"/>
        </w:rPr>
      </w:pPr>
      <w:r>
        <w:rPr>
          <w:rFonts w:ascii="Arial" w:cs="Arial" w:eastAsia="Arial" w:hAnsi="Arial"/>
          <w:sz w:val="15"/>
          <w:szCs w:val="15"/>
          <w:color w:val="auto"/>
        </w:rPr>
        <w:t>Parsons is conducting vulnerability research and resiliency solutions for existing space architectures, while supporting the development and security engineering of next generation space infrastructure components, such as the Commercial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7" w:name="page8"/>
    <w:bookmarkEnd w:id="7"/>
    <w:p>
      <w:pPr>
        <w:ind w:left="2160"/>
        <w:spacing w:after="0"/>
        <w:rPr>
          <w:sz w:val="20"/>
          <w:szCs w:val="20"/>
          <w:color w:val="auto"/>
        </w:rPr>
      </w:pPr>
      <w:r>
        <w:rPr>
          <w:rFonts w:ascii="Arial" w:cs="Arial" w:eastAsia="Arial" w:hAnsi="Arial"/>
          <w:sz w:val="15"/>
          <w:szCs w:val="15"/>
          <w:color w:val="auto"/>
        </w:rPr>
        <w:t>Augmentation System. We also develop analysis and anomaly detection tools for satellite and ground system communications.</w:t>
      </w:r>
    </w:p>
    <w:p>
      <w:pPr>
        <w:spacing w:after="0" w:line="182" w:lineRule="exact"/>
        <w:rPr>
          <w:sz w:val="20"/>
          <w:szCs w:val="20"/>
          <w:color w:val="auto"/>
        </w:rPr>
      </w:pPr>
    </w:p>
    <w:p>
      <w:pPr>
        <w:ind w:left="1300" w:right="100" w:hanging="427"/>
        <w:spacing w:after="0" w:line="235" w:lineRule="auto"/>
        <w:tabs>
          <w:tab w:leader="none" w:pos="1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MDC—Our MDC business line focuses on the missile defense, space and C5ISR end markets. Our customers include the Defense Intelligence Agency and U.S. Department of Defense, including the military services, the Missile Defense Agency, or MDA, the North Atlantic Treaty Organization, or NATO, and research laboratories. We provide integrated air and missile defense, data fusion and analytics, platform system integration, directed energy, joint all-domain operations and command and control systems.</w:t>
      </w:r>
    </w:p>
    <w:p>
      <w:pPr>
        <w:spacing w:after="0" w:line="166" w:lineRule="exact"/>
        <w:rPr>
          <w:rFonts w:ascii="Arial" w:cs="Arial" w:eastAsia="Arial" w:hAnsi="Arial"/>
          <w:sz w:val="15"/>
          <w:szCs w:val="15"/>
          <w:color w:val="auto"/>
        </w:rPr>
      </w:pPr>
    </w:p>
    <w:p>
      <w:pPr>
        <w:ind w:left="2160" w:right="400" w:hanging="423"/>
        <w:spacing w:after="0" w:line="235"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An example is our role as the prime Technical Engineering, Advisory and Management Support (TEAMS) contractor for the MDA, facilitating key aspects of their mission, from battle management to next-generation multi-domain command and control. We provide weapons and missile defense, systems engineering, battle management command, control and communications (C2BMC), warfighter support and facilities and life cycle support.</w:t>
      </w:r>
    </w:p>
    <w:p>
      <w:pPr>
        <w:spacing w:after="0" w:line="166" w:lineRule="exact"/>
        <w:rPr>
          <w:rFonts w:ascii="Arial" w:cs="Arial" w:eastAsia="Arial" w:hAnsi="Arial"/>
          <w:sz w:val="15"/>
          <w:szCs w:val="15"/>
          <w:color w:val="auto"/>
        </w:rPr>
      </w:pPr>
    </w:p>
    <w:p>
      <w:pPr>
        <w:ind w:left="2160" w:right="100" w:hanging="423"/>
        <w:spacing w:after="0" w:line="235"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Representative products include our Parsons Universal Modeling and Analysis (PUMA), model-based systems engineering environment and our Command and Control Core (C2Core</w:t>
      </w:r>
      <w:r>
        <w:rPr>
          <w:rFonts w:ascii="Arial" w:cs="Arial" w:eastAsia="Arial" w:hAnsi="Arial"/>
          <w:sz w:val="12"/>
          <w:szCs w:val="12"/>
          <w:color w:val="auto"/>
        </w:rPr>
        <w:t>®)</w:t>
      </w:r>
      <w:r>
        <w:rPr>
          <w:rFonts w:ascii="Arial" w:cs="Arial" w:eastAsia="Arial" w:hAnsi="Arial"/>
          <w:sz w:val="15"/>
          <w:szCs w:val="15"/>
          <w:color w:val="auto"/>
        </w:rPr>
        <w:t xml:space="preserve"> mission planning and tasking suite that links requests, effects and operational guidance in a unified database. Our Performance-Enhanced Airborne Reconnaissance Low (PeARL®) family of sensors provides very high-resolution imagery to support operational requirements.</w:t>
      </w:r>
    </w:p>
    <w:p>
      <w:pPr>
        <w:spacing w:after="0" w:line="166" w:lineRule="exact"/>
        <w:rPr>
          <w:rFonts w:ascii="Arial" w:cs="Arial" w:eastAsia="Arial" w:hAnsi="Arial"/>
          <w:sz w:val="15"/>
          <w:szCs w:val="15"/>
          <w:color w:val="auto"/>
        </w:rPr>
      </w:pPr>
    </w:p>
    <w:p>
      <w:pPr>
        <w:ind w:left="2160" w:hanging="423"/>
        <w:spacing w:after="0" w:line="236"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We provide converged cyber-physical solutions for critical infrastructure and physical security solutions. Representative offerings include converged physical and cyber security for industrial control systems and infrastructure upgrades, including control systems, power systems, connected devices, and smart meters.</w:t>
      </w:r>
    </w:p>
    <w:p>
      <w:pPr>
        <w:spacing w:after="0" w:line="167" w:lineRule="exact"/>
        <w:rPr>
          <w:rFonts w:ascii="Arial" w:cs="Arial" w:eastAsia="Arial" w:hAnsi="Arial"/>
          <w:sz w:val="15"/>
          <w:szCs w:val="15"/>
          <w:color w:val="auto"/>
        </w:rPr>
      </w:pPr>
    </w:p>
    <w:p>
      <w:pPr>
        <w:ind w:left="1300" w:right="140" w:hanging="427"/>
        <w:spacing w:after="0" w:line="233" w:lineRule="auto"/>
        <w:tabs>
          <w:tab w:leader="none" w:pos="1300" w:val="left"/>
        </w:tabs>
        <w:numPr>
          <w:ilvl w:val="0"/>
          <w:numId w:val="5"/>
        </w:numPr>
        <w:rPr>
          <w:rFonts w:ascii="Arial" w:cs="Arial" w:eastAsia="Arial" w:hAnsi="Arial"/>
          <w:sz w:val="15"/>
          <w:szCs w:val="15"/>
          <w:color w:val="auto"/>
        </w:rPr>
      </w:pPr>
      <w:r>
        <w:rPr>
          <w:rFonts w:ascii="Arial" w:cs="Arial" w:eastAsia="Arial" w:hAnsi="Arial"/>
          <w:sz w:val="15"/>
          <w:szCs w:val="15"/>
          <w:color w:val="auto"/>
        </w:rPr>
        <w:t>ES—Our ES business line focuses on advanced technology services for complex energy production systems, aviation, healthcare and bio-surveillance systems, environmental systems and associated infrastructure. Customers include the Department of Energy (DOE), the Defense Threat Reduction Agency (DTRA), the U.S. Army Corps of Engineers, the Federal Aviation Administration (FAA), the National Aeronautics and Space Administration (NASA), the United States Postal Service, the Department of Labor and the Jet Propulsion Laboratory. Representative offerings include nuclear waste processing and treatment, weapons of mass destruction elimination, program and project management, infectious disease control analytics and data protection.</w:t>
      </w:r>
    </w:p>
    <w:p>
      <w:pPr>
        <w:spacing w:after="0" w:line="170" w:lineRule="exact"/>
        <w:rPr>
          <w:rFonts w:ascii="Arial" w:cs="Arial" w:eastAsia="Arial" w:hAnsi="Arial"/>
          <w:sz w:val="15"/>
          <w:szCs w:val="15"/>
          <w:color w:val="auto"/>
        </w:rPr>
      </w:pPr>
    </w:p>
    <w:p>
      <w:pPr>
        <w:ind w:left="2160" w:hanging="423"/>
        <w:spacing w:after="0"/>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Our expertise includes fluorinated organic chemicals, advanced digital classification and complex program and engineering management.</w:t>
      </w:r>
    </w:p>
    <w:p>
      <w:pPr>
        <w:spacing w:after="0" w:line="182" w:lineRule="exact"/>
        <w:rPr>
          <w:rFonts w:ascii="Arial" w:cs="Arial" w:eastAsia="Arial" w:hAnsi="Arial"/>
          <w:sz w:val="15"/>
          <w:szCs w:val="15"/>
          <w:color w:val="auto"/>
        </w:rPr>
      </w:pPr>
    </w:p>
    <w:p>
      <w:pPr>
        <w:ind w:left="2160" w:right="40" w:hanging="423"/>
        <w:spacing w:after="0" w:line="239" w:lineRule="auto"/>
        <w:tabs>
          <w:tab w:leader="none" w:pos="2160" w:val="left"/>
        </w:tabs>
        <w:numPr>
          <w:ilvl w:val="1"/>
          <w:numId w:val="5"/>
        </w:numPr>
        <w:rPr>
          <w:rFonts w:ascii="Arial" w:cs="Arial" w:eastAsia="Arial" w:hAnsi="Arial"/>
          <w:sz w:val="15"/>
          <w:szCs w:val="15"/>
          <w:color w:val="auto"/>
        </w:rPr>
      </w:pPr>
      <w:r>
        <w:rPr>
          <w:rFonts w:ascii="Arial" w:cs="Arial" w:eastAsia="Arial" w:hAnsi="Arial"/>
          <w:sz w:val="15"/>
          <w:szCs w:val="15"/>
          <w:color w:val="auto"/>
        </w:rPr>
        <w:t>Representative programs include the National Science Foundation’s Antarctica Infrastructure Modernization for Science, the FAA Technical Services Contract and the DOE Salt Waste Processing Facility.</w:t>
      </w:r>
    </w:p>
    <w:p>
      <w:pPr>
        <w:spacing w:after="0" w:line="166" w:lineRule="exact"/>
        <w:rPr>
          <w:sz w:val="20"/>
          <w:szCs w:val="20"/>
          <w:color w:val="auto"/>
        </w:rPr>
      </w:pPr>
    </w:p>
    <w:p>
      <w:pPr>
        <w:ind w:right="20" w:firstLine="434"/>
        <w:spacing w:after="0" w:line="234" w:lineRule="auto"/>
        <w:rPr>
          <w:sz w:val="20"/>
          <w:szCs w:val="20"/>
          <w:color w:val="auto"/>
        </w:rPr>
      </w:pPr>
      <w:r>
        <w:rPr>
          <w:rFonts w:ascii="Arial" w:cs="Arial" w:eastAsia="Arial" w:hAnsi="Arial"/>
          <w:sz w:val="15"/>
          <w:szCs w:val="15"/>
          <w:color w:val="auto"/>
        </w:rPr>
        <w:t>On November 19, 2020, we completed the acquisition of Braxton. The acquisition increases our solutions, products and capabilities in the space, cyber, and intelligence markets. Braxton will be integrated into our SGS market, adding more than 370 employees, 80% of whom hold security clearances. Headquartered in Colorado Springs, Braxton operates at the forefront of satellite operations, ground system automation, flight dynamics, and spacecraft and antenna simulation for the U.S. Department of Defense and Intelligence Community. These capabilities position us to capitalize on the quickly evolving space missions of its national security space customers and address rapid market growth driven by proliferated low earth orbit constellations, small satellite expansion and space cyber resiliency.</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8" w:name="page9"/>
    <w:bookmarkEnd w:id="8"/>
    <w:p>
      <w:pPr>
        <w:ind w:left="431"/>
        <w:spacing w:after="0"/>
        <w:rPr>
          <w:sz w:val="20"/>
          <w:szCs w:val="20"/>
          <w:color w:val="auto"/>
        </w:rPr>
      </w:pPr>
      <w:r>
        <w:rPr>
          <w:rFonts w:ascii="Arial" w:cs="Arial" w:eastAsia="Arial" w:hAnsi="Arial"/>
          <w:sz w:val="15"/>
          <w:szCs w:val="15"/>
          <w:b w:val="1"/>
          <w:bCs w:val="1"/>
          <w:i w:val="1"/>
          <w:iCs w:val="1"/>
          <w:color w:val="auto"/>
        </w:rPr>
        <w:t>Critical Infrastructure</w:t>
      </w:r>
    </w:p>
    <w:p>
      <w:pPr>
        <w:spacing w:after="0" w:line="189" w:lineRule="exact"/>
        <w:rPr>
          <w:sz w:val="20"/>
          <w:szCs w:val="20"/>
          <w:color w:val="auto"/>
        </w:rPr>
      </w:pPr>
    </w:p>
    <w:p>
      <w:pPr>
        <w:ind w:left="431"/>
        <w:spacing w:after="0"/>
        <w:rPr>
          <w:sz w:val="20"/>
          <w:szCs w:val="20"/>
          <w:color w:val="auto"/>
        </w:rPr>
      </w:pPr>
      <w:r>
        <w:rPr>
          <w:rFonts w:ascii="Arial" w:cs="Arial" w:eastAsia="Arial" w:hAnsi="Arial"/>
          <w:sz w:val="14"/>
          <w:szCs w:val="14"/>
          <w:color w:val="auto"/>
        </w:rPr>
        <w:t>Our Critical Infrastructure business provides engineering, program management, and software solutions. It is focused on two business lines: Connected Communities</w:t>
      </w:r>
    </w:p>
    <w:p>
      <w:pPr>
        <w:spacing w:after="0" w:line="5" w:lineRule="exact"/>
        <w:rPr>
          <w:sz w:val="20"/>
          <w:szCs w:val="20"/>
          <w:color w:val="auto"/>
        </w:rPr>
      </w:pPr>
    </w:p>
    <w:p>
      <w:pPr>
        <w:ind w:left="-9" w:right="400" w:firstLine="9"/>
        <w:spacing w:after="0" w:line="236" w:lineRule="auto"/>
        <w:tabs>
          <w:tab w:leader="none" w:pos="344" w:val="left"/>
        </w:tabs>
        <w:numPr>
          <w:ilvl w:val="0"/>
          <w:numId w:val="6"/>
        </w:numPr>
        <w:rPr>
          <w:rFonts w:ascii="Arial" w:cs="Arial" w:eastAsia="Arial" w:hAnsi="Arial"/>
          <w:sz w:val="15"/>
          <w:szCs w:val="15"/>
          <w:color w:val="auto"/>
        </w:rPr>
      </w:pPr>
      <w:r>
        <w:rPr>
          <w:rFonts w:ascii="Arial" w:cs="Arial" w:eastAsia="Arial" w:hAnsi="Arial"/>
          <w:sz w:val="15"/>
          <w:szCs w:val="15"/>
          <w:color w:val="auto"/>
        </w:rPr>
        <w:t>and Mobility Solutions (MS). Our growth strategy includes leveraging our portfolio of sophisticated engineering solutions and technologies for complex physical infrastructure projects. We are expanding our portfolio in key emerging growth areas including integrated transportation systems and smart cities, critical infrastructure protection, aviation, rail and transit, and water/wastewater treatment.</w:t>
      </w:r>
    </w:p>
    <w:p>
      <w:pPr>
        <w:spacing w:after="0" w:line="167" w:lineRule="exact"/>
        <w:rPr>
          <w:rFonts w:ascii="Arial" w:cs="Arial" w:eastAsia="Arial" w:hAnsi="Arial"/>
          <w:sz w:val="15"/>
          <w:szCs w:val="15"/>
          <w:color w:val="auto"/>
        </w:rPr>
      </w:pPr>
    </w:p>
    <w:p>
      <w:pPr>
        <w:ind w:left="871" w:right="40" w:hanging="439"/>
        <w:spacing w:after="0" w:line="254" w:lineRule="auto"/>
        <w:tabs>
          <w:tab w:leader="none" w:pos="871" w:val="left"/>
        </w:tabs>
        <w:numPr>
          <w:ilvl w:val="1"/>
          <w:numId w:val="6"/>
        </w:numPr>
        <w:rPr>
          <w:rFonts w:ascii="Arial" w:cs="Arial" w:eastAsia="Arial" w:hAnsi="Arial"/>
          <w:sz w:val="14"/>
          <w:szCs w:val="14"/>
          <w:color w:val="auto"/>
        </w:rPr>
      </w:pPr>
      <w:r>
        <w:rPr>
          <w:rFonts w:ascii="Arial" w:cs="Arial" w:eastAsia="Arial" w:hAnsi="Arial"/>
          <w:sz w:val="14"/>
          <w:szCs w:val="14"/>
          <w:color w:val="auto"/>
        </w:rPr>
        <w:t>CC—Our CC business line includes intelligent transportation system management, aviation, rail and transit systems including communications-based train controls, smart cities software and critical infrastructure protection. Our customers include the transportation authorities for the cities of Los Angeles, New York and Paris, the states or provinces of Georgia, Ontario and Texas and rail and transit entities including AMTRAK, CSX, Metrolinx (Ontario Canada), Riyadh Metro, and the WMATA. Technology capabilities include positive and communications-based train controls systems integration, intelligent transportation network software, vehicle inspection data analytics software, automated people mover and baggage handling systems and autonomous vehicle integration.</w:t>
      </w:r>
    </w:p>
    <w:p>
      <w:pPr>
        <w:spacing w:after="0" w:line="156" w:lineRule="exact"/>
        <w:rPr>
          <w:rFonts w:ascii="Arial" w:cs="Arial" w:eastAsia="Arial" w:hAnsi="Arial"/>
          <w:sz w:val="14"/>
          <w:szCs w:val="14"/>
          <w:color w:val="auto"/>
        </w:rPr>
      </w:pPr>
    </w:p>
    <w:p>
      <w:pPr>
        <w:ind w:left="1731" w:hanging="435"/>
        <w:spacing w:after="0" w:line="235" w:lineRule="auto"/>
        <w:tabs>
          <w:tab w:leader="none" w:pos="1731" w:val="left"/>
        </w:tabs>
        <w:numPr>
          <w:ilvl w:val="2"/>
          <w:numId w:val="6"/>
        </w:numPr>
        <w:rPr>
          <w:rFonts w:ascii="Arial" w:cs="Arial" w:eastAsia="Arial" w:hAnsi="Arial"/>
          <w:sz w:val="15"/>
          <w:szCs w:val="15"/>
          <w:color w:val="auto"/>
        </w:rPr>
      </w:pPr>
      <w:r>
        <w:rPr>
          <w:rFonts w:ascii="Arial" w:cs="Arial" w:eastAsia="Arial" w:hAnsi="Arial"/>
          <w:sz w:val="15"/>
          <w:szCs w:val="15"/>
          <w:color w:val="auto"/>
        </w:rPr>
        <w:t>Parsons provides integrated traffic solutions for arterials, smart intersections, airport landside, ports and tolling integrators. An example is our role as provider of Advanced Traffic Management Systems, or ATMS, for transportation systems in seven U.S. states through our iNET™ platform. Since the first deployment in 2007, iNET® has been delivered to twenty-four state Departments of Transportation, twenty-two cities, eight county agencies, seven toll agencies, and seven different countries.</w:t>
      </w:r>
    </w:p>
    <w:p>
      <w:pPr>
        <w:spacing w:after="0" w:line="166" w:lineRule="exact"/>
        <w:rPr>
          <w:rFonts w:ascii="Arial" w:cs="Arial" w:eastAsia="Arial" w:hAnsi="Arial"/>
          <w:sz w:val="15"/>
          <w:szCs w:val="15"/>
          <w:color w:val="auto"/>
        </w:rPr>
      </w:pPr>
    </w:p>
    <w:p>
      <w:pPr>
        <w:jc w:val="both"/>
        <w:ind w:left="1731" w:right="520" w:hanging="435"/>
        <w:spacing w:after="0" w:line="236" w:lineRule="auto"/>
        <w:tabs>
          <w:tab w:leader="none" w:pos="1731" w:val="left"/>
        </w:tabs>
        <w:numPr>
          <w:ilvl w:val="2"/>
          <w:numId w:val="6"/>
        </w:numPr>
        <w:rPr>
          <w:rFonts w:ascii="Arial" w:cs="Arial" w:eastAsia="Arial" w:hAnsi="Arial"/>
          <w:sz w:val="15"/>
          <w:szCs w:val="15"/>
          <w:color w:val="auto"/>
        </w:rPr>
      </w:pPr>
      <w:r>
        <w:rPr>
          <w:rFonts w:ascii="Arial" w:cs="Arial" w:eastAsia="Arial" w:hAnsi="Arial"/>
          <w:sz w:val="15"/>
          <w:szCs w:val="15"/>
          <w:color w:val="auto"/>
        </w:rPr>
        <w:t>For aviation, we play a critical role as program manager for global airports. We are the program manager of the environmentally sensitive Diamond Head Extension Program at Honolulu International Airport, the Houston Airport System, and the Landside Access Modernization Program for Los Angeles International Airport.</w:t>
      </w:r>
    </w:p>
    <w:p>
      <w:pPr>
        <w:spacing w:after="0" w:line="167" w:lineRule="exact"/>
        <w:rPr>
          <w:rFonts w:ascii="Arial" w:cs="Arial" w:eastAsia="Arial" w:hAnsi="Arial"/>
          <w:sz w:val="15"/>
          <w:szCs w:val="15"/>
          <w:color w:val="auto"/>
        </w:rPr>
      </w:pPr>
    </w:p>
    <w:p>
      <w:pPr>
        <w:ind w:left="1731" w:hanging="435"/>
        <w:spacing w:after="0"/>
        <w:tabs>
          <w:tab w:leader="none" w:pos="1731" w:val="left"/>
        </w:tabs>
        <w:numPr>
          <w:ilvl w:val="2"/>
          <w:numId w:val="6"/>
        </w:numPr>
        <w:rPr>
          <w:rFonts w:ascii="Arial" w:cs="Arial" w:eastAsia="Arial" w:hAnsi="Arial"/>
          <w:sz w:val="15"/>
          <w:szCs w:val="15"/>
          <w:color w:val="auto"/>
        </w:rPr>
      </w:pPr>
      <w:r>
        <w:rPr>
          <w:rFonts w:ascii="Arial" w:cs="Arial" w:eastAsia="Arial" w:hAnsi="Arial"/>
          <w:sz w:val="15"/>
          <w:szCs w:val="15"/>
          <w:color w:val="auto"/>
        </w:rPr>
        <w:t>Our rail and transit capabilities include systems optimization, communications-based train control, rail system design and system assurance.</w:t>
      </w:r>
    </w:p>
    <w:p>
      <w:pPr>
        <w:spacing w:after="0" w:line="182" w:lineRule="exact"/>
        <w:rPr>
          <w:rFonts w:ascii="Arial" w:cs="Arial" w:eastAsia="Arial" w:hAnsi="Arial"/>
          <w:sz w:val="15"/>
          <w:szCs w:val="15"/>
          <w:color w:val="auto"/>
        </w:rPr>
      </w:pPr>
    </w:p>
    <w:p>
      <w:pPr>
        <w:ind w:left="871" w:right="100" w:hanging="439"/>
        <w:spacing w:after="0" w:line="234" w:lineRule="auto"/>
        <w:tabs>
          <w:tab w:leader="none" w:pos="871" w:val="left"/>
        </w:tabs>
        <w:numPr>
          <w:ilvl w:val="1"/>
          <w:numId w:val="6"/>
        </w:numPr>
        <w:rPr>
          <w:rFonts w:ascii="Arial" w:cs="Arial" w:eastAsia="Arial" w:hAnsi="Arial"/>
          <w:sz w:val="15"/>
          <w:szCs w:val="15"/>
          <w:color w:val="auto"/>
        </w:rPr>
      </w:pPr>
      <w:r>
        <w:rPr>
          <w:rFonts w:ascii="Arial" w:cs="Arial" w:eastAsia="Arial" w:hAnsi="Arial"/>
          <w:sz w:val="15"/>
          <w:szCs w:val="15"/>
          <w:color w:val="auto"/>
        </w:rPr>
        <w:t>MS— Our MS business line provides engineering services for complex infrastructure including bridges and tunnels, roads and highways, water and wastewater, and dams, reservoirs and environmental remediation. Within our diverse customer base, our customer relationships include states (e.g. Texas, Florida, Georgia, Illinois, New York, and Michigan), cities and provinces, industrial clients, water authorities, and Middle East customers, such as the Kingdom of Saudi Arabia Royal Commission and Riyadh Metro. Our capabilities include technologies in long-span bridges, tunnels, water/wastewater and environmental remediation.</w:t>
      </w:r>
    </w:p>
    <w:p>
      <w:pPr>
        <w:spacing w:after="0" w:line="167" w:lineRule="exact"/>
        <w:rPr>
          <w:rFonts w:ascii="Arial" w:cs="Arial" w:eastAsia="Arial" w:hAnsi="Arial"/>
          <w:sz w:val="15"/>
          <w:szCs w:val="15"/>
          <w:color w:val="auto"/>
        </w:rPr>
      </w:pPr>
    </w:p>
    <w:p>
      <w:pPr>
        <w:ind w:left="1731" w:right="60" w:hanging="435"/>
        <w:spacing w:after="0" w:line="239" w:lineRule="auto"/>
        <w:tabs>
          <w:tab w:leader="none" w:pos="1731" w:val="left"/>
        </w:tabs>
        <w:numPr>
          <w:ilvl w:val="2"/>
          <w:numId w:val="6"/>
        </w:numPr>
        <w:rPr>
          <w:rFonts w:ascii="Arial" w:cs="Arial" w:eastAsia="Arial" w:hAnsi="Arial"/>
          <w:sz w:val="15"/>
          <w:szCs w:val="15"/>
          <w:color w:val="auto"/>
        </w:rPr>
      </w:pPr>
      <w:r>
        <w:rPr>
          <w:rFonts w:ascii="Arial" w:cs="Arial" w:eastAsia="Arial" w:hAnsi="Arial"/>
          <w:sz w:val="15"/>
          <w:szCs w:val="15"/>
          <w:color w:val="auto"/>
        </w:rPr>
        <w:t>An example of our design capabilities is our role as the leading designer of the Tacoma Narrows Bridge, the largest twin tower suspension bridge in the world. We are also the lead designer for the Federal Way link extension for Sound Transit in Seattle.</w:t>
      </w:r>
    </w:p>
    <w:p>
      <w:pPr>
        <w:spacing w:after="0" w:line="166" w:lineRule="exact"/>
        <w:rPr>
          <w:rFonts w:ascii="Arial" w:cs="Arial" w:eastAsia="Arial" w:hAnsi="Arial"/>
          <w:sz w:val="15"/>
          <w:szCs w:val="15"/>
          <w:color w:val="auto"/>
        </w:rPr>
      </w:pPr>
    </w:p>
    <w:p>
      <w:pPr>
        <w:ind w:left="1731" w:right="500" w:hanging="435"/>
        <w:spacing w:after="0" w:line="260" w:lineRule="auto"/>
        <w:tabs>
          <w:tab w:leader="none" w:pos="1731" w:val="left"/>
        </w:tabs>
        <w:numPr>
          <w:ilvl w:val="2"/>
          <w:numId w:val="6"/>
        </w:numPr>
        <w:rPr>
          <w:rFonts w:ascii="Arial" w:cs="Arial" w:eastAsia="Arial" w:hAnsi="Arial"/>
          <w:sz w:val="14"/>
          <w:szCs w:val="14"/>
          <w:color w:val="auto"/>
        </w:rPr>
      </w:pPr>
      <w:r>
        <w:rPr>
          <w:rFonts w:ascii="Arial" w:cs="Arial" w:eastAsia="Arial" w:hAnsi="Arial"/>
          <w:sz w:val="14"/>
          <w:szCs w:val="14"/>
          <w:color w:val="auto"/>
        </w:rPr>
        <w:t>For program management, we are part of the Riyadh Metro Transit Consultants responsible for program management of the Riyadh metro system. In addition, we are the program manager for the California Delta Water Conveyance Modernization Project, a multi-billion environmentally compliant water transfer project to improve water supply sustainability and reliability for human and environmental uses.</w:t>
      </w:r>
    </w:p>
    <w:p>
      <w:pPr>
        <w:spacing w:after="0" w:line="152" w:lineRule="exact"/>
        <w:rPr>
          <w:rFonts w:ascii="Arial" w:cs="Arial" w:eastAsia="Arial" w:hAnsi="Arial"/>
          <w:sz w:val="14"/>
          <w:szCs w:val="14"/>
          <w:color w:val="auto"/>
        </w:rPr>
      </w:pPr>
    </w:p>
    <w:p>
      <w:pPr>
        <w:ind w:left="1731" w:right="520" w:hanging="435"/>
        <w:spacing w:after="0" w:line="239" w:lineRule="auto"/>
        <w:tabs>
          <w:tab w:leader="none" w:pos="1731" w:val="left"/>
        </w:tabs>
        <w:numPr>
          <w:ilvl w:val="2"/>
          <w:numId w:val="6"/>
        </w:numPr>
        <w:rPr>
          <w:rFonts w:ascii="Arial" w:cs="Arial" w:eastAsia="Arial" w:hAnsi="Arial"/>
          <w:sz w:val="15"/>
          <w:szCs w:val="15"/>
          <w:color w:val="auto"/>
        </w:rPr>
      </w:pPr>
      <w:r>
        <w:rPr>
          <w:rFonts w:ascii="Arial" w:cs="Arial" w:eastAsia="Arial" w:hAnsi="Arial"/>
          <w:sz w:val="15"/>
          <w:szCs w:val="15"/>
          <w:color w:val="auto"/>
        </w:rPr>
        <w:t>Our Industrial group delivers engineering, program management and environmental solutions to private sector industrial clients and public utilities. Customers are diverse and include chemical, energy, utility, communications and manufacturing customers and</w:t>
      </w:r>
    </w:p>
    <w:p>
      <w:pPr>
        <w:spacing w:after="0" w:line="166" w:lineRule="exact"/>
        <w:rPr>
          <w:sz w:val="20"/>
          <w:szCs w:val="20"/>
          <w:color w:val="auto"/>
        </w:rPr>
      </w:pPr>
    </w:p>
    <w:p>
      <w:pPr>
        <w:jc w:val="center"/>
        <w:ind w:right="-3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52705</wp:posOffset>
            </wp:positionV>
            <wp:extent cx="7157085"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31"/>
          </w:cols>
          <w:pgMar w:left="309" w:top="475" w:right="359" w:bottom="1440" w:gutter="0" w:footer="0" w:header="0"/>
        </w:sectPr>
      </w:pPr>
    </w:p>
    <w:bookmarkStart w:id="9" w:name="page10"/>
    <w:bookmarkEnd w:id="9"/>
    <w:p>
      <w:pPr>
        <w:ind w:left="1740"/>
        <w:spacing w:after="0" w:line="235" w:lineRule="auto"/>
        <w:rPr>
          <w:sz w:val="20"/>
          <w:szCs w:val="20"/>
          <w:color w:val="auto"/>
        </w:rPr>
      </w:pPr>
      <w:r>
        <w:rPr>
          <w:rFonts w:ascii="Arial" w:cs="Arial" w:eastAsia="Arial" w:hAnsi="Arial"/>
          <w:sz w:val="15"/>
          <w:szCs w:val="15"/>
          <w:color w:val="auto"/>
        </w:rPr>
        <w:t>some provincial agencies. Our capabilities include environmental remediation, process engineering and program management of capital projects. We have a unique offering in this space, as Parsons understands our customers’ domains and can deliver advanced technology solutions, including cyber-physical security, environmental remediation, geospatial intelligence and 3D image processing, and application of virtual augmented reality.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Our Market Opportunities</w:t>
      </w:r>
    </w:p>
    <w:p>
      <w:pPr>
        <w:spacing w:after="0" w:line="189" w:lineRule="exact"/>
        <w:rPr>
          <w:sz w:val="20"/>
          <w:szCs w:val="20"/>
          <w:color w:val="auto"/>
        </w:rPr>
      </w:pPr>
    </w:p>
    <w:p>
      <w:pPr>
        <w:ind w:right="160" w:firstLine="434"/>
        <w:spacing w:after="0" w:line="235" w:lineRule="auto"/>
        <w:rPr>
          <w:sz w:val="20"/>
          <w:szCs w:val="20"/>
          <w:color w:val="auto"/>
        </w:rPr>
      </w:pPr>
      <w:r>
        <w:rPr>
          <w:rFonts w:ascii="Arial" w:cs="Arial" w:eastAsia="Arial" w:hAnsi="Arial"/>
          <w:sz w:val="15"/>
          <w:szCs w:val="15"/>
          <w:color w:val="auto"/>
        </w:rPr>
        <w:t>Technology revolution and environmental impact is driving a swift pace of change, resulting in ongoing societal transformation, complicated geopolitical dynamics, a shifting threat landscape and the globalization of commerce. To address this evolving landscape, our customers are actively seeking technology-enabled solutions at the speed of relevancy to upgrade and transform assets and operations. The below trends are key drivers of activity and growth in both our Federal Solutions and Critical Infrastructure segments.</w:t>
      </w:r>
    </w:p>
    <w:p>
      <w:pPr>
        <w:spacing w:after="0" w:line="149" w:lineRule="exact"/>
        <w:rPr>
          <w:sz w:val="20"/>
          <w:szCs w:val="20"/>
          <w:color w:val="auto"/>
        </w:rPr>
      </w:pPr>
    </w:p>
    <w:p>
      <w:pPr>
        <w:ind w:right="40" w:firstLine="434"/>
        <w:spacing w:after="0" w:line="242" w:lineRule="auto"/>
        <w:rPr>
          <w:sz w:val="20"/>
          <w:szCs w:val="20"/>
          <w:color w:val="auto"/>
        </w:rPr>
      </w:pPr>
      <w:r>
        <w:rPr>
          <w:rFonts w:ascii="Arial" w:cs="Arial" w:eastAsia="Arial" w:hAnsi="Arial"/>
          <w:sz w:val="15"/>
          <w:szCs w:val="15"/>
          <w:b w:val="1"/>
          <w:bCs w:val="1"/>
          <w:i w:val="1"/>
          <w:iCs w:val="1"/>
          <w:color w:val="auto"/>
        </w:rPr>
        <w:t xml:space="preserve">Defense Spending Remains a Key Focus </w:t>
      </w:r>
      <w:r>
        <w:rPr>
          <w:rFonts w:ascii="Arial" w:cs="Arial" w:eastAsia="Arial" w:hAnsi="Arial"/>
          <w:sz w:val="15"/>
          <w:szCs w:val="15"/>
          <w:color w:val="auto"/>
        </w:rPr>
        <w:t>of the national agenda due to the reemergence of long-term strategic peer competition, which has been cited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National Defense Strategy as the primary concern for U.S. national prosperity and security. This reemergence has resulted in increased global disorder and a security environment, defined by rapid technological change, which may be more complex than ever before. We believe the U.S. Department of Defense and intelligence community will continue to invest in space, C5ISR, and missile defense.</w:t>
      </w:r>
    </w:p>
    <w:p>
      <w:pPr>
        <w:spacing w:after="0" w:line="147" w:lineRule="exact"/>
        <w:rPr>
          <w:sz w:val="20"/>
          <w:szCs w:val="20"/>
          <w:color w:val="auto"/>
        </w:rPr>
      </w:pPr>
    </w:p>
    <w:p>
      <w:pPr>
        <w:ind w:right="60" w:firstLine="434"/>
        <w:spacing w:after="0" w:line="238" w:lineRule="auto"/>
        <w:rPr>
          <w:sz w:val="20"/>
          <w:szCs w:val="20"/>
          <w:color w:val="auto"/>
        </w:rPr>
      </w:pPr>
      <w:r>
        <w:rPr>
          <w:rFonts w:ascii="Arial" w:cs="Arial" w:eastAsia="Arial" w:hAnsi="Arial"/>
          <w:sz w:val="15"/>
          <w:szCs w:val="15"/>
          <w:b w:val="1"/>
          <w:bCs w:val="1"/>
          <w:i w:val="1"/>
          <w:iCs w:val="1"/>
          <w:color w:val="auto"/>
        </w:rPr>
        <w:t xml:space="preserve">Cybersecurity is Mission Critical to U.S. National Security </w:t>
      </w:r>
      <w:r>
        <w:rPr>
          <w:rFonts w:ascii="Arial" w:cs="Arial" w:eastAsia="Arial" w:hAnsi="Arial"/>
          <w:sz w:val="15"/>
          <w:szCs w:val="15"/>
          <w:color w:val="auto"/>
        </w:rPr>
        <w:t>and cybersecurity threats are increasing in volume and sophistication as global connectivity and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rise of social media have led to an explosion in the amount of available and exploitable data. The recent SolarWinds hacking incident is a noteworthy example. The Center for Strategic and International Studies estimates that threats from hacks, cyber criminals, foreign governments, malicious insiders and corporate espionage have a $600 billion annual global cost impact. The proliferation of mobile devices, smart devices and cloud computing has vastly increased the need for enterprise-wide risk-based cybersecurity programs and governments have become increasingly aware of the need for a proactive approach to the risk of cyber-attacks. We believe that this market will continue to grow in response to the shifting threat landscape and recent high-profile attacks, including SolarWinds.</w:t>
      </w:r>
    </w:p>
    <w:p>
      <w:pPr>
        <w:spacing w:after="0" w:line="148" w:lineRule="exact"/>
        <w:rPr>
          <w:sz w:val="20"/>
          <w:szCs w:val="20"/>
          <w:color w:val="auto"/>
        </w:rPr>
      </w:pPr>
    </w:p>
    <w:p>
      <w:pPr>
        <w:ind w:right="40" w:firstLine="434"/>
        <w:spacing w:after="0" w:line="239" w:lineRule="auto"/>
        <w:rPr>
          <w:sz w:val="20"/>
          <w:szCs w:val="20"/>
          <w:color w:val="auto"/>
        </w:rPr>
      </w:pPr>
      <w:r>
        <w:rPr>
          <w:rFonts w:ascii="Arial" w:cs="Arial" w:eastAsia="Arial" w:hAnsi="Arial"/>
          <w:sz w:val="15"/>
          <w:szCs w:val="15"/>
          <w:b w:val="1"/>
          <w:bCs w:val="1"/>
          <w:i w:val="1"/>
          <w:iCs w:val="1"/>
          <w:color w:val="auto"/>
        </w:rPr>
        <w:t xml:space="preserve">Consistent Need for Actionable Intelligence to Support U.S. Priorities </w:t>
      </w:r>
      <w:r>
        <w:rPr>
          <w:rFonts w:ascii="Arial" w:cs="Arial" w:eastAsia="Arial" w:hAnsi="Arial"/>
          <w:sz w:val="15"/>
          <w:szCs w:val="15"/>
          <w:color w:val="auto"/>
        </w:rPr>
        <w:t>is driving a shifting threat landscape that necessitates a greater need for collaboration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cooperation between intelligence agencies. There is a new demand for joint all-domain command and control systems that are optimized to function cohesively across a spectrum of domains. This in turn drives a need for sophisticated data analytics to aggregate data into useful formats in real-time. To respond, we believe the United States intelligence community and Department of Defense will need continued focus on information sharing and collaboration for improved intelligence accuracy and timeliness encompassing multiple forms of intelligence collection.</w:t>
      </w:r>
    </w:p>
    <w:p>
      <w:pPr>
        <w:spacing w:after="0" w:line="150" w:lineRule="exact"/>
        <w:rPr>
          <w:sz w:val="20"/>
          <w:szCs w:val="20"/>
          <w:color w:val="auto"/>
        </w:rPr>
      </w:pPr>
    </w:p>
    <w:p>
      <w:pPr>
        <w:ind w:firstLine="434"/>
        <w:spacing w:after="0" w:line="258" w:lineRule="auto"/>
        <w:rPr>
          <w:sz w:val="20"/>
          <w:szCs w:val="20"/>
          <w:color w:val="auto"/>
        </w:rPr>
      </w:pPr>
      <w:r>
        <w:rPr>
          <w:rFonts w:ascii="Arial" w:cs="Arial" w:eastAsia="Arial" w:hAnsi="Arial"/>
          <w:sz w:val="14"/>
          <w:szCs w:val="14"/>
          <w:b w:val="1"/>
          <w:bCs w:val="1"/>
          <w:i w:val="1"/>
          <w:iCs w:val="1"/>
          <w:color w:val="auto"/>
        </w:rPr>
        <w:t>Global Infrastructure Needs Significant Replacements and Technology-Driven Upgrades</w:t>
      </w:r>
      <w:r>
        <w:rPr>
          <w:rFonts w:ascii="Arial" w:cs="Arial" w:eastAsia="Arial" w:hAnsi="Arial"/>
          <w:sz w:val="14"/>
          <w:szCs w:val="14"/>
          <w:color w:val="auto"/>
        </w:rPr>
        <w:t>. Aging physical infrastructure is strained by the swift pace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technological change combined with heightened new expectations for sustainability and environmental impact. Furthermore, failure to maintain the infrastructure makes it more difficult to recover from unexpected disasters caused by climate change. The United States infrastructure needs exceed $2 trillion according to the American Society of Civil Engineers, for roads, highways, bridges, water/wastewater and other infrastructure needs. Critical infrastructure, specifically transportation infrastructure that is essential to national economic and security concerns including airports, bridges, and rail and transit systems, is particularly vulnerable. We believe aging infrastructure and a focus on environmental impact will continue to be replaced and supplanted by newer, smarter and more sustainable infrastructure with an increased focus on connectivity.</w:t>
      </w:r>
    </w:p>
    <w:p>
      <w:pPr>
        <w:spacing w:after="0" w:line="136" w:lineRule="exact"/>
        <w:rPr>
          <w:sz w:val="20"/>
          <w:szCs w:val="20"/>
          <w:color w:val="auto"/>
        </w:rPr>
      </w:pPr>
    </w:p>
    <w:p>
      <w:pPr>
        <w:ind w:right="260" w:firstLine="434"/>
        <w:spacing w:after="0" w:line="263" w:lineRule="auto"/>
        <w:rPr>
          <w:sz w:val="20"/>
          <w:szCs w:val="20"/>
          <w:color w:val="auto"/>
        </w:rPr>
      </w:pPr>
      <w:r>
        <w:rPr>
          <w:rFonts w:ascii="Arial" w:cs="Arial" w:eastAsia="Arial" w:hAnsi="Arial"/>
          <w:sz w:val="15"/>
          <w:szCs w:val="15"/>
          <w:b w:val="1"/>
          <w:bCs w:val="1"/>
          <w:i w:val="1"/>
          <w:iCs w:val="1"/>
          <w:color w:val="auto"/>
        </w:rPr>
        <w:t>Urbanization Creates Demand for Smart Cities with Connected Populations</w:t>
      </w:r>
      <w:r>
        <w:rPr>
          <w:rFonts w:ascii="Arial" w:cs="Arial" w:eastAsia="Arial" w:hAnsi="Arial"/>
          <w:sz w:val="15"/>
          <w:szCs w:val="15"/>
          <w:color w:val="auto"/>
        </w:rPr>
        <w:t>. Cities around the globe increasingly demand new more sustainable capabilities,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such as sensor networks and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10" w:name="page11"/>
    <w:bookmarkEnd w:id="10"/>
    <w:p>
      <w:pPr>
        <w:spacing w:after="0" w:line="236" w:lineRule="auto"/>
        <w:rPr>
          <w:sz w:val="20"/>
          <w:szCs w:val="20"/>
          <w:color w:val="auto"/>
        </w:rPr>
      </w:pPr>
      <w:r>
        <w:rPr>
          <w:rFonts w:ascii="Arial" w:cs="Arial" w:eastAsia="Arial" w:hAnsi="Arial"/>
          <w:sz w:val="15"/>
          <w:szCs w:val="15"/>
          <w:color w:val="auto"/>
        </w:rPr>
        <w:t>communication strategies to connect streetlights, security cameras and emergency systems, to provide important real-time information and better serve their citizens and reduce carbon emissions. Integrated corridor management solutions, intelligent transportation systems, advanced rail systems and updated telecommunication networks will keep cities around the world functioning as smart and sustainable cities and serve as engines for economic growth.</w:t>
      </w:r>
    </w:p>
    <w:p>
      <w:pPr>
        <w:spacing w:after="0" w:line="149"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b w:val="1"/>
          <w:bCs w:val="1"/>
          <w:i w:val="1"/>
          <w:iCs w:val="1"/>
          <w:color w:val="auto"/>
        </w:rPr>
        <w:t>Transformation of Legacy Service Delivery Models through Technology</w:t>
      </w:r>
      <w:r>
        <w:rPr>
          <w:rFonts w:ascii="Arial" w:cs="Arial" w:eastAsia="Arial" w:hAnsi="Arial"/>
          <w:sz w:val="15"/>
          <w:szCs w:val="15"/>
          <w:color w:val="auto"/>
        </w:rPr>
        <w:t>. Historical capital project management is changing with the introduction of cloud-connected computer-aided design, automation, big data, machine learning and other technologies. The introduction of these new technologies allows industry participants to reimagine existing value chains, address integrated lifecycle objectives, assure human rights are observed in their supply chains, provide environmentally sensitive and sustainable solutions, boost productivity and streamline project management. Industry participants that have the capability to embrace these new technologies to enhance their capability and service offering to higher value solutions will be well positioned to assist governments and communities in their transformation.</w:t>
      </w:r>
    </w:p>
    <w:p>
      <w:pPr>
        <w:spacing w:after="0" w:line="168"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color w:val="auto"/>
        </w:rPr>
        <w:t>Change equals opportunity, and Parsons is well-positioned to serve a large array of governments and companies. Across a diverse set of industries, we provide smart and agile solutions that address our customers’ concerns as they adapt to the rapid changes of a more interconnected and technology-driven world.</w:t>
      </w:r>
    </w:p>
    <w:p>
      <w:pPr>
        <w:spacing w:after="0" w:line="148" w:lineRule="exact"/>
        <w:rPr>
          <w:sz w:val="20"/>
          <w:szCs w:val="20"/>
          <w:color w:val="auto"/>
        </w:rPr>
      </w:pPr>
    </w:p>
    <w:p>
      <w:pPr>
        <w:jc w:val="right"/>
        <w:ind w:right="9380"/>
        <w:spacing w:after="0"/>
        <w:rPr>
          <w:sz w:val="20"/>
          <w:szCs w:val="20"/>
          <w:color w:val="auto"/>
        </w:rPr>
      </w:pPr>
      <w:r>
        <w:rPr>
          <w:rFonts w:ascii="Arial" w:cs="Arial" w:eastAsia="Arial" w:hAnsi="Arial"/>
          <w:sz w:val="14"/>
          <w:szCs w:val="14"/>
          <w:b w:val="1"/>
          <w:bCs w:val="1"/>
          <w:color w:val="auto"/>
        </w:rPr>
        <w:t>Our Competitive Strengths</w:t>
      </w:r>
    </w:p>
    <w:p>
      <w:pPr>
        <w:spacing w:after="0" w:line="94" w:lineRule="exact"/>
        <w:rPr>
          <w:sz w:val="20"/>
          <w:szCs w:val="20"/>
          <w:color w:val="auto"/>
        </w:rPr>
      </w:pPr>
    </w:p>
    <w:p>
      <w:pPr>
        <w:jc w:val="right"/>
        <w:ind w:right="9340"/>
        <w:spacing w:after="0"/>
        <w:rPr>
          <w:sz w:val="20"/>
          <w:szCs w:val="20"/>
          <w:color w:val="auto"/>
        </w:rPr>
      </w:pPr>
      <w:r>
        <w:rPr>
          <w:rFonts w:ascii="Arial" w:cs="Arial" w:eastAsia="Arial" w:hAnsi="Arial"/>
          <w:sz w:val="15"/>
          <w:szCs w:val="15"/>
          <w:b w:val="1"/>
          <w:bCs w:val="1"/>
          <w:i w:val="1"/>
          <w:iCs w:val="1"/>
          <w:color w:val="auto"/>
        </w:rPr>
        <w:t>Proven Track Record</w:t>
      </w:r>
    </w:p>
    <w:p>
      <w:pPr>
        <w:spacing w:after="0" w:line="100" w:lineRule="exact"/>
        <w:rPr>
          <w:sz w:val="20"/>
          <w:szCs w:val="20"/>
          <w:color w:val="auto"/>
        </w:rPr>
      </w:pPr>
    </w:p>
    <w:p>
      <w:pPr>
        <w:jc w:val="both"/>
        <w:ind w:right="240" w:firstLine="434"/>
        <w:spacing w:after="0" w:line="260" w:lineRule="auto"/>
        <w:rPr>
          <w:sz w:val="20"/>
          <w:szCs w:val="20"/>
          <w:color w:val="auto"/>
        </w:rPr>
      </w:pPr>
      <w:r>
        <w:rPr>
          <w:rFonts w:ascii="Arial" w:cs="Arial" w:eastAsia="Arial" w:hAnsi="Arial"/>
          <w:sz w:val="14"/>
          <w:szCs w:val="14"/>
          <w:color w:val="auto"/>
        </w:rPr>
        <w:t>Our proven track record is a result of our strong performance, the dedication of our employees and our longstanding customer relationships. We focus on being a company that delivers on its promises, holds integrity at the highest level and successfully assists our clients as they execute their most complex missions. Driven by our integrated people, process and technology approach, we have a reputation for innovation and delivering mission outcomes for our customers’ most important endeavors.</w:t>
      </w:r>
    </w:p>
    <w:p>
      <w:pPr>
        <w:spacing w:after="0" w:line="64"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Our differentiated business model has driven high win rates and strong financial performance, characterized by solid top and bottom-line growth, high and growing backlog levels and low capital requirements. We achieved incentive fees of $29.2 million and average incentive fees of 90% in fiscal 2020, incentive fees of $30.4 million and average incentive fees of 89% in fiscal 2019 and incentive fees of $8.5 million and average incentive fees of 89% in fiscal 2018. Incentive fees are fees earned for achievement of certain performance criteria included in our contracts, such as achievement of target completion dates or target costs, and our incentive fees average is calculated as the actual incentive fees achieved as a percentage of incentive fees expected to be earned in the applicable period. In addition, we achieved a win rate of 46.4% in fiscal 2020, 37.9% in fiscal 2019 and 42.9% in fiscal 2018, for new awards that we bid on (including a win rate on re-compete contracts and task orders in the Federal Solutions segment of 85.4% in fiscal 2020, 84.9% in fiscal 2019 and 96.0% in fiscal 2018). In fiscal 2020, our Federal Solutions revenues grew 1.3% and our Critical Infrastructure revenues grew 2.9% year-over-year. As of December 31, 2020, our backlog was $8.1 billion, up 0.8% from year end fiscal 2020.</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Long-Term Customer Relationships</w:t>
      </w:r>
    </w:p>
    <w:p>
      <w:pPr>
        <w:spacing w:after="0" w:line="100"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We maintain long-term relationships with key government and commercial customers, many of which span over 40 years. For example, in the Federal Solutions segment, we have been providing support to the MDA for over 30 years with over 1,000 personnel imbedded with the customer and have provided services to the Department of Energy for over 50 years on a variety of projects and programs. In the Critical Infrastructure segment, we have supported the WMATA for over 50 years and have served as Program Manager for Yanbu Industrial City for over 42 years.</w:t>
      </w:r>
    </w:p>
    <w:p>
      <w:pPr>
        <w:spacing w:after="0" w:line="78" w:lineRule="exact"/>
        <w:rPr>
          <w:sz w:val="20"/>
          <w:szCs w:val="20"/>
          <w:color w:val="auto"/>
        </w:rPr>
      </w:pPr>
    </w:p>
    <w:p>
      <w:pPr>
        <w:ind w:right="20" w:firstLine="434"/>
        <w:spacing w:after="0" w:line="235" w:lineRule="auto"/>
        <w:rPr>
          <w:sz w:val="20"/>
          <w:szCs w:val="20"/>
          <w:color w:val="auto"/>
        </w:rPr>
      </w:pPr>
      <w:r>
        <w:rPr>
          <w:rFonts w:ascii="Arial" w:cs="Arial" w:eastAsia="Arial" w:hAnsi="Arial"/>
          <w:sz w:val="15"/>
          <w:szCs w:val="15"/>
          <w:color w:val="auto"/>
        </w:rPr>
        <w:t>These longstanding relationships give us the insight and customer intimacy to align our research and development investments based on customer needs and enable high win rates for prime contract positions on the most technically demanding assignments. We believe that our position as a recognized leader in integrity, innovation, operational efficiency, safety and security, environmental and health, and our ability to deliver exceptional quality has resulted in a high level of re-compete wins and has driven</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11" w:name="page12"/>
    <w:bookmarkEnd w:id="11"/>
    <w:p>
      <w:pPr>
        <w:ind w:right="360"/>
        <w:spacing w:after="0" w:line="272" w:lineRule="auto"/>
        <w:rPr>
          <w:sz w:val="20"/>
          <w:szCs w:val="20"/>
          <w:color w:val="auto"/>
        </w:rPr>
      </w:pPr>
      <w:r>
        <w:rPr>
          <w:rFonts w:ascii="Arial" w:cs="Arial" w:eastAsia="Arial" w:hAnsi="Arial"/>
          <w:sz w:val="14"/>
          <w:szCs w:val="14"/>
          <w:color w:val="auto"/>
        </w:rPr>
        <w:t>substantial customer loyalty. Market segments including cybersecurity, missile defense, C5ISR and connected cities require leading-edge technologies and extensive technical know-how, and necessitate consistently exceptional performance, thus further entrenching us with our key customers and driving our long-term relationships.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Technology Innovation</w:t>
      </w:r>
    </w:p>
    <w:p>
      <w:pPr>
        <w:spacing w:after="0" w:line="100" w:lineRule="exact"/>
        <w:rPr>
          <w:sz w:val="20"/>
          <w:szCs w:val="20"/>
          <w:color w:val="auto"/>
        </w:rPr>
      </w:pPr>
    </w:p>
    <w:p>
      <w:pPr>
        <w:ind w:right="120" w:firstLine="434"/>
        <w:spacing w:after="0" w:line="235" w:lineRule="auto"/>
        <w:rPr>
          <w:sz w:val="20"/>
          <w:szCs w:val="20"/>
          <w:color w:val="auto"/>
        </w:rPr>
      </w:pPr>
      <w:r>
        <w:rPr>
          <w:rFonts w:ascii="Arial" w:cs="Arial" w:eastAsia="Arial" w:hAnsi="Arial"/>
          <w:sz w:val="15"/>
          <w:szCs w:val="15"/>
          <w:color w:val="auto"/>
        </w:rPr>
        <w:t>We are on the forefront of developing sophisticated engineering and technical services and products for our customers, such as our iNET™, Legion and AVAA technology offerings. Our technical and management teams have a deep understanding of the products, their ecosystems and deployments, the customer and the processes necessary to create tailored solutions. We offer 100 different offerings in our product portfolio, have deployed our solutions in 30 countries and more than 1,800 customers utilize our technology.</w:t>
      </w:r>
    </w:p>
    <w:p>
      <w:pPr>
        <w:spacing w:after="0" w:line="178" w:lineRule="exact"/>
        <w:rPr>
          <w:sz w:val="20"/>
          <w:szCs w:val="20"/>
          <w:color w:val="auto"/>
        </w:rPr>
      </w:pPr>
    </w:p>
    <w:p>
      <w:pPr>
        <w:ind w:firstLine="434"/>
        <w:spacing w:after="0" w:line="256" w:lineRule="auto"/>
        <w:rPr>
          <w:sz w:val="20"/>
          <w:szCs w:val="20"/>
          <w:color w:val="auto"/>
        </w:rPr>
      </w:pPr>
      <w:r>
        <w:rPr>
          <w:rFonts w:ascii="Arial" w:cs="Arial" w:eastAsia="Arial" w:hAnsi="Arial"/>
          <w:sz w:val="14"/>
          <w:szCs w:val="14"/>
          <w:color w:val="auto"/>
        </w:rPr>
        <w:t>Our competencies include delivering advanced technologies in cybersecurity, data and video analytics, cloud applications and migration and artificial intelligence. Our approach of agile development, rapid prototyping, quick reaction capability and low rate initial production delivers customers solutions from concept to full life cycle support. Our DevSecOps development environment includes customers and third-party provider engagement and embeds application and infrastructure security throughout. By leveraging people, processes and technologies, we focus on continually delivering innovative solutions to address our customers’ immediate and long-term challenges.</w:t>
      </w:r>
    </w:p>
    <w:p>
      <w:pPr>
        <w:spacing w:after="0" w:line="49"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Scalable and Agile Business Offerings</w:t>
      </w:r>
    </w:p>
    <w:p>
      <w:pPr>
        <w:spacing w:after="0" w:line="100" w:lineRule="exact"/>
        <w:rPr>
          <w:sz w:val="20"/>
          <w:szCs w:val="20"/>
          <w:color w:val="auto"/>
        </w:rPr>
      </w:pPr>
    </w:p>
    <w:p>
      <w:pPr>
        <w:ind w:right="100" w:firstLine="434"/>
        <w:spacing w:after="0" w:line="234" w:lineRule="auto"/>
        <w:rPr>
          <w:sz w:val="20"/>
          <w:szCs w:val="20"/>
          <w:color w:val="auto"/>
        </w:rPr>
      </w:pPr>
      <w:r>
        <w:rPr>
          <w:rFonts w:ascii="Arial" w:cs="Arial" w:eastAsia="Arial" w:hAnsi="Arial"/>
          <w:sz w:val="15"/>
          <w:szCs w:val="15"/>
          <w:color w:val="auto"/>
        </w:rPr>
        <w:t>Our scalable and agile offerings enable us to satisfy robust and evolving customer needs. The demanding environments where we operate are characterized by a need for high-confidence solutions, widespread application needs and mission critical outcomes. We pride ourselves on providing agile technologies through inventive and refined processes that provide quality outcomes to our customers on time sensitive projects. Our domain knowledge of our customers’ current and emerging requirements enables us to deliver responsive, high quality solutions on time. By having the ability to respond to customers’ requirements with global deployment capability, we are well positioned to be a single-source contractor for many of our customers’ needs.</w:t>
      </w:r>
    </w:p>
    <w:p>
      <w:pPr>
        <w:spacing w:after="0" w:line="79" w:lineRule="exact"/>
        <w:rPr>
          <w:sz w:val="20"/>
          <w:szCs w:val="20"/>
          <w:color w:val="auto"/>
        </w:rPr>
      </w:pPr>
    </w:p>
    <w:p>
      <w:pPr>
        <w:ind w:right="60" w:firstLine="434"/>
        <w:spacing w:after="0" w:line="236" w:lineRule="auto"/>
        <w:rPr>
          <w:sz w:val="20"/>
          <w:szCs w:val="20"/>
          <w:color w:val="auto"/>
        </w:rPr>
      </w:pPr>
      <w:r>
        <w:rPr>
          <w:rFonts w:ascii="Arial" w:cs="Arial" w:eastAsia="Arial" w:hAnsi="Arial"/>
          <w:sz w:val="15"/>
          <w:szCs w:val="15"/>
          <w:color w:val="auto"/>
        </w:rPr>
        <w:t>Our technologies and platforms are designed to be applicable across end user markets and sub-markets. This approach allows for scalable solutions that can be quickly and seamlessly integrated into multiple customer applications, regardless of geography or industry, allowing us to deploy a given service or platform across multiple markets.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5"/>
          <w:szCs w:val="15"/>
          <w:b w:val="1"/>
          <w:bCs w:val="1"/>
          <w:i w:val="1"/>
          <w:iCs w:val="1"/>
          <w:color w:val="auto"/>
        </w:rPr>
        <w:t>World Class Talent</w:t>
      </w:r>
    </w:p>
    <w:p>
      <w:pPr>
        <w:spacing w:after="0" w:line="100" w:lineRule="exact"/>
        <w:rPr>
          <w:sz w:val="20"/>
          <w:szCs w:val="20"/>
          <w:color w:val="auto"/>
        </w:rPr>
      </w:pPr>
    </w:p>
    <w:p>
      <w:pPr>
        <w:jc w:val="both"/>
        <w:ind w:right="80" w:firstLine="434"/>
        <w:spacing w:after="0" w:line="235" w:lineRule="auto"/>
        <w:rPr>
          <w:sz w:val="20"/>
          <w:szCs w:val="20"/>
          <w:color w:val="auto"/>
        </w:rPr>
      </w:pPr>
      <w:r>
        <w:rPr>
          <w:rFonts w:ascii="Arial" w:cs="Arial" w:eastAsia="Arial" w:hAnsi="Arial"/>
          <w:sz w:val="15"/>
          <w:szCs w:val="15"/>
          <w:color w:val="auto"/>
        </w:rPr>
        <w:t>Our most important asset is our diverse team of talented employees, more than 15,500 as of December 31, 2020, whose technical expertise is sought by our clients for their most sophisticated applications and challenges. Our base of diverse, committed and passionate experts is critical to delivering our leading capabilities. Engineers, scientists, programmers and other employees choose us and stay with us for the opportunity to collaborate with our customers, deploy our expansive technical resources, rapidly bring bold ideas to market and work on leading solutions that enable a better world.</w:t>
      </w:r>
    </w:p>
    <w:p>
      <w:pPr>
        <w:spacing w:after="0" w:line="78" w:lineRule="exact"/>
        <w:rPr>
          <w:sz w:val="20"/>
          <w:szCs w:val="20"/>
          <w:color w:val="auto"/>
        </w:rPr>
      </w:pPr>
    </w:p>
    <w:p>
      <w:pPr>
        <w:ind w:right="40" w:firstLine="434"/>
        <w:spacing w:after="0" w:line="235" w:lineRule="auto"/>
        <w:rPr>
          <w:sz w:val="20"/>
          <w:szCs w:val="20"/>
          <w:color w:val="auto"/>
        </w:rPr>
      </w:pPr>
      <w:r>
        <w:rPr>
          <w:rFonts w:ascii="Arial" w:cs="Arial" w:eastAsia="Arial" w:hAnsi="Arial"/>
          <w:sz w:val="15"/>
          <w:szCs w:val="15"/>
          <w:color w:val="auto"/>
        </w:rPr>
        <w:t>Our professionals are highly educated, with a wide range of technical acumen and in-depth domain knowledge and expertise. Our employees hold more than 20,000 degrees and professional credentials, including those with registrations and certifications in technical areas like Agile methodology, Project Management, Engineering, Environmental, Architecture, Technology and Security as of December 31, 2020. Our diverse teams understand our clients and are comprised of technology subject matter experts and professionals with deep customer knowledge and experience.</w:t>
      </w:r>
    </w:p>
    <w:p>
      <w:pPr>
        <w:spacing w:after="0" w:line="78" w:lineRule="exact"/>
        <w:rPr>
          <w:sz w:val="20"/>
          <w:szCs w:val="20"/>
          <w:color w:val="auto"/>
        </w:rPr>
      </w:pPr>
    </w:p>
    <w:p>
      <w:pPr>
        <w:ind w:right="220" w:firstLine="434"/>
        <w:spacing w:after="0" w:line="236" w:lineRule="auto"/>
        <w:rPr>
          <w:sz w:val="20"/>
          <w:szCs w:val="20"/>
          <w:color w:val="auto"/>
        </w:rPr>
      </w:pPr>
      <w:r>
        <w:rPr>
          <w:rFonts w:ascii="Arial" w:cs="Arial" w:eastAsia="Arial" w:hAnsi="Arial"/>
          <w:sz w:val="15"/>
          <w:szCs w:val="15"/>
          <w:color w:val="auto"/>
        </w:rPr>
        <w:t>Our management team has significant experience executing strategies for delivering profitable growth and is recognized for operational excellence and leadership integrity. Our executive management team has an average tenure of approximately 20 years with the Company and averages over 37 years of industry or functional experience. They possess diverse leadership capabilities in the markets we serve and the solutions and technology we deliver.</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20"/>
          </w:cols>
          <w:pgMar w:left="300" w:top="405" w:right="379" w:bottom="1440" w:gutter="0" w:footer="0" w:header="0"/>
        </w:sectPr>
      </w:pPr>
    </w:p>
    <w:bookmarkStart w:id="12" w:name="page13"/>
    <w:bookmarkEnd w:id="12"/>
    <w:p>
      <w:pPr>
        <w:ind w:left="440"/>
        <w:spacing w:after="0"/>
        <w:rPr>
          <w:sz w:val="20"/>
          <w:szCs w:val="20"/>
          <w:color w:val="auto"/>
        </w:rPr>
      </w:pPr>
      <w:r>
        <w:rPr>
          <w:rFonts w:ascii="Arial" w:cs="Arial" w:eastAsia="Arial" w:hAnsi="Arial"/>
          <w:sz w:val="15"/>
          <w:szCs w:val="15"/>
          <w:b w:val="1"/>
          <w:bCs w:val="1"/>
          <w:i w:val="1"/>
          <w:iCs w:val="1"/>
          <w:color w:val="auto"/>
        </w:rPr>
        <w:t>Demonstrated Ability to Identify and Execute Acquisitions to Transform our Business</w:t>
      </w:r>
    </w:p>
    <w:p>
      <w:pPr>
        <w:spacing w:after="0" w:line="100" w:lineRule="exact"/>
        <w:rPr>
          <w:sz w:val="20"/>
          <w:szCs w:val="20"/>
          <w:color w:val="auto"/>
        </w:rPr>
      </w:pPr>
    </w:p>
    <w:p>
      <w:pPr>
        <w:ind w:right="40" w:firstLine="434"/>
        <w:spacing w:after="0" w:line="235" w:lineRule="auto"/>
        <w:rPr>
          <w:sz w:val="20"/>
          <w:szCs w:val="20"/>
          <w:color w:val="auto"/>
        </w:rPr>
      </w:pPr>
      <w:r>
        <w:rPr>
          <w:rFonts w:ascii="Arial" w:cs="Arial" w:eastAsia="Arial" w:hAnsi="Arial"/>
          <w:sz w:val="15"/>
          <w:szCs w:val="15"/>
          <w:color w:val="auto"/>
        </w:rPr>
        <w:t>Strategic acquisitions that augment our technology offerings and capabilities are a key tenet of our growth strategy. We have completed seven strategic acquisitions (six in Federal Solutions and one in Critical Infrastructure) since 2011, which collectively provided us with a wide variety of complementary technology capabilities, with an aggregate purchase price of $1.9 billion. This highlights our ability to successfully identify and execute on attractive opportunities to augment our leading technical offerings. These acquisitions include:</w:t>
      </w:r>
    </w:p>
    <w:p>
      <w:pPr>
        <w:spacing w:after="0" w:line="78" w:lineRule="exact"/>
        <w:rPr>
          <w:sz w:val="20"/>
          <w:szCs w:val="20"/>
          <w:color w:val="auto"/>
        </w:rPr>
      </w:pPr>
    </w:p>
    <w:p>
      <w:pPr>
        <w:ind w:left="1300" w:hanging="427"/>
        <w:spacing w:after="0" w:line="235"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Braxton Science and Technology Group, LLC: Acquired in November 2020 at a purchase price of $310.9 million ($267 million less the tax asset), Braxton operates at the forefront of satellite operations, ground automation, flight dynamics, and spacecraft antenna simulation for the U.S. Defense and Intelligence Community. These capabilities position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78" w:lineRule="exact"/>
        <w:rPr>
          <w:rFonts w:ascii="Arial" w:cs="Arial" w:eastAsia="Arial" w:hAnsi="Arial"/>
          <w:sz w:val="15"/>
          <w:szCs w:val="15"/>
          <w:color w:val="auto"/>
        </w:rPr>
      </w:pPr>
    </w:p>
    <w:p>
      <w:pPr>
        <w:ind w:left="1300" w:right="80" w:hanging="427"/>
        <w:spacing w:after="0" w:line="239"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color w:val="auto"/>
        </w:rPr>
        <w:t>QRC® Technologies: Acquired in 2019 at a purchase price of $214.1 million, QRC® Technologies is a disruptive product company that provides design and development of open-architecture radio-frequency products.</w:t>
      </w:r>
    </w:p>
    <w:p>
      <w:pPr>
        <w:spacing w:after="0" w:line="61" w:lineRule="exact"/>
        <w:rPr>
          <w:rFonts w:ascii="Arial" w:cs="Arial" w:eastAsia="Arial" w:hAnsi="Arial"/>
          <w:sz w:val="15"/>
          <w:szCs w:val="15"/>
          <w:color w:val="auto"/>
        </w:rPr>
      </w:pPr>
    </w:p>
    <w:p>
      <w:pPr>
        <w:ind w:left="1300" w:right="100" w:hanging="427"/>
        <w:spacing w:after="0" w:line="238"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OGSystems</w:t>
      </w:r>
      <w:r>
        <w:rPr>
          <w:rFonts w:ascii="Arial" w:cs="Arial" w:eastAsia="Arial" w:hAnsi="Arial"/>
          <w:sz w:val="15"/>
          <w:szCs w:val="15"/>
          <w:color w:val="auto"/>
        </w:rPr>
        <w:t>: Acquired in 2019 at a purchase price of $292.4 million, OGSystems is a disruptive geo-intelligence solutions and immersive engineering</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 that creates technology solutions for the United States intelligence community and the U.S. Department of Defense. OGSystems’ VIPER Labs and Immersive Engineering techniques serve as the catalysts for deployment of geospatial systems and software, embedded system threat analytics and cloud engineering solutions. OGSystems’ advanced hardware solutions include the PeARL family of sensors, combining industry-leading camera and optic lens technologies with our software solutions, yielding very high resolution 2D and 3D aerial imagery.</w:t>
      </w:r>
    </w:p>
    <w:p>
      <w:pPr>
        <w:spacing w:after="0" w:line="64" w:lineRule="exact"/>
        <w:rPr>
          <w:rFonts w:ascii="Arial" w:cs="Arial" w:eastAsia="Arial" w:hAnsi="Arial"/>
          <w:sz w:val="15"/>
          <w:szCs w:val="15"/>
          <w:color w:val="auto"/>
        </w:rPr>
      </w:pPr>
    </w:p>
    <w:p>
      <w:pPr>
        <w:jc w:val="both"/>
        <w:ind w:left="1300" w:right="120" w:hanging="427"/>
        <w:spacing w:after="0" w:line="246"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Polaris Alpha: </w:t>
      </w:r>
      <w:r>
        <w:rPr>
          <w:rFonts w:ascii="Arial" w:cs="Arial" w:eastAsia="Arial" w:hAnsi="Arial"/>
          <w:sz w:val="15"/>
          <w:szCs w:val="15"/>
          <w:color w:val="auto"/>
        </w:rPr>
        <w:t>Acquired in 2018 at a purchase price of $489.1 million, Polaris Alpha is an advanced, technology-focused provider of innovative mission</w:t>
      </w:r>
      <w:r>
        <w:rPr>
          <w:rFonts w:ascii="Arial" w:cs="Arial" w:eastAsia="Arial" w:hAnsi="Arial"/>
          <w:sz w:val="15"/>
          <w:szCs w:val="15"/>
          <w:i w:val="1"/>
          <w:iCs w:val="1"/>
          <w:color w:val="auto"/>
        </w:rPr>
        <w:t xml:space="preserve"> </w:t>
      </w:r>
      <w:r>
        <w:rPr>
          <w:rFonts w:ascii="Arial" w:cs="Arial" w:eastAsia="Arial" w:hAnsi="Arial"/>
          <w:sz w:val="15"/>
          <w:szCs w:val="15"/>
          <w:color w:val="auto"/>
        </w:rPr>
        <w:t>solutions for national security, intelligence, defense and other U.S. federal customers. With leading technologies in artificial intelligence and a focus on machine learning and data analytics, Polaris Alpha has long-term customer relationships and is known as a technology disruptor.</w:t>
      </w:r>
    </w:p>
    <w:p>
      <w:pPr>
        <w:spacing w:after="0" w:line="56" w:lineRule="exact"/>
        <w:rPr>
          <w:rFonts w:ascii="Arial" w:cs="Arial" w:eastAsia="Arial" w:hAnsi="Arial"/>
          <w:sz w:val="15"/>
          <w:szCs w:val="15"/>
          <w:color w:val="auto"/>
        </w:rPr>
      </w:pPr>
    </w:p>
    <w:p>
      <w:pPr>
        <w:ind w:left="1300" w:right="280" w:hanging="427"/>
        <w:spacing w:after="0" w:line="260"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Secure Mission Solutions: </w:t>
      </w:r>
      <w:r>
        <w:rPr>
          <w:rFonts w:ascii="Arial" w:cs="Arial" w:eastAsia="Arial" w:hAnsi="Arial"/>
          <w:sz w:val="15"/>
          <w:szCs w:val="15"/>
          <w:color w:val="auto"/>
        </w:rPr>
        <w:t>Acquired in 2014 at a purchase price of $127.3 million, Secure Mission Solutions is a leading provider of physical security</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to the national security community.</w:t>
      </w:r>
    </w:p>
    <w:p>
      <w:pPr>
        <w:spacing w:after="0" w:line="47" w:lineRule="exact"/>
        <w:rPr>
          <w:rFonts w:ascii="Arial" w:cs="Arial" w:eastAsia="Arial" w:hAnsi="Arial"/>
          <w:sz w:val="15"/>
          <w:szCs w:val="15"/>
          <w:color w:val="auto"/>
        </w:rPr>
      </w:pPr>
    </w:p>
    <w:p>
      <w:pPr>
        <w:ind w:left="1300" w:right="40" w:hanging="427"/>
        <w:spacing w:after="0" w:line="246"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Delcan Technologies: </w:t>
      </w:r>
      <w:r>
        <w:rPr>
          <w:rFonts w:ascii="Arial" w:cs="Arial" w:eastAsia="Arial" w:hAnsi="Arial"/>
          <w:sz w:val="15"/>
          <w:szCs w:val="15"/>
          <w:color w:val="auto"/>
        </w:rPr>
        <w:t>Acquired in 2014 at a purchase price of $108.4 million, Delcan Technologies is a multidisciplinary provider of engineering,</w:t>
      </w:r>
      <w:r>
        <w:rPr>
          <w:rFonts w:ascii="Arial" w:cs="Arial" w:eastAsia="Arial" w:hAnsi="Arial"/>
          <w:sz w:val="15"/>
          <w:szCs w:val="15"/>
          <w:i w:val="1"/>
          <w:iCs w:val="1"/>
          <w:color w:val="auto"/>
        </w:rPr>
        <w:t xml:space="preserve"> </w:t>
      </w:r>
      <w:r>
        <w:rPr>
          <w:rFonts w:ascii="Arial" w:cs="Arial" w:eastAsia="Arial" w:hAnsi="Arial"/>
          <w:sz w:val="15"/>
          <w:szCs w:val="15"/>
          <w:color w:val="auto"/>
        </w:rPr>
        <w:t>planning, management and technology services offering a broad range of integrated systems and infrastructure solutions focused on mobility and urban autonomy.</w:t>
      </w:r>
    </w:p>
    <w:p>
      <w:pPr>
        <w:spacing w:after="0" w:line="56" w:lineRule="exact"/>
        <w:rPr>
          <w:rFonts w:ascii="Arial" w:cs="Arial" w:eastAsia="Arial" w:hAnsi="Arial"/>
          <w:sz w:val="15"/>
          <w:szCs w:val="15"/>
          <w:color w:val="auto"/>
        </w:rPr>
      </w:pPr>
    </w:p>
    <w:p>
      <w:pPr>
        <w:ind w:left="1300" w:hanging="427"/>
        <w:spacing w:after="0" w:line="260" w:lineRule="auto"/>
        <w:tabs>
          <w:tab w:leader="none" w:pos="13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Sparta: </w:t>
      </w:r>
      <w:r>
        <w:rPr>
          <w:rFonts w:ascii="Arial" w:cs="Arial" w:eastAsia="Arial" w:hAnsi="Arial"/>
          <w:sz w:val="15"/>
          <w:szCs w:val="15"/>
          <w:color w:val="auto"/>
        </w:rPr>
        <w:t>Acquired in 2011 at a purchase price of $349.3 million, Sparta is a leading provider of advanced systems engineering, cybersecurity and mission</w:t>
      </w:r>
      <w:r>
        <w:rPr>
          <w:rFonts w:ascii="Arial" w:cs="Arial" w:eastAsia="Arial" w:hAnsi="Arial"/>
          <w:sz w:val="15"/>
          <w:szCs w:val="15"/>
          <w:i w:val="1"/>
          <w:iCs w:val="1"/>
          <w:color w:val="auto"/>
        </w:rPr>
        <w:t xml:space="preserve"> </w:t>
      </w:r>
      <w:r>
        <w:rPr>
          <w:rFonts w:ascii="Arial" w:cs="Arial" w:eastAsia="Arial" w:hAnsi="Arial"/>
          <w:sz w:val="15"/>
          <w:szCs w:val="15"/>
          <w:color w:val="auto"/>
        </w:rPr>
        <w:t>support services primarily to the national security and intelligence communities.</w:t>
      </w:r>
    </w:p>
    <w:p>
      <w:pPr>
        <w:spacing w:after="0" w:line="63" w:lineRule="exact"/>
        <w:rPr>
          <w:sz w:val="20"/>
          <w:szCs w:val="20"/>
          <w:color w:val="auto"/>
        </w:rPr>
      </w:pPr>
    </w:p>
    <w:p>
      <w:pPr>
        <w:ind w:right="60" w:firstLine="434"/>
        <w:spacing w:after="0" w:line="361" w:lineRule="auto"/>
        <w:rPr>
          <w:sz w:val="20"/>
          <w:szCs w:val="20"/>
          <w:color w:val="auto"/>
        </w:rPr>
      </w:pPr>
      <w:r>
        <w:rPr>
          <w:rFonts w:ascii="Arial" w:cs="Arial" w:eastAsia="Arial" w:hAnsi="Arial"/>
          <w:sz w:val="15"/>
          <w:szCs w:val="15"/>
          <w:color w:val="auto"/>
        </w:rPr>
        <w:t xml:space="preserve">We maintain a robust acquisition pipeline and are continually evaluating potential opportunities for disciplined growth by acquisition to further transform our business. </w:t>
      </w:r>
      <w:r>
        <w:rPr>
          <w:rFonts w:ascii="Arial" w:cs="Arial" w:eastAsia="Arial" w:hAnsi="Arial"/>
          <w:sz w:val="15"/>
          <w:szCs w:val="15"/>
          <w:b w:val="1"/>
          <w:bCs w:val="1"/>
          <w:color w:val="auto"/>
        </w:rPr>
        <w:t>Our Strategy for Growth</w:t>
      </w:r>
    </w:p>
    <w:p>
      <w:pPr>
        <w:spacing w:after="0" w:line="80" w:lineRule="exact"/>
        <w:rPr>
          <w:sz w:val="20"/>
          <w:szCs w:val="20"/>
          <w:color w:val="auto"/>
        </w:rPr>
      </w:pPr>
    </w:p>
    <w:p>
      <w:pPr>
        <w:ind w:right="180" w:firstLine="737"/>
        <w:spacing w:after="0" w:line="236" w:lineRule="auto"/>
        <w:rPr>
          <w:sz w:val="20"/>
          <w:szCs w:val="20"/>
          <w:color w:val="auto"/>
        </w:rPr>
      </w:pPr>
      <w:r>
        <w:rPr>
          <w:rFonts w:ascii="Arial" w:cs="Arial" w:eastAsia="Arial" w:hAnsi="Arial"/>
          <w:sz w:val="15"/>
          <w:szCs w:val="15"/>
          <w:color w:val="auto"/>
        </w:rPr>
        <w:t>Our growth strategy is focused on three pillars: Enhance, Extend and Transform. These include continually enhancing and optimizing our core business processes, extending our core business into high-growth and opportunity-rich adjacent markets and acquiring and integrating companies that possess transformative and disruptive technologies.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387" w:right="35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Enhance and Optimize our Core Operations</w:t>
      </w:r>
    </w:p>
    <w:p>
      <w:pPr>
        <w:spacing w:after="0" w:line="100" w:lineRule="exact"/>
        <w:rPr>
          <w:sz w:val="20"/>
          <w:szCs w:val="20"/>
          <w:color w:val="auto"/>
        </w:rPr>
      </w:pPr>
    </w:p>
    <w:p>
      <w:pPr>
        <w:ind w:firstLine="737"/>
        <w:spacing w:after="0" w:line="239" w:lineRule="auto"/>
        <w:rPr>
          <w:sz w:val="20"/>
          <w:szCs w:val="20"/>
          <w:color w:val="auto"/>
        </w:rPr>
      </w:pPr>
      <w:r>
        <w:rPr>
          <w:rFonts w:ascii="Arial" w:cs="Arial" w:eastAsia="Arial" w:hAnsi="Arial"/>
          <w:sz w:val="15"/>
          <w:szCs w:val="15"/>
          <w:color w:val="auto"/>
        </w:rPr>
        <w:t>We are committed to enhancing and optimizing our core business and improving financial performance, including revenue growth, margin expansion and positive cash flow, using the following strategies:</w:t>
      </w:r>
    </w:p>
    <w:p>
      <w:pPr>
        <w:spacing w:after="0" w:line="78" w:lineRule="exact"/>
        <w:rPr>
          <w:sz w:val="20"/>
          <w:szCs w:val="20"/>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Maintaining high re-compete rates.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Focusing on cross selling new solutions to our existing customers and existing solutions to new customers.</w:t>
      </w:r>
    </w:p>
    <w:p>
      <w:pPr>
        <w:spacing w:after="0" w:line="82" w:lineRule="exact"/>
        <w:rPr>
          <w:rFonts w:ascii="Arial" w:cs="Arial" w:eastAsia="Arial" w:hAnsi="Arial"/>
          <w:sz w:val="15"/>
          <w:szCs w:val="15"/>
          <w:color w:val="auto"/>
        </w:rPr>
      </w:pPr>
    </w:p>
    <w:p>
      <w:pPr>
        <w:ind w:left="1020" w:right="460" w:hanging="280"/>
        <w:spacing w:after="0" w:line="239"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Continuing research and development investments in cybersecurity, intelligence and C5ISR software and hardware products, intelligent transportation systems, modeling and simulation, data analytics, advanced sensing and our as-a-service offerings.</w:t>
      </w:r>
    </w:p>
    <w:p>
      <w:pPr>
        <w:spacing w:after="0" w:line="55" w:lineRule="exact"/>
        <w:rPr>
          <w:rFonts w:ascii="Arial" w:cs="Arial" w:eastAsia="Arial" w:hAnsi="Arial"/>
          <w:sz w:val="15"/>
          <w:szCs w:val="15"/>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Developing intellectual property and product offerings from our investments.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Streamlining operations and processes to optimize overhead expenditures.</w:t>
      </w:r>
    </w:p>
    <w:p>
      <w:pPr>
        <w:spacing w:after="0" w:line="82" w:lineRule="exact"/>
        <w:rPr>
          <w:rFonts w:ascii="Arial" w:cs="Arial" w:eastAsia="Arial" w:hAnsi="Arial"/>
          <w:sz w:val="15"/>
          <w:szCs w:val="15"/>
          <w:color w:val="auto"/>
        </w:rPr>
      </w:pPr>
    </w:p>
    <w:p>
      <w:pPr>
        <w:ind w:left="1020" w:right="340" w:hanging="280"/>
        <w:spacing w:after="0" w:line="239" w:lineRule="auto"/>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Increasing our presence and prime contractor positions on large omnibus Indefinite Delivery/Indefinite Quantity (“IDIQ”), Master Service Agreement and Other Transaction Agreement contracts.</w:t>
      </w:r>
    </w:p>
    <w:p>
      <w:pPr>
        <w:spacing w:after="0" w:line="77" w:lineRule="exact"/>
        <w:rPr>
          <w:rFonts w:ascii="Arial" w:cs="Arial" w:eastAsia="Arial" w:hAnsi="Arial"/>
          <w:sz w:val="15"/>
          <w:szCs w:val="15"/>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Expanding our diverse talent pool in key strategic areas outside of high-employment zones.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Continuously evaluating and shaping our portfolio to divest, exit and de-emphasize lower-performing businesses and markets.</w:t>
      </w:r>
    </w:p>
    <w:p>
      <w:pPr>
        <w:spacing w:after="0" w:line="82" w:lineRule="exact"/>
        <w:rPr>
          <w:rFonts w:ascii="Arial" w:cs="Arial" w:eastAsia="Arial" w:hAnsi="Arial"/>
          <w:sz w:val="15"/>
          <w:szCs w:val="15"/>
          <w:color w:val="auto"/>
        </w:rPr>
      </w:pPr>
    </w:p>
    <w:p>
      <w:pPr>
        <w:ind w:left="1020" w:hanging="280"/>
        <w:spacing w:after="0"/>
        <w:tabs>
          <w:tab w:leader="none" w:pos="1020" w:val="left"/>
        </w:tabs>
        <w:numPr>
          <w:ilvl w:val="0"/>
          <w:numId w:val="8"/>
        </w:numPr>
        <w:rPr>
          <w:rFonts w:ascii="Arial" w:cs="Arial" w:eastAsia="Arial" w:hAnsi="Arial"/>
          <w:sz w:val="15"/>
          <w:szCs w:val="15"/>
          <w:color w:val="auto"/>
        </w:rPr>
      </w:pPr>
      <w:r>
        <w:rPr>
          <w:rFonts w:ascii="Arial" w:cs="Arial" w:eastAsia="Arial" w:hAnsi="Arial"/>
          <w:sz w:val="15"/>
          <w:szCs w:val="15"/>
          <w:color w:val="auto"/>
        </w:rPr>
        <w:t>Rigorously managing our working capital to maximize cash flow.</w:t>
      </w:r>
    </w:p>
    <w:p>
      <w:pPr>
        <w:spacing w:after="0" w:line="82" w:lineRule="exact"/>
        <w:rPr>
          <w:rFonts w:ascii="Arial" w:cs="Arial" w:eastAsia="Arial" w:hAnsi="Arial"/>
          <w:sz w:val="15"/>
          <w:szCs w:val="15"/>
          <w:color w:val="auto"/>
        </w:rPr>
      </w:pPr>
    </w:p>
    <w:p>
      <w:pPr>
        <w:ind w:left="1180" w:hanging="440"/>
        <w:spacing w:after="0"/>
        <w:tabs>
          <w:tab w:leader="none" w:pos="1180" w:val="left"/>
        </w:tabs>
        <w:numPr>
          <w:ilvl w:val="0"/>
          <w:numId w:val="8"/>
        </w:numPr>
        <w:rPr>
          <w:rFonts w:ascii="Arial" w:cs="Arial" w:eastAsia="Arial" w:hAnsi="Arial"/>
          <w:sz w:val="15"/>
          <w:szCs w:val="15"/>
          <w:color w:val="auto"/>
        </w:rPr>
      </w:pPr>
      <w:r>
        <w:rPr>
          <w:rFonts w:ascii="Arial" w:cs="Arial" w:eastAsia="Arial" w:hAnsi="Arial"/>
          <w:sz w:val="15"/>
          <w:szCs w:val="15"/>
          <w:color w:val="auto"/>
        </w:rPr>
        <w:t>Streamlining our processes starting with a clean baseline to optimize support function execution.</w:t>
      </w:r>
    </w:p>
    <w:p>
      <w:pPr>
        <w:spacing w:after="0" w:line="2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Extend into Opportunity-Rich Adjacent Markets</w:t>
      </w:r>
    </w:p>
    <w:p>
      <w:pPr>
        <w:spacing w:after="0" w:line="100" w:lineRule="exact"/>
        <w:rPr>
          <w:sz w:val="20"/>
          <w:szCs w:val="20"/>
          <w:color w:val="auto"/>
        </w:rPr>
      </w:pPr>
    </w:p>
    <w:p>
      <w:pPr>
        <w:ind w:right="40" w:firstLine="737"/>
        <w:spacing w:after="0" w:line="235" w:lineRule="auto"/>
        <w:rPr>
          <w:sz w:val="20"/>
          <w:szCs w:val="20"/>
          <w:color w:val="auto"/>
        </w:rPr>
      </w:pPr>
      <w:r>
        <w:rPr>
          <w:rFonts w:ascii="Arial" w:cs="Arial" w:eastAsia="Arial" w:hAnsi="Arial"/>
          <w:sz w:val="15"/>
          <w:szCs w:val="15"/>
          <w:color w:val="auto"/>
        </w:rPr>
        <w:t>We are extending our core markets through organically penetrating and expanding in market adjacencies in need of our offerings. The characteristics of these markets encompass development, design and delivery of solutions leveraging technology, such as artificial intelligence, machine learning, cloud computing, data processing and analytics, and advanced sensing. We are expanding our core competencies to new customers and setting the pace for technological evolution in each market, including:</w:t>
      </w:r>
    </w:p>
    <w:p>
      <w:pPr>
        <w:spacing w:after="0" w:line="78" w:lineRule="exact"/>
        <w:rPr>
          <w:sz w:val="20"/>
          <w:szCs w:val="20"/>
          <w:color w:val="auto"/>
        </w:rPr>
      </w:pPr>
    </w:p>
    <w:p>
      <w:pPr>
        <w:ind w:left="1300" w:right="700" w:hanging="427"/>
        <w:spacing w:after="0" w:line="239" w:lineRule="auto"/>
        <w:tabs>
          <w:tab w:leader="none" w:pos="1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Cybersecurity – Continue our growth momentum in cybersecurity by offering end-to-end solutions, tools, operations and platforms for our U.S. Department of Defense and Intelligence Community customers.</w:t>
      </w:r>
    </w:p>
    <w:p>
      <w:pPr>
        <w:spacing w:after="0" w:line="77" w:lineRule="exact"/>
        <w:rPr>
          <w:rFonts w:ascii="Arial" w:cs="Arial" w:eastAsia="Arial" w:hAnsi="Arial"/>
          <w:sz w:val="15"/>
          <w:szCs w:val="15"/>
          <w:color w:val="auto"/>
        </w:rPr>
      </w:pPr>
    </w:p>
    <w:p>
      <w:pPr>
        <w:jc w:val="both"/>
        <w:ind w:left="1300" w:right="200" w:hanging="427"/>
        <w:spacing w:after="0" w:line="236" w:lineRule="auto"/>
        <w:tabs>
          <w:tab w:leader="none" w:pos="1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Space -- Extend our space situational awareness, small satellite integration and payload, command and control and enterprise ground systems to our current space customers (MDA, Air Force, Space Force, Space &amp; Missile Command, NASA and NRO) and to new space and geospatial customers in the government and commercial space markets.</w:t>
      </w:r>
    </w:p>
    <w:p>
      <w:pPr>
        <w:spacing w:after="0" w:line="78" w:lineRule="exact"/>
        <w:rPr>
          <w:rFonts w:ascii="Arial" w:cs="Arial" w:eastAsia="Arial" w:hAnsi="Arial"/>
          <w:sz w:val="15"/>
          <w:szCs w:val="15"/>
          <w:color w:val="auto"/>
        </w:rPr>
      </w:pPr>
    </w:p>
    <w:p>
      <w:pPr>
        <w:ind w:left="1300" w:hanging="427"/>
        <w:spacing w:after="0"/>
        <w:tabs>
          <w:tab w:leader="none" w:pos="1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Integrated solutions -- Help our customers reinvent the future of national security and critical infrastructure by focusing on their emerging needs.</w:t>
      </w:r>
    </w:p>
    <w:p>
      <w:pPr>
        <w:spacing w:after="0" w:line="93" w:lineRule="exact"/>
        <w:rPr>
          <w:rFonts w:ascii="Arial" w:cs="Arial" w:eastAsia="Arial" w:hAnsi="Arial"/>
          <w:sz w:val="15"/>
          <w:szCs w:val="15"/>
          <w:color w:val="auto"/>
        </w:rPr>
      </w:pPr>
    </w:p>
    <w:p>
      <w:pPr>
        <w:ind w:left="1300" w:right="20" w:hanging="427"/>
        <w:spacing w:after="0" w:line="239" w:lineRule="auto"/>
        <w:tabs>
          <w:tab w:leader="none" w:pos="1300" w:val="left"/>
        </w:tabs>
        <w:numPr>
          <w:ilvl w:val="0"/>
          <w:numId w:val="9"/>
        </w:numPr>
        <w:rPr>
          <w:rFonts w:ascii="Arial" w:cs="Arial" w:eastAsia="Arial" w:hAnsi="Arial"/>
          <w:sz w:val="15"/>
          <w:szCs w:val="15"/>
          <w:color w:val="auto"/>
        </w:rPr>
      </w:pPr>
      <w:r>
        <w:rPr>
          <w:rFonts w:ascii="Arial" w:cs="Arial" w:eastAsia="Arial" w:hAnsi="Arial"/>
          <w:sz w:val="15"/>
          <w:szCs w:val="15"/>
          <w:color w:val="auto"/>
        </w:rPr>
        <w:t>Joint all-domain operations-Leverage our command and control and sensor solutions developed for the military services into a joint command network to enable joint warfighting capability.</w:t>
      </w:r>
    </w:p>
    <w:p>
      <w:pPr>
        <w:spacing w:after="0" w:line="77" w:lineRule="exact"/>
        <w:rPr>
          <w:rFonts w:ascii="Arial" w:cs="Arial" w:eastAsia="Arial" w:hAnsi="Arial"/>
          <w:sz w:val="15"/>
          <w:szCs w:val="15"/>
          <w:color w:val="auto"/>
        </w:rPr>
      </w:pPr>
    </w:p>
    <w:p>
      <w:pPr>
        <w:ind w:left="1300" w:right="80" w:hanging="427"/>
        <w:spacing w:after="0" w:line="272" w:lineRule="auto"/>
        <w:tabs>
          <w:tab w:leader="none" w:pos="1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Smart Mobility — Mobilize teams for growth, drive transactional revenue, and enhance Parsons’ marketplace positioning. Priorities include ITS/iNET™, Intelligent Intersections/AAS, Tolling/Congestion Pricing/Vehicle Miles Traveled, and Port Freight Trucking/Freight Intelligent transportation solutions.</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564" w:right="339" w:bottom="1440" w:gutter="0" w:footer="0" w:header="0"/>
        </w:sectPr>
      </w:pPr>
    </w:p>
    <w:bookmarkStart w:id="14" w:name="page15"/>
    <w:bookmarkEnd w:id="14"/>
    <w:p>
      <w:pPr>
        <w:ind w:left="1300" w:right="4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Life sciences and bio-surveillance -- Enhance our efforts in infectious disease and health screening/testing to the development of effective surveillance, prevention and operational capabilities for detecting and countering biological threats.</w:t>
      </w:r>
    </w:p>
    <w:p>
      <w:pPr>
        <w:spacing w:after="0" w:line="77" w:lineRule="exact"/>
        <w:rPr>
          <w:rFonts w:ascii="Arial" w:cs="Arial" w:eastAsia="Arial" w:hAnsi="Arial"/>
          <w:sz w:val="15"/>
          <w:szCs w:val="15"/>
          <w:color w:val="auto"/>
        </w:rPr>
      </w:pPr>
    </w:p>
    <w:p>
      <w:pPr>
        <w:ind w:left="1300" w:right="4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Supply chain security – Scale our microelectronics and hardware security capabilities to position ourselves and capitalize on the emerging supply chain security market.</w:t>
      </w:r>
    </w:p>
    <w:p>
      <w:pPr>
        <w:spacing w:after="0" w:line="77" w:lineRule="exact"/>
        <w:rPr>
          <w:rFonts w:ascii="Arial" w:cs="Arial" w:eastAsia="Arial" w:hAnsi="Arial"/>
          <w:sz w:val="15"/>
          <w:szCs w:val="15"/>
          <w:color w:val="auto"/>
        </w:rPr>
      </w:pPr>
    </w:p>
    <w:p>
      <w:pPr>
        <w:ind w:left="1300" w:right="10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Intelligence, surveillance, and reconnaissance integration – Move up the value chain from being a single solution provider to a large-scale integrator of C5ISR systems.</w:t>
      </w:r>
    </w:p>
    <w:p>
      <w:pPr>
        <w:spacing w:after="0" w:line="77" w:lineRule="exact"/>
        <w:rPr>
          <w:rFonts w:ascii="Arial" w:cs="Arial" w:eastAsia="Arial" w:hAnsi="Arial"/>
          <w:sz w:val="15"/>
          <w:szCs w:val="15"/>
          <w:color w:val="auto"/>
        </w:rPr>
      </w:pPr>
    </w:p>
    <w:p>
      <w:pPr>
        <w:ind w:left="1300" w:hanging="427"/>
        <w:spacing w:after="0" w:line="239" w:lineRule="auto"/>
        <w:tabs>
          <w:tab w:leader="none" w:pos="13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Contingency mitigation – Climate change is creating an increase in wildfires and severe storms which are problematic for the electric utility industry. We are leveraging capabilities from across our markets to manage the impact of climate change.</w:t>
      </w:r>
    </w:p>
    <w:p>
      <w:pPr>
        <w:spacing w:after="0" w:line="78" w:lineRule="exact"/>
        <w:rPr>
          <w:sz w:val="20"/>
          <w:szCs w:val="20"/>
          <w:color w:val="auto"/>
        </w:rPr>
      </w:pPr>
    </w:p>
    <w:p>
      <w:pPr>
        <w:ind w:right="260" w:firstLine="737"/>
        <w:spacing w:after="0" w:line="236" w:lineRule="auto"/>
        <w:rPr>
          <w:sz w:val="20"/>
          <w:szCs w:val="20"/>
          <w:color w:val="auto"/>
        </w:rPr>
      </w:pPr>
      <w:r>
        <w:rPr>
          <w:rFonts w:ascii="Arial" w:cs="Arial" w:eastAsia="Arial" w:hAnsi="Arial"/>
          <w:sz w:val="15"/>
          <w:szCs w:val="15"/>
          <w:color w:val="auto"/>
        </w:rPr>
        <w:t>This strategy extends the reach of our people, customer relationships and intellectual property to capture growing demand in the market adjacencies. In assessing potential areas of expansion or entry into adjacent markets, we maintain a strictly disciplined approach, always placing paramount importance on responsible growth in areas aligned with our strategy and core competencies.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Acquisition and Integration of Transformative Technologies</w:t>
      </w:r>
    </w:p>
    <w:p>
      <w:pPr>
        <w:spacing w:after="0" w:line="100" w:lineRule="exact"/>
        <w:rPr>
          <w:sz w:val="20"/>
          <w:szCs w:val="20"/>
          <w:color w:val="auto"/>
        </w:rPr>
      </w:pPr>
    </w:p>
    <w:p>
      <w:pPr>
        <w:ind w:right="240" w:firstLine="737"/>
        <w:spacing w:after="0" w:line="239" w:lineRule="auto"/>
        <w:rPr>
          <w:sz w:val="20"/>
          <w:szCs w:val="20"/>
          <w:color w:val="auto"/>
        </w:rPr>
      </w:pPr>
      <w:r>
        <w:rPr>
          <w:rFonts w:ascii="Arial" w:cs="Arial" w:eastAsia="Arial" w:hAnsi="Arial"/>
          <w:sz w:val="15"/>
          <w:szCs w:val="15"/>
          <w:color w:val="auto"/>
        </w:rPr>
        <w:t>We are transforming our business capabilities and business models through the acquisition of companies that align with our disciplined M&amp;A framework. Our M&amp;A strategy and goals include:</w:t>
      </w:r>
    </w:p>
    <w:p>
      <w:pPr>
        <w:spacing w:after="0" w:line="78" w:lineRule="exact"/>
        <w:rPr>
          <w:sz w:val="20"/>
          <w:szCs w:val="20"/>
          <w:color w:val="auto"/>
        </w:rPr>
      </w:pPr>
    </w:p>
    <w:p>
      <w:pPr>
        <w:ind w:left="1020" w:hanging="280"/>
        <w:spacing w:after="0"/>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Financial performance goals: &gt;10% top line growth, &gt;10% Adjusted EBITDA margin, and strong cash flow</w:t>
      </w:r>
    </w:p>
    <w:p>
      <w:pPr>
        <w:spacing w:after="0" w:line="182" w:lineRule="exact"/>
        <w:rPr>
          <w:rFonts w:ascii="Arial" w:cs="Arial" w:eastAsia="Arial" w:hAnsi="Arial"/>
          <w:sz w:val="15"/>
          <w:szCs w:val="15"/>
          <w:color w:val="auto"/>
        </w:rPr>
      </w:pPr>
    </w:p>
    <w:p>
      <w:pPr>
        <w:ind w:left="1020" w:right="340" w:hanging="280"/>
        <w:spacing w:after="0" w:line="239"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Growing, enduring profitable markets: Cyber; Intelligence, Surveillance, and Reconnaissance; Space; Life Sciences; Smart Transportation; and Green, Sustainable markets.</w:t>
      </w:r>
    </w:p>
    <w:p>
      <w:pPr>
        <w:spacing w:after="0" w:line="77" w:lineRule="exact"/>
        <w:rPr>
          <w:rFonts w:ascii="Arial" w:cs="Arial" w:eastAsia="Arial" w:hAnsi="Arial"/>
          <w:sz w:val="15"/>
          <w:szCs w:val="15"/>
          <w:color w:val="auto"/>
        </w:rPr>
      </w:pPr>
    </w:p>
    <w:p>
      <w:pPr>
        <w:ind w:left="1020" w:right="60" w:hanging="280"/>
        <w:spacing w:after="0" w:line="239"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High purpose mission customers: Federal civilian, intelligence community, U.S. Department of Defense, Transit Operations centers, and state Departments of Transportation.</w:t>
      </w:r>
    </w:p>
    <w:p>
      <w:pPr>
        <w:spacing w:after="0" w:line="77" w:lineRule="exact"/>
        <w:rPr>
          <w:rFonts w:ascii="Arial" w:cs="Arial" w:eastAsia="Arial" w:hAnsi="Arial"/>
          <w:sz w:val="15"/>
          <w:szCs w:val="15"/>
          <w:color w:val="auto"/>
        </w:rPr>
      </w:pPr>
    </w:p>
    <w:p>
      <w:pPr>
        <w:ind w:left="1020" w:right="420" w:hanging="280"/>
        <w:spacing w:after="0" w:line="239" w:lineRule="auto"/>
        <w:tabs>
          <w:tab w:leader="none" w:pos="10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Technology differentiation: fill technology gaps, drive end-to-end solutions, move up the value chain, scale within and across our businesses, dual use applicability, and intellectual property.</w:t>
      </w:r>
    </w:p>
    <w:p>
      <w:pPr>
        <w:spacing w:after="0" w:line="78" w:lineRule="exact"/>
        <w:rPr>
          <w:sz w:val="20"/>
          <w:szCs w:val="20"/>
          <w:color w:val="auto"/>
        </w:rPr>
      </w:pPr>
    </w:p>
    <w:p>
      <w:pPr>
        <w:ind w:right="520"/>
        <w:spacing w:after="0" w:line="239" w:lineRule="auto"/>
        <w:rPr>
          <w:sz w:val="20"/>
          <w:szCs w:val="20"/>
          <w:color w:val="auto"/>
        </w:rPr>
      </w:pPr>
      <w:r>
        <w:rPr>
          <w:rFonts w:ascii="Arial" w:cs="Arial" w:eastAsia="Arial" w:hAnsi="Arial"/>
          <w:sz w:val="15"/>
          <w:szCs w:val="15"/>
          <w:color w:val="auto"/>
        </w:rPr>
        <w:t>Our objective is to continue to transform our business into an integrated, full life cycle systems integrator that delivers scalable solutions and drives revenue growth, expanded margins, and strong cash flows.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Backlog</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5"/>
          <w:szCs w:val="15"/>
          <w:color w:val="auto"/>
        </w:rPr>
        <w:t>We view growth in total backlog as a key measure of our business growth. We define backlog to include the following two components:</w:t>
      </w:r>
    </w:p>
    <w:p>
      <w:pPr>
        <w:spacing w:after="0" w:line="82" w:lineRule="exact"/>
        <w:rPr>
          <w:sz w:val="20"/>
          <w:szCs w:val="20"/>
          <w:color w:val="auto"/>
        </w:rPr>
      </w:pPr>
    </w:p>
    <w:p>
      <w:pPr>
        <w:ind w:left="1300" w:right="200" w:hanging="427"/>
        <w:spacing w:after="0" w:line="239" w:lineRule="auto"/>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Funded—Funded backlog represents the revenue value of orders for services under existing contracts for which funding is appropriated or otherwise authorized less revenue previously recognized on these contracts.</w:t>
      </w:r>
    </w:p>
    <w:p>
      <w:pPr>
        <w:spacing w:after="0" w:line="77" w:lineRule="exact"/>
        <w:rPr>
          <w:rFonts w:ascii="Arial" w:cs="Arial" w:eastAsia="Arial" w:hAnsi="Arial"/>
          <w:sz w:val="15"/>
          <w:szCs w:val="15"/>
          <w:color w:val="auto"/>
        </w:rPr>
      </w:pPr>
    </w:p>
    <w:p>
      <w:pPr>
        <w:ind w:left="1300" w:right="20" w:hanging="427"/>
        <w:spacing w:after="0" w:line="239" w:lineRule="auto"/>
        <w:tabs>
          <w:tab w:leader="none" w:pos="130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66" w:lineRule="exact"/>
        <w:rPr>
          <w:sz w:val="20"/>
          <w:szCs w:val="20"/>
          <w:color w:val="auto"/>
        </w:rPr>
      </w:pPr>
    </w:p>
    <w:p>
      <w:pPr>
        <w:ind w:right="260" w:firstLine="434"/>
        <w:spacing w:after="0" w:line="239" w:lineRule="auto"/>
        <w:rPr>
          <w:sz w:val="20"/>
          <w:szCs w:val="20"/>
          <w:color w:val="auto"/>
        </w:rPr>
      </w:pPr>
      <w:r>
        <w:rPr>
          <w:rFonts w:ascii="Arial" w:cs="Arial" w:eastAsia="Arial" w:hAnsi="Arial"/>
          <w:sz w:val="15"/>
          <w:szCs w:val="15"/>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166" w:lineRule="exact"/>
        <w:rPr>
          <w:sz w:val="20"/>
          <w:szCs w:val="20"/>
          <w:color w:val="auto"/>
        </w:rPr>
      </w:pPr>
    </w:p>
    <w:p>
      <w:pPr>
        <w:jc w:val="both"/>
        <w:ind w:right="60" w:firstLine="434"/>
        <w:spacing w:after="0" w:line="260" w:lineRule="auto"/>
        <w:rPr>
          <w:sz w:val="20"/>
          <w:szCs w:val="20"/>
          <w:color w:val="auto"/>
        </w:rPr>
      </w:pPr>
      <w:r>
        <w:rPr>
          <w:rFonts w:ascii="Arial" w:cs="Arial" w:eastAsia="Arial" w:hAnsi="Arial"/>
          <w:sz w:val="14"/>
          <w:szCs w:val="14"/>
          <w:color w:val="auto"/>
        </w:rPr>
        <w:t>Our backlog includes orders under contracts that can extend for several years, and in some cases, contracts that extend for more than 10 to 15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00"/>
          </w:cols>
          <w:pgMar w:left="300" w:top="405" w:right="399" w:bottom="1440" w:gutter="0" w:footer="0" w:header="0"/>
        </w:sectPr>
      </w:pPr>
    </w:p>
    <w:bookmarkStart w:id="15" w:name="page16"/>
    <w:bookmarkEnd w:id="15"/>
    <w:p>
      <w:pPr>
        <w:ind w:right="380"/>
        <w:spacing w:after="0" w:line="239" w:lineRule="auto"/>
        <w:rPr>
          <w:sz w:val="20"/>
          <w:szCs w:val="20"/>
          <w:color w:val="auto"/>
        </w:rPr>
      </w:pPr>
      <w:r>
        <w:rPr>
          <w:rFonts w:ascii="Arial" w:cs="Arial" w:eastAsia="Arial" w:hAnsi="Arial"/>
          <w:sz w:val="15"/>
          <w:szCs w:val="15"/>
          <w:color w:val="auto"/>
        </w:rPr>
        <w:t>of the work to be performed under the contracts may remain unfunded unless and until the U.S. Congress makes subsequent appropriations and the procuring agency allocates funding to the contract.</w:t>
      </w:r>
    </w:p>
    <w:p>
      <w:pPr>
        <w:spacing w:after="0" w:line="166" w:lineRule="exact"/>
        <w:rPr>
          <w:sz w:val="20"/>
          <w:szCs w:val="20"/>
          <w:color w:val="auto"/>
        </w:rPr>
      </w:pPr>
    </w:p>
    <w:p>
      <w:pPr>
        <w:ind w:right="40" w:firstLine="434"/>
        <w:spacing w:after="0" w:line="256" w:lineRule="auto"/>
        <w:rPr>
          <w:sz w:val="20"/>
          <w:szCs w:val="20"/>
          <w:color w:val="auto"/>
        </w:rPr>
      </w:pPr>
      <w:r>
        <w:rPr>
          <w:rFonts w:ascii="Arial" w:cs="Arial" w:eastAsia="Arial" w:hAnsi="Arial"/>
          <w:sz w:val="14"/>
          <w:szCs w:val="14"/>
          <w:color w:val="auto"/>
        </w:rPr>
        <w:t>As of December 31, 2020, our total backlog was $ 8.1 billion, consisting of $4.0 billion of funded backlog and $4.1 billion of unfunded backlog. We expect to recognize $2.8 billion of our funded backlog at December 31, 2020 as revenues in the following twelve months. However, our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89" w:lineRule="exact"/>
        <w:rPr>
          <w:sz w:val="20"/>
          <w:szCs w:val="20"/>
          <w:color w:val="auto"/>
        </w:rPr>
      </w:pPr>
    </w:p>
    <w:p>
      <w:pPr>
        <w:ind w:firstLine="434"/>
        <w:spacing w:after="0" w:line="251" w:lineRule="auto"/>
        <w:rPr>
          <w:sz w:val="20"/>
          <w:szCs w:val="20"/>
          <w:color w:val="auto"/>
        </w:rPr>
      </w:pPr>
      <w:r>
        <w:rPr>
          <w:rFonts w:ascii="Arial" w:cs="Arial" w:eastAsia="Arial" w:hAnsi="Arial"/>
          <w:sz w:val="14"/>
          <w:szCs w:val="14"/>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Our main competitors in Federal Solutions are U.S. federal systems integrators and service providers such as Booz Allen Hamilton, CACI International Inc, Leidos Holdings, Inc., Man Tech International Corporation, Science Applications International Corporation, Lockheed Martin Corporation, Northrop Grumman Corporation, Perspecta, and The Raytheon Company. Our main competitors in Critical Infrastructure include AECOM Technology Corporation, Jacobs Engineering Group Inc., Stantec, Tetra Tech, Inc., and WSP, as well as Kapsch and Opus in the Connected Communities market. Large defense firms or technology companies may develop products or services in the future that could compete with us.</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Seasonality</w:t>
      </w:r>
    </w:p>
    <w:p>
      <w:pPr>
        <w:spacing w:after="0" w:line="189" w:lineRule="exact"/>
        <w:rPr>
          <w:sz w:val="20"/>
          <w:szCs w:val="20"/>
          <w:color w:val="auto"/>
        </w:rPr>
      </w:pPr>
    </w:p>
    <w:p>
      <w:pPr>
        <w:ind w:right="20" w:firstLine="434"/>
        <w:spacing w:after="0" w:line="251" w:lineRule="auto"/>
        <w:rPr>
          <w:sz w:val="20"/>
          <w:szCs w:val="20"/>
          <w:color w:val="auto"/>
        </w:rPr>
      </w:pPr>
      <w:r>
        <w:rPr>
          <w:rFonts w:ascii="Arial" w:cs="Arial" w:eastAsia="Arial" w:hAnsi="Arial"/>
          <w:sz w:val="14"/>
          <w:szCs w:val="14"/>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Human Capital Management</w:t>
      </w:r>
    </w:p>
    <w:p>
      <w:pPr>
        <w:spacing w:after="0" w:line="189" w:lineRule="exact"/>
        <w:rPr>
          <w:sz w:val="20"/>
          <w:szCs w:val="20"/>
          <w:color w:val="auto"/>
        </w:rPr>
      </w:pPr>
    </w:p>
    <w:p>
      <w:pPr>
        <w:ind w:right="40" w:firstLine="434"/>
        <w:spacing w:after="0" w:line="251" w:lineRule="auto"/>
        <w:rPr>
          <w:sz w:val="20"/>
          <w:szCs w:val="20"/>
          <w:color w:val="auto"/>
        </w:rPr>
      </w:pPr>
      <w:r>
        <w:rPr>
          <w:rFonts w:ascii="Arial" w:cs="Arial" w:eastAsia="Arial" w:hAnsi="Arial"/>
          <w:sz w:val="14"/>
          <w:szCs w:val="14"/>
          <w:color w:val="auto"/>
        </w:rPr>
        <w:t>We are committed to enhancing our position as a leading employer in our industry. Our culture and reputation as a leading provider of technology-driven solutions in the defense, intelligence and critical infrastructure markets enables us to recruit and retain some of the best available talent across the globe. We believe that we are stronger and smarter when we work together and celebrate our diverse backgrounds. We believe in doing right by the communities we serve, and we have policies prohibiting child labor and human trafficking. We believe that Parsons is the place for our diverse employees to make a difference. With over 15,500 employees, we experienced a 1.1% decrease in voluntary turnover in 2020 while converting nearly 90% of our workforce to a virtual environment during the current global COVID-19 pandemic. This improvement was largely attributed to targeted retention strategies, including a comprehensive employee development and technical career track framework and the prioritization of an ideal culture to support the transformational strategy. A high-level engagement among employees is reflected in our 2020 culture and engagement scores, which had an increased participation level of over 20%, and reflected significant improvements gained in survey areas such as alignment with strategic</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16" w:name="page17"/>
    <w:bookmarkEnd w:id="16"/>
    <w:p>
      <w:pPr>
        <w:ind w:right="100"/>
        <w:spacing w:after="0" w:line="239" w:lineRule="auto"/>
        <w:rPr>
          <w:sz w:val="20"/>
          <w:szCs w:val="20"/>
          <w:color w:val="auto"/>
        </w:rPr>
      </w:pPr>
      <w:r>
        <w:rPr>
          <w:rFonts w:ascii="Arial" w:cs="Arial" w:eastAsia="Arial" w:hAnsi="Arial"/>
          <w:sz w:val="15"/>
          <w:szCs w:val="15"/>
          <w:color w:val="auto"/>
        </w:rPr>
        <w:t>direction, employee connection to Parsons’ success, promotion of culture of speed and agility, rewards for coming up with new ideas, and collaboration across organization boundaries to achieve company goals.</w:t>
      </w:r>
    </w:p>
    <w:p>
      <w:pPr>
        <w:spacing w:after="0" w:line="166" w:lineRule="exact"/>
        <w:rPr>
          <w:sz w:val="20"/>
          <w:szCs w:val="20"/>
          <w:color w:val="auto"/>
        </w:rPr>
      </w:pPr>
    </w:p>
    <w:p>
      <w:pPr>
        <w:ind w:right="40" w:firstLine="434"/>
        <w:spacing w:after="0" w:line="254" w:lineRule="auto"/>
        <w:rPr>
          <w:sz w:val="20"/>
          <w:szCs w:val="20"/>
          <w:color w:val="auto"/>
        </w:rPr>
      </w:pPr>
      <w:r>
        <w:rPr>
          <w:rFonts w:ascii="Arial" w:cs="Arial" w:eastAsia="Arial" w:hAnsi="Arial"/>
          <w:sz w:val="14"/>
          <w:szCs w:val="14"/>
          <w:color w:val="auto"/>
        </w:rPr>
        <w:t>Our principal asset is our team of diverse employees. A large percentage of our employees have technical and professional backgrounds and undergraduate and/or advanced degrees, with our employees holding more than 20,000 degrees and professional credentials, including registrations and certifications in technical areas such as Agile Methodology, Project Management, Engineering, Architecture, Green Building/Sustainability, Technology, and Security as of December 31, 2020. Approximately 22% of our employees, including 58% of the employees in our Federal Solutions business segment, hold security clearances as of that date. Of those holding such clearances in Federal Solutions, approximately 58% are Top Secret/Sensitive Compartmented Information Level clearances, which often require the completion of a polygraph.</w:t>
      </w:r>
    </w:p>
    <w:p>
      <w:pPr>
        <w:spacing w:after="0" w:line="157" w:lineRule="exact"/>
        <w:rPr>
          <w:sz w:val="20"/>
          <w:szCs w:val="20"/>
          <w:color w:val="auto"/>
        </w:rPr>
      </w:pPr>
    </w:p>
    <w:p>
      <w:pPr>
        <w:ind w:right="180" w:firstLine="434"/>
        <w:spacing w:after="0" w:line="239" w:lineRule="auto"/>
        <w:rPr>
          <w:sz w:val="20"/>
          <w:szCs w:val="20"/>
          <w:color w:val="auto"/>
        </w:rPr>
      </w:pPr>
      <w:r>
        <w:rPr>
          <w:rFonts w:ascii="Arial" w:cs="Arial" w:eastAsia="Arial" w:hAnsi="Arial"/>
          <w:sz w:val="15"/>
          <w:szCs w:val="15"/>
          <w:color w:val="auto"/>
        </w:rPr>
        <w:t>In 2020, we focused on retaining and developing our employees on highly sought-after key programs as part of the knitting of our success. Such programs include the mentoring program, Parsons Distinguished Recognition and Incentive Program (DRIVE), and the Parsons’ Fellows Program.</w:t>
      </w:r>
    </w:p>
    <w:p>
      <w:pPr>
        <w:spacing w:after="0" w:line="150" w:lineRule="exact"/>
        <w:rPr>
          <w:sz w:val="20"/>
          <w:szCs w:val="20"/>
          <w:color w:val="auto"/>
        </w:rPr>
      </w:pPr>
    </w:p>
    <w:p>
      <w:pPr>
        <w:ind w:right="120" w:firstLine="434"/>
        <w:spacing w:after="0" w:line="260" w:lineRule="auto"/>
        <w:rPr>
          <w:sz w:val="20"/>
          <w:szCs w:val="20"/>
          <w:color w:val="auto"/>
        </w:rPr>
      </w:pPr>
      <w:r>
        <w:rPr>
          <w:rFonts w:ascii="Arial" w:cs="Arial" w:eastAsia="Arial" w:hAnsi="Arial"/>
          <w:sz w:val="15"/>
          <w:szCs w:val="15"/>
          <w:i w:val="1"/>
          <w:iCs w:val="1"/>
          <w:color w:val="auto"/>
        </w:rPr>
        <w:t xml:space="preserve">Mentoring: </w:t>
      </w:r>
      <w:r>
        <w:rPr>
          <w:rFonts w:ascii="Arial" w:cs="Arial" w:eastAsia="Arial" w:hAnsi="Arial"/>
          <w:sz w:val="15"/>
          <w:szCs w:val="15"/>
          <w:color w:val="auto"/>
        </w:rPr>
        <w:t>The Parsons mentoring program allows employees to cultivate skills, seek guidance and share professional experiences. The program launched in 2020</w:t>
      </w:r>
      <w:r>
        <w:rPr>
          <w:rFonts w:ascii="Arial" w:cs="Arial" w:eastAsia="Arial" w:hAnsi="Arial"/>
          <w:sz w:val="15"/>
          <w:szCs w:val="15"/>
          <w:i w:val="1"/>
          <w:iCs w:val="1"/>
          <w:color w:val="auto"/>
        </w:rPr>
        <w:t xml:space="preserve"> </w:t>
      </w:r>
      <w:r>
        <w:rPr>
          <w:rFonts w:ascii="Arial" w:cs="Arial" w:eastAsia="Arial" w:hAnsi="Arial"/>
          <w:sz w:val="15"/>
          <w:szCs w:val="15"/>
          <w:color w:val="auto"/>
        </w:rPr>
        <w:t>is designed to:</w:t>
      </w:r>
    </w:p>
    <w:p>
      <w:pPr>
        <w:spacing w:after="0" w:line="152" w:lineRule="exact"/>
        <w:rPr>
          <w:sz w:val="20"/>
          <w:szCs w:val="20"/>
          <w:color w:val="auto"/>
        </w:rPr>
      </w:pPr>
    </w:p>
    <w:p>
      <w:pPr>
        <w:ind w:left="1300" w:hanging="427"/>
        <w:spacing w:after="0"/>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Increase a sense of connection, engagement and retention of key diverse talent.</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Sustain promotion and retention rates of diverse leadership talent.</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Expand networks and enhance career development opportunities.</w:t>
      </w:r>
    </w:p>
    <w:p>
      <w:pPr>
        <w:spacing w:after="0" w:line="166" w:lineRule="exact"/>
        <w:rPr>
          <w:sz w:val="20"/>
          <w:szCs w:val="20"/>
          <w:color w:val="auto"/>
        </w:rPr>
      </w:pPr>
    </w:p>
    <w:p>
      <w:pPr>
        <w:ind w:right="220" w:firstLine="434"/>
        <w:spacing w:after="0" w:line="241" w:lineRule="auto"/>
        <w:rPr>
          <w:sz w:val="20"/>
          <w:szCs w:val="20"/>
          <w:color w:val="auto"/>
        </w:rPr>
      </w:pPr>
      <w:r>
        <w:rPr>
          <w:rFonts w:ascii="Arial" w:cs="Arial" w:eastAsia="Arial" w:hAnsi="Arial"/>
          <w:sz w:val="15"/>
          <w:szCs w:val="15"/>
          <w:i w:val="1"/>
          <w:iCs w:val="1"/>
          <w:color w:val="auto"/>
        </w:rPr>
        <w:t xml:space="preserve">Recognition: </w:t>
      </w:r>
      <w:r>
        <w:rPr>
          <w:rFonts w:ascii="Arial" w:cs="Arial" w:eastAsia="Arial" w:hAnsi="Arial"/>
          <w:sz w:val="15"/>
          <w:szCs w:val="15"/>
          <w:color w:val="auto"/>
        </w:rPr>
        <w:t>Understanding recognition at all levels is key to management and retention. We expanded Parsons Distinguished Recognition and Incentive (DRIVE)</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that celebrates employees who go above and beyond their work. Launched in 2019, with seven different award levels, the program is designed to reward employees who have made exceptional contributions to a program or project, or who have provided outstanding support to their teams, our clients, or our company as a whole. Over 1,500 awards were issued to employees in 2020 and the program is growing.</w:t>
      </w:r>
    </w:p>
    <w:p>
      <w:pPr>
        <w:spacing w:after="0" w:line="149" w:lineRule="exact"/>
        <w:rPr>
          <w:sz w:val="20"/>
          <w:szCs w:val="20"/>
          <w:color w:val="auto"/>
        </w:rPr>
      </w:pPr>
    </w:p>
    <w:p>
      <w:pPr>
        <w:ind w:firstLine="434"/>
        <w:spacing w:after="0" w:line="238" w:lineRule="auto"/>
        <w:rPr>
          <w:sz w:val="20"/>
          <w:szCs w:val="20"/>
          <w:color w:val="auto"/>
        </w:rPr>
      </w:pPr>
      <w:r>
        <w:rPr>
          <w:rFonts w:ascii="Arial" w:cs="Arial" w:eastAsia="Arial" w:hAnsi="Arial"/>
          <w:sz w:val="15"/>
          <w:szCs w:val="15"/>
          <w:i w:val="1"/>
          <w:iCs w:val="1"/>
          <w:color w:val="auto"/>
        </w:rPr>
        <w:t xml:space="preserve">Development: </w:t>
      </w:r>
      <w:r>
        <w:rPr>
          <w:rFonts w:ascii="Arial" w:cs="Arial" w:eastAsia="Arial" w:hAnsi="Arial"/>
          <w:sz w:val="15"/>
          <w:szCs w:val="15"/>
          <w:color w:val="auto"/>
        </w:rPr>
        <w:t>The Parsons’ Fellows Program recognizes our top technical experts and promotes innovation in solving our customers’ most difficult technical</w:t>
      </w:r>
      <w:r>
        <w:rPr>
          <w:rFonts w:ascii="Arial" w:cs="Arial" w:eastAsia="Arial" w:hAnsi="Arial"/>
          <w:sz w:val="15"/>
          <w:szCs w:val="15"/>
          <w:i w:val="1"/>
          <w:iCs w:val="1"/>
          <w:color w:val="auto"/>
        </w:rPr>
        <w:t xml:space="preserve"> </w:t>
      </w:r>
      <w:r>
        <w:rPr>
          <w:rFonts w:ascii="Arial" w:cs="Arial" w:eastAsia="Arial" w:hAnsi="Arial"/>
          <w:sz w:val="15"/>
          <w:szCs w:val="15"/>
          <w:color w:val="auto"/>
        </w:rPr>
        <w:t>challenges. It is a collaborative network of over forty selected motivated and passionate subject matter experts working to solve technical challenges through either strategic research and development or through the development of long-term technical policies and best practices. The program defines its success through engagement, mentorship, and retention. Every benefit that collaboration among the Fellows offers is expressed by the idea that the individual is brilliant, but a group of brilliant individuals acting as one can be more powerful and enable Parsons to accomplish even more in our quest to deliver a better world.</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Inclusion Inspires Innovation</w:t>
      </w:r>
    </w:p>
    <w:p>
      <w:pPr>
        <w:spacing w:after="0" w:line="189"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Embracing inclusion, diversity and equality in all aspects of our business is fundamental to our corporate culture and vital to our continued growth and success. Our employees work across 25 countries and collectively speak over 80 languages. Diversity is one of our core values, and we pursue it in our workforce, our markets, our suppliers, and our services because we recognize that optimum solutions require different backgrounds, new perspectives, and open minds. We leverage diversity and equality through the inclusion of employees, empowering them to shape the future of the corporation through collaboration and innovation.</w:t>
      </w:r>
    </w:p>
    <w:p>
      <w:pPr>
        <w:spacing w:after="0" w:line="167" w:lineRule="exact"/>
        <w:rPr>
          <w:sz w:val="20"/>
          <w:szCs w:val="20"/>
          <w:color w:val="auto"/>
        </w:rPr>
      </w:pPr>
    </w:p>
    <w:p>
      <w:pPr>
        <w:ind w:right="440" w:firstLine="434"/>
        <w:spacing w:after="0" w:line="236" w:lineRule="auto"/>
        <w:rPr>
          <w:sz w:val="20"/>
          <w:szCs w:val="20"/>
          <w:color w:val="auto"/>
        </w:rPr>
      </w:pPr>
      <w:r>
        <w:rPr>
          <w:rFonts w:ascii="Arial" w:cs="Arial" w:eastAsia="Arial" w:hAnsi="Arial"/>
          <w:sz w:val="15"/>
          <w:szCs w:val="15"/>
          <w:color w:val="auto"/>
        </w:rPr>
        <w:t>In 2017, we launched our Inclusion and Diversity (I&amp;D) Task Force with executive sponsorship from the Board, our CEO, our President and COO, and our Chief People Officer. The task force’s objectives are to attract, include, and retain talent, and to help achieve those goals. Its 42 diverse members serve as ambassadors throughout the corporation, demonstrate leadership, and infuse their passion for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17" w:name="page18"/>
    <w:bookmarkEnd w:id="17"/>
    <w:p>
      <w:pPr>
        <w:ind w:right="240"/>
        <w:spacing w:after="0" w:line="239" w:lineRule="auto"/>
        <w:rPr>
          <w:sz w:val="20"/>
          <w:szCs w:val="20"/>
          <w:color w:val="auto"/>
        </w:rPr>
      </w:pPr>
      <w:r>
        <w:rPr>
          <w:rFonts w:ascii="Arial" w:cs="Arial" w:eastAsia="Arial" w:hAnsi="Arial"/>
          <w:sz w:val="15"/>
          <w:szCs w:val="15"/>
          <w:color w:val="auto"/>
        </w:rPr>
        <w:t>inclusion and diversity into our corporate culture. Within the task force, subcommittees support the development and implementation of initiatives identified by the Board and the Executive Leadership Team that continue to advance our inclusion and diversity objectives.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Subcommittees and Purpose</w:t>
      </w:r>
    </w:p>
    <w:p>
      <w:pPr>
        <w:spacing w:after="0" w:line="189" w:lineRule="exact"/>
        <w:rPr>
          <w:sz w:val="20"/>
          <w:szCs w:val="20"/>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Metrics – Measure the success of inclusion and diversity</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Ambassadors – Bring inclusion and diversity to the local level to create inclusion and diversity awareness</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Mentoring/Training – Drive improved awareness and engagement</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Communications – Promote inclusion and diversity awareness through messaging and celebration</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Executive/Intern Diversity – Drive improved diversity at the intern and executive levels</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Policy Review – Improve inclusion and diversity through policy change</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Social Justice and Equality – Advance social justice and equality inside and outside of Parsons</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Military and Veterans Affairs – Attract veterans and cultivate their careers and success</w:t>
      </w:r>
    </w:p>
    <w:p>
      <w:pPr>
        <w:spacing w:after="0" w:line="4" w:lineRule="exact"/>
        <w:rPr>
          <w:rFonts w:ascii="Arial" w:cs="Arial" w:eastAsia="Arial" w:hAnsi="Arial"/>
          <w:sz w:val="15"/>
          <w:szCs w:val="15"/>
          <w:color w:val="auto"/>
        </w:rPr>
      </w:pPr>
    </w:p>
    <w:p>
      <w:pPr>
        <w:ind w:left="1300" w:hanging="427"/>
        <w:spacing w:after="0"/>
        <w:tabs>
          <w:tab w:leader="none" w:pos="13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Pride Alliance – Advocate for the LGBTQ+</w:t>
      </w:r>
    </w:p>
    <w:p>
      <w:pPr>
        <w:spacing w:after="0" w:line="182" w:lineRule="exact"/>
        <w:rPr>
          <w:sz w:val="20"/>
          <w:szCs w:val="20"/>
          <w:color w:val="auto"/>
        </w:rPr>
      </w:pPr>
    </w:p>
    <w:p>
      <w:pPr>
        <w:ind w:left="880"/>
        <w:spacing w:after="0" w:line="234" w:lineRule="auto"/>
        <w:rPr>
          <w:sz w:val="20"/>
          <w:szCs w:val="20"/>
          <w:color w:val="auto"/>
        </w:rPr>
      </w:pPr>
      <w:r>
        <w:rPr>
          <w:rFonts w:ascii="Arial" w:cs="Arial" w:eastAsia="Arial" w:hAnsi="Arial"/>
          <w:sz w:val="15"/>
          <w:szCs w:val="15"/>
          <w:color w:val="auto"/>
        </w:rPr>
        <w:t>With recent social justice and equality awakening, we launched the Listen-Learn-Action campaign. Our Board and our CEO and Chairman implemented a thoughtful strategy to better understand the perspectives of our employees by listening to them through various forums, then sharing the understanding and offering educational resources to all employees, and, finally, putting into effect a concise, iterative quarterly action plan that holds us accountable to doing more to increasing the representation or historically underrepresented groups within our global workforce, and we are committed to taking action and ensuring Parsons is, and remains, an employer of choice.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Stock Ownership Plan</w:t>
      </w:r>
    </w:p>
    <w:p>
      <w:pPr>
        <w:spacing w:after="0" w:line="189" w:lineRule="exact"/>
        <w:rPr>
          <w:sz w:val="20"/>
          <w:szCs w:val="20"/>
          <w:color w:val="auto"/>
        </w:rPr>
      </w:pPr>
    </w:p>
    <w:p>
      <w:pPr>
        <w:ind w:firstLine="867"/>
        <w:spacing w:after="0" w:line="250" w:lineRule="auto"/>
        <w:rPr>
          <w:sz w:val="20"/>
          <w:szCs w:val="20"/>
          <w:color w:val="auto"/>
        </w:rPr>
      </w:pPr>
      <w:r>
        <w:rPr>
          <w:rFonts w:ascii="Arial" w:cs="Arial" w:eastAsia="Arial" w:hAnsi="Arial"/>
          <w:sz w:val="14"/>
          <w:szCs w:val="14"/>
          <w:color w:val="auto"/>
        </w:rPr>
        <w:t>At December 31, 2020, approximately 6,300 of our employees participated in our Employee Stock Ownership Plan (ESOP), which owns approximately 39% of our outstanding shares. In December 2020, the board of directors approved an amendment to the ESOP to provide greater diversification rights to participants. The amendment provides that, with respect to all diversifications elected or processed after January 1, 2021, the definition of a qualified participant shall mean a participant who has attained the age of 50 and who has completed at least three years of participation in the ESOP and other criteria. Each qualified participant shall generally be permitted to direct the ESOP as to the diversification of 50% of the value of the eligible vested portion of the participant’s ESOP account. Further, in January 2021, the Parsons Corporation Board of Directors approved an amendment to the ESOP whereby distributions to participants in the Plan were modified as follows: (1) the threshold amount of an ESOP participant’s balance to be eligible for a single lump sum distribution was increased from $20,000 or less to $500,000 or less; (2) the threshold balance for a participant to be eligible to receive payment in two annual installments was increased from $40,000 or less to $750,000 or less; and (3) the threshold balance for a participant to be eligible to receive payment in three annual installments was increased to greater than $ 750,000. This change was made to facilitate greater flexibility for certain eligible participants to receive their balances in fewer installments and to accelerate the increase in publicly traded float for the Company’s 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89" w:lineRule="exact"/>
        <w:rPr>
          <w:sz w:val="20"/>
          <w:szCs w:val="20"/>
          <w:color w:val="auto"/>
        </w:rPr>
      </w:pPr>
    </w:p>
    <w:p>
      <w:pPr>
        <w:ind w:right="80" w:firstLine="434"/>
        <w:spacing w:after="0" w:line="235" w:lineRule="auto"/>
        <w:rPr>
          <w:sz w:val="20"/>
          <w:szCs w:val="20"/>
          <w:color w:val="auto"/>
        </w:rPr>
      </w:pPr>
      <w:r>
        <w:rPr>
          <w:rFonts w:ascii="Arial" w:cs="Arial" w:eastAsia="Arial" w:hAnsi="Arial"/>
          <w:sz w:val="15"/>
          <w:szCs w:val="15"/>
          <w:color w:val="auto"/>
        </w:rPr>
        <w:t>Our intellectual property portfolio consists of issued and pending patents as well as trademarks for many of our technologies. In addition, we maintain a number of trade secrets that we endeavor to protect to ensure their continuing availability to us. Our technical expertise is vital to our growth strategy, and we believe they are a core competitive advantage. We have 26 registered patents and 31 pending patents in the United States and 4 pending patents internationally. We have 67 trademarks and 26 pending</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3" w:right="359" w:bottom="1440" w:gutter="0" w:footer="0" w:header="0"/>
        </w:sectPr>
      </w:pPr>
    </w:p>
    <w:bookmarkStart w:id="18" w:name="page19"/>
    <w:bookmarkEnd w:id="18"/>
    <w:p>
      <w:pPr>
        <w:ind w:right="220"/>
        <w:spacing w:after="0" w:line="239" w:lineRule="auto"/>
        <w:rPr>
          <w:sz w:val="20"/>
          <w:szCs w:val="20"/>
          <w:color w:val="auto"/>
        </w:rPr>
      </w:pPr>
      <w:r>
        <w:rPr>
          <w:rFonts w:ascii="Arial" w:cs="Arial" w:eastAsia="Arial" w:hAnsi="Arial"/>
          <w:sz w:val="15"/>
          <w:szCs w:val="15"/>
          <w:color w:val="auto"/>
        </w:rPr>
        <w:t>trademark applications in the United States, and 145 trademarks and 34 pending trademark applications internationally. We also currently offer 25 products for sale to our global customers.</w:t>
      </w:r>
    </w:p>
    <w:p>
      <w:pPr>
        <w:spacing w:after="0" w:line="166"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While protecting trade secrets and proprietary information is important, we are not materially dependent on maintenance of any specific trade secret or group of trade secrets.</w:t>
      </w:r>
    </w:p>
    <w:p>
      <w:pPr>
        <w:spacing w:after="0" w:line="167" w:lineRule="exact"/>
        <w:rPr>
          <w:sz w:val="20"/>
          <w:szCs w:val="20"/>
          <w:color w:val="auto"/>
        </w:rPr>
      </w:pPr>
    </w:p>
    <w:p>
      <w:pPr>
        <w:ind w:right="180" w:firstLine="434"/>
        <w:spacing w:after="0" w:line="233" w:lineRule="auto"/>
        <w:rPr>
          <w:sz w:val="20"/>
          <w:szCs w:val="20"/>
          <w:color w:val="auto"/>
        </w:rPr>
      </w:pPr>
      <w:r>
        <w:rPr>
          <w:rFonts w:ascii="Arial" w:cs="Arial" w:eastAsia="Arial" w:hAnsi="Arial"/>
          <w:sz w:val="15"/>
          <w:szCs w:val="15"/>
          <w:color w:val="auto"/>
        </w:rPr>
        <w:t>During the normal course of business, we perform research and development and technology consulting services and related products in support of our customers. Typically, these services do not depend on patent protection. In accordance with applicable law, our government contracts often provide government agencies certain license rights to our inventions, copyrights and other intellectual property. Government agencies may in turn sublicense to other contractors (including our competitors) the right to utilize our intellectual property. In addition, in the case of our work as a subcontractor, our prime contractor may also have certain rights to data, information and products we develop under the subcontract. At the same time, our government contracts often license to us patents, copyrights and other intellectual property owned by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Regulation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business is impacted by government procurement, anti-bribery, international trade, environmental, health and safety and other regulations and requirements.</w:t>
      </w:r>
    </w:p>
    <w:p>
      <w:pPr>
        <w:spacing w:after="0"/>
        <w:rPr>
          <w:sz w:val="20"/>
          <w:szCs w:val="20"/>
          <w:color w:val="auto"/>
        </w:rPr>
      </w:pPr>
      <w:r>
        <w:rPr>
          <w:rFonts w:ascii="Arial" w:cs="Arial" w:eastAsia="Arial" w:hAnsi="Arial"/>
          <w:sz w:val="15"/>
          <w:szCs w:val="15"/>
          <w:color w:val="auto"/>
        </w:rPr>
        <w:t>Below is a summary of some of the significant regulations that impact our business.</w:t>
      </w:r>
    </w:p>
    <w:p>
      <w:pPr>
        <w:spacing w:after="0" w:line="155" w:lineRule="exact"/>
        <w:rPr>
          <w:sz w:val="20"/>
          <w:szCs w:val="20"/>
          <w:color w:val="auto"/>
        </w:rPr>
      </w:pPr>
    </w:p>
    <w:p>
      <w:pPr>
        <w:ind w:right="40" w:firstLine="434"/>
        <w:spacing w:after="0" w:line="237" w:lineRule="auto"/>
        <w:rPr>
          <w:sz w:val="20"/>
          <w:szCs w:val="20"/>
          <w:color w:val="auto"/>
        </w:rPr>
      </w:pPr>
      <w:r>
        <w:rPr>
          <w:rFonts w:ascii="Arial" w:cs="Arial" w:eastAsia="Arial" w:hAnsi="Arial"/>
          <w:sz w:val="15"/>
          <w:szCs w:val="15"/>
          <w:i w:val="1"/>
          <w:iCs w:val="1"/>
          <w:color w:val="auto"/>
        </w:rPr>
        <w:t>Government Procurement</w:t>
      </w:r>
      <w:r>
        <w:rPr>
          <w:rFonts w:ascii="Arial" w:cs="Arial" w:eastAsia="Arial" w:hAnsi="Arial"/>
          <w:sz w:val="15"/>
          <w:szCs w:val="15"/>
          <w:color w:val="auto"/>
        </w:rPr>
        <w:t>. The services we provide to the U.S. Government are subject to Federal Acquisition Regulation, or FAR, the Truth in Negotiations Act,</w:t>
      </w:r>
      <w:r>
        <w:rPr>
          <w:rFonts w:ascii="Arial" w:cs="Arial" w:eastAsia="Arial" w:hAnsi="Arial"/>
          <w:sz w:val="15"/>
          <w:szCs w:val="15"/>
          <w:i w:val="1"/>
          <w:iCs w:val="1"/>
          <w:color w:val="auto"/>
        </w:rPr>
        <w:t xml:space="preserve"> </w:t>
      </w:r>
      <w:r>
        <w:rPr>
          <w:rFonts w:ascii="Arial" w:cs="Arial" w:eastAsia="Arial" w:hAnsi="Arial"/>
          <w:sz w:val="15"/>
          <w:szCs w:val="15"/>
          <w:color w:val="auto"/>
        </w:rPr>
        <w:t>Cost Accounting Standards, or CAS, the Services Contract Act, the False Claims Act, export controls rules and U.S. Department of Defense security regulations, as well as many other laws and regulations. These laws and regulations affect how we transact business with our clients and, in some instances, impose additional costs on our business operations. A violation of specific laws and regulations could lead to fines, contract termination or suspension of future contracts. Generally, our government clients can also terminate, renegotiate, or modify any of their contracts with us at their convenience, and many of our government contracts are subject to renewal or extension annually.</w:t>
      </w:r>
    </w:p>
    <w:p>
      <w:pPr>
        <w:spacing w:after="0" w:line="169"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In 2019, the U.S. Department of Defense announced the development of Cybersecurity Maturity Model Certification (“CMMC”) as a framework to assess and enhance the cybersecurity posture of the Defense Industrial Base (“DIB”), particularly as it relates to controlled unclassified information within the supply chain. CMMC is designed to ensure that contractors providing services to the U.S. Department of Defense have implemented cybersecurity controls and processes to adequately protect information that resides on DIB systems and networks. The U.S. Department of Defense issued an interim rule on September 29, 2020 to amend the Defense Federal Acquisition Regulation Supplement (DFARS) to include one new provision and two new contract clauses. It became effective on November 30, 2020. We collaborated with other companies to provide feedback following the 60-day public comment period. In December 2020, the U.S. Department of Defense identified seven approved pilots of the expected fifteen for fiscal year 2021 that are new Requests for Proposals which will be incorporated into CMMC requirements. All offerors are expected to undergo appropriate third-party CMMC assessment and achieve certification of Level 3 and below at the time of contract award. We are currently in compliance and is preparing for future certification and assessments.</w:t>
      </w:r>
    </w:p>
    <w:p>
      <w:pPr>
        <w:spacing w:after="0" w:line="150" w:lineRule="exact"/>
        <w:rPr>
          <w:sz w:val="20"/>
          <w:szCs w:val="20"/>
          <w:color w:val="auto"/>
        </w:rPr>
      </w:pPr>
    </w:p>
    <w:p>
      <w:pPr>
        <w:ind w:right="40" w:firstLine="434"/>
        <w:spacing w:after="0" w:line="246" w:lineRule="auto"/>
        <w:rPr>
          <w:sz w:val="20"/>
          <w:szCs w:val="20"/>
          <w:color w:val="auto"/>
        </w:rPr>
      </w:pPr>
      <w:r>
        <w:rPr>
          <w:rFonts w:ascii="Arial" w:cs="Arial" w:eastAsia="Arial" w:hAnsi="Arial"/>
          <w:sz w:val="15"/>
          <w:szCs w:val="15"/>
          <w:i w:val="1"/>
          <w:iCs w:val="1"/>
          <w:color w:val="auto"/>
        </w:rPr>
        <w:t xml:space="preserve">Anti-Bribery and other regulations. </w:t>
      </w:r>
      <w:r>
        <w:rPr>
          <w:rFonts w:ascii="Arial" w:cs="Arial" w:eastAsia="Arial" w:hAnsi="Arial"/>
          <w:sz w:val="15"/>
          <w:szCs w:val="15"/>
          <w:color w:val="auto"/>
        </w:rPr>
        <w:t>We are subject to the U.S. Foreign Corrupt Practices Act and similar anti-bribery laws, which generally prohibit companies and</w:t>
      </w:r>
      <w:r>
        <w:rPr>
          <w:rFonts w:ascii="Arial" w:cs="Arial" w:eastAsia="Arial" w:hAnsi="Arial"/>
          <w:sz w:val="15"/>
          <w:szCs w:val="15"/>
          <w:i w:val="1"/>
          <w:iCs w:val="1"/>
          <w:color w:val="auto"/>
        </w:rPr>
        <w:t xml:space="preserve"> </w:t>
      </w:r>
      <w:r>
        <w:rPr>
          <w:rFonts w:ascii="Arial" w:cs="Arial" w:eastAsia="Arial" w:hAnsi="Arial"/>
          <w:sz w:val="15"/>
          <w:szCs w:val="15"/>
          <w:color w:val="auto"/>
        </w:rPr>
        <w:t>their intermediaries from making improper payments to foreign government officials for the purpose of obtaining or retaining business. The U.K. Bribery Act of 2010 prohibits both domestic and international bribery, as well as bribery across both</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auto"/>
        </w:rPr>
        <w:t>private and public sectors. In addition, an organization that “fails to prevent bribery” committed by anyone associated with the organization can be charged under the U.K.</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Bribery Act unless the organization can establish the defense of having implemented “adequate procedures” to prevent bribery.</w:t>
      </w:r>
    </w:p>
    <w:p>
      <w:pPr>
        <w:spacing w:after="0" w:line="155" w:lineRule="exact"/>
        <w:rPr>
          <w:sz w:val="20"/>
          <w:szCs w:val="20"/>
          <w:color w:val="auto"/>
        </w:rPr>
      </w:pPr>
    </w:p>
    <w:p>
      <w:pPr>
        <w:ind w:right="20" w:firstLine="434"/>
        <w:spacing w:after="0" w:line="235" w:lineRule="auto"/>
        <w:rPr>
          <w:sz w:val="20"/>
          <w:szCs w:val="20"/>
          <w:color w:val="auto"/>
        </w:rPr>
      </w:pPr>
      <w:r>
        <w:rPr>
          <w:rFonts w:ascii="Arial" w:cs="Arial" w:eastAsia="Arial" w:hAnsi="Arial"/>
          <w:sz w:val="15"/>
          <w:szCs w:val="15"/>
          <w:i w:val="1"/>
          <w:iCs w:val="1"/>
          <w:color w:val="auto"/>
        </w:rPr>
        <w:t>International Trade</w:t>
      </w:r>
      <w:r>
        <w:rPr>
          <w:rFonts w:ascii="Arial" w:cs="Arial" w:eastAsia="Arial" w:hAnsi="Arial"/>
          <w:sz w:val="15"/>
          <w:szCs w:val="15"/>
          <w:color w:val="auto"/>
        </w:rPr>
        <w:t>. We are subject to U.S. export control laws and regulations, including the International Traffic in Arms Regulations, or ITAR, and the Export</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Administration Regulations, or EAR, as well as U.S. economic and trade sanctions, including those administered and enforced by the U.S. Department of Treasury’s Office of Foreign Assets Control, or OFAC. To the extent we export items and provide services outside of the United States (or to certain parties in the United States), we must do so in compliance with these laws and regulations. These laws and regulations impose export licensing requirements, and we may not be successful in obtaining necessary licenses and other authorizations. Further, these laws and regulations restrict our ability to export items or provide services to certain countries and certain persons, including those that are the target of OFAC sanctions. Noncompliance with these or similar laws could lead to government investigations, penalties, reputational harm, and other negative consequences, and thereby could adversely affect our business and financial condition. Further, any change in these laws and regulations, or any shift in the approach to their enforcement or scope, or change to the countries, persons, or items targeted by such regulations, could potentially result in our decreased ability to export or sell items or services to existing or potential customers.</w:t>
      </w:r>
    </w:p>
    <w:p>
      <w:pPr>
        <w:spacing w:after="0" w:line="153"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i w:val="1"/>
          <w:iCs w:val="1"/>
          <w:color w:val="auto"/>
        </w:rPr>
        <w:t xml:space="preserve">Environmental, Health and Safety. </w:t>
      </w:r>
      <w:r>
        <w:rPr>
          <w:rFonts w:ascii="Arial" w:cs="Arial" w:eastAsia="Arial" w:hAnsi="Arial"/>
          <w:sz w:val="15"/>
          <w:szCs w:val="15"/>
          <w:color w:val="auto"/>
        </w:rPr>
        <w:t>We are subject to federal, state and local laws and regulations relating to environmental, health and safety matters,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among other things, the handling, transport and disposal of regulated substances and wastes, including hazardous and radioactive materials; contamination by regulated substances and wastes; the types, quantities and concentration of materials that can be released into the environment; the acquisition of a permit or other approval before conducting regulated activities; the maintenance of information about hazardous materials used or produced in operations and provision of such information to employees, state and local government authorities and the public; and employee health and safety. Our previous ownership and current and previous operation of real property may subject us to liability pursuant to these laws or regulations. Under the Comprehensive Environmental Response, Compensation and Liability Act, or CERCLA, and related state laws, certain persons may be liable at sites where or from a release or threatened release of hazardous substances has occurred or is threatened. These persons can include the current owner or operator of property where a release or threatened release occurred, any persons who owned or operated the property when the release occurred, and any persons who disposed of, or arranged for the transportation or disposal of, hazardous substances at a contaminated property. Liability under CERCLA is strict, retroactive and, under certain circumstances, joint and several, so that any responsible party may be held liable for the entire cost of investigating and remediating the release of hazardous substances. The Resource Conservation and Recovery Act, or RCRA, regulates the generation, treatment, storage, handling, transportation and disposal of solid waste and requires states to develop programs to ensure the safe disposal of solid waste. Under RCRA, persons may be liable at sites where the past or present storage, handling, treatment, transportation, or disposal of any solid or hazardous waste may present an imminent and substantial endangerment to health or the environment. These persons can include the current owner or operator of property where disposal occurred, any persons who owned or operated the property when the disposal occurred, and any persons who disposed of, or arranged for the transportation or disposal of, hazardous substances at a contaminated property. Liability under RCRA is strict and, under certain circumstances, joint and several, so that any responsible party may be held liable for the entire cost of investigating and remediating the release of hazardous substances. Violations and liabilities with respect to environmental, health and safety laws and regulations could result in significant administrative, civil, or criminal penalties, remedial clean-ups, natural resource damages, permit modifications or revocations, operational interruptions or shutdowns and other liabilities. Additionally, Congress, state legislatures, local governing bodies and federal and state agencies frequently revise environmental laws and regulations, and any changes could result in more stringent or costly requirements for our operations. Our costs related to complying with environmental, health and safety laws and regulations have not been material in the past and are not currently material to our total operating costs or cash flows. However, if we have any violations of, or incur liabilities pursuant to these laws or regulations in the future, our financial condition and operating results could be adversely affected. In addition, in the unlikely event that we are required to fund remediation of a contaminated site, the</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20"/>
          </w:cols>
          <w:pgMar w:left="300" w:top="493" w:right="379" w:bottom="1440" w:gutter="0" w:footer="0" w:header="0"/>
        </w:sectPr>
      </w:pPr>
    </w:p>
    <w:bookmarkStart w:id="20" w:name="page21"/>
    <w:bookmarkEnd w:id="20"/>
    <w:p>
      <w:pPr>
        <w:spacing w:after="0"/>
        <w:rPr>
          <w:sz w:val="20"/>
          <w:szCs w:val="20"/>
          <w:color w:val="auto"/>
        </w:rPr>
      </w:pPr>
      <w:r>
        <w:rPr>
          <w:rFonts w:ascii="Arial" w:cs="Arial" w:eastAsia="Arial" w:hAnsi="Arial"/>
          <w:sz w:val="15"/>
          <w:szCs w:val="15"/>
          <w:color w:val="auto"/>
        </w:rPr>
        <w:t>statutory framework might allow us to pursue rights of contribution from other potentially responsible parties.</w:t>
      </w:r>
    </w:p>
    <w:p>
      <w:pPr>
        <w:spacing w:after="0" w:line="171" w:lineRule="exact"/>
        <w:rPr>
          <w:sz w:val="20"/>
          <w:szCs w:val="20"/>
          <w:color w:val="auto"/>
        </w:rPr>
      </w:pPr>
    </w:p>
    <w:p>
      <w:pPr>
        <w:ind w:right="60" w:firstLine="434"/>
        <w:spacing w:after="0" w:line="236" w:lineRule="auto"/>
        <w:rPr>
          <w:sz w:val="20"/>
          <w:szCs w:val="20"/>
          <w:color w:val="auto"/>
        </w:rPr>
      </w:pPr>
      <w:r>
        <w:rPr>
          <w:rFonts w:ascii="Arial" w:cs="Arial" w:eastAsia="Arial" w:hAnsi="Arial"/>
          <w:sz w:val="15"/>
          <w:szCs w:val="15"/>
          <w:color w:val="auto"/>
        </w:rPr>
        <w:t>We maintain a compliance program designed to ensure compliance with the various regulations and requirements applicable to us. The compliance program, managed by our Chief Ethics and Compliance Counsel and overseen by our Chief Compliance Officer, includes an annual audit of performance with respect to our codes of ethics and business conduct and the adequacy of our compliance program, among other initiatives.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Executive Officers</w:t>
      </w:r>
    </w:p>
    <w:p>
      <w:pPr>
        <w:spacing w:after="0" w:line="84"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i w:val="1"/>
          <w:iCs w:val="1"/>
          <w:color w:val="auto"/>
        </w:rPr>
        <w:t xml:space="preserve">Charles L. Harrington </w:t>
      </w:r>
      <w:r>
        <w:rPr>
          <w:rFonts w:ascii="Arial" w:cs="Arial" w:eastAsia="Arial" w:hAnsi="Arial"/>
          <w:sz w:val="15"/>
          <w:szCs w:val="15"/>
          <w:color w:val="auto"/>
        </w:rPr>
        <w:t>was appointed our Chief Executive Officer in May 2008, Chairman of our board of directors in November 2008. Before his appointment in</w:t>
      </w:r>
      <w:r>
        <w:rPr>
          <w:rFonts w:ascii="Arial" w:cs="Arial" w:eastAsia="Arial" w:hAnsi="Arial"/>
          <w:sz w:val="15"/>
          <w:szCs w:val="15"/>
          <w:i w:val="1"/>
          <w:iCs w:val="1"/>
          <w:color w:val="auto"/>
        </w:rPr>
        <w:t xml:space="preserve"> </w:t>
      </w:r>
      <w:r>
        <w:rPr>
          <w:rFonts w:ascii="Arial" w:cs="Arial" w:eastAsia="Arial" w:hAnsi="Arial"/>
          <w:sz w:val="15"/>
          <w:szCs w:val="15"/>
          <w:color w:val="auto"/>
        </w:rPr>
        <w:t>2006 as Executive Vice President, Chief Financial Officer and Treasurer of Parsons, Mr. Harrington was the founding President of one of our business units. Mr. Harrington also serves on the board of directors of the J.G. Boswell Company, where he chairs the Compensation Committee and serves on the Audit Committee. Further, he serves on several non-profit boards of directors, including serving as Vice Chair of the California Polytechnic State University San Luis Obispo Foundation board of directors, and serves on the Audit Committee and Investment Committee. Mr. Harrington has also served as an Audit Chair of a publicly traded company. Mr. Harrington received a Bachelor of Science in engineering from California Polytechnic State University and a masters-of-business administration from the University of California, Los Angeles (UCLA) Anderson School of Management. Mr. Harrington was selected to serve on our board of directors because of the perspective and experience he brings as our Chief Executive Officer, as well as his operations and finance industry experience.</w:t>
      </w:r>
    </w:p>
    <w:p>
      <w:pPr>
        <w:spacing w:after="0" w:line="150" w:lineRule="exact"/>
        <w:rPr>
          <w:sz w:val="20"/>
          <w:szCs w:val="20"/>
          <w:color w:val="auto"/>
        </w:rPr>
      </w:pPr>
    </w:p>
    <w:p>
      <w:pPr>
        <w:ind w:firstLine="737"/>
        <w:spacing w:after="0" w:line="234" w:lineRule="auto"/>
        <w:rPr>
          <w:sz w:val="20"/>
          <w:szCs w:val="20"/>
          <w:color w:val="auto"/>
        </w:rPr>
      </w:pPr>
      <w:r>
        <w:rPr>
          <w:rFonts w:ascii="Arial" w:cs="Arial" w:eastAsia="Arial" w:hAnsi="Arial"/>
          <w:sz w:val="15"/>
          <w:szCs w:val="15"/>
          <w:i w:val="1"/>
          <w:iCs w:val="1"/>
          <w:color w:val="auto"/>
        </w:rPr>
        <w:t xml:space="preserve">Carey A. Smith </w:t>
      </w:r>
      <w:r>
        <w:rPr>
          <w:rFonts w:ascii="Arial" w:cs="Arial" w:eastAsia="Arial" w:hAnsi="Arial"/>
          <w:sz w:val="15"/>
          <w:szCs w:val="15"/>
          <w:color w:val="auto"/>
        </w:rPr>
        <w:t>was appointed Chief Operating Officer in November 2018, President in November 2019 and a member of our board of directors in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2020. Prior to that, Ms. Smith led Parsons’ Federal Solutions business from November 2016. Before joining Parsons, Ms. Smith served in progressive leadership roles at Honeywell International Inc. (“Honeywell”) from 2011 to 2016, including President of the Defense and Space business unit, Vice President of Honeywell Aerospace Customer and Product Support and President of Honeywell Technology Solutions, Inc. In total, Ms. Smith has 35 years of aerospace and defense experience. Ms. Smith serves on the Edison International board of directors, including on the Compensation &amp; Executive Personnel and Safety and Operations Committees, and in several capacities for the Professional Services Council, including as Vice Chairman on the board of directors and a member of the Executive Committee. In addition, Ms. Smith serves on the non-profit boards of INSA (Intelligence and National Security Alliance) and the USGIF (United States Geospatial Intelligence Foundation) working with government, industry and academia to promote national security, and she is a National Association of Corporate Directors (NACD) Governance Fellow. Ms. Smith received a Master of Science degree in electrical engineering from Syracuse University and a bachelor- of-science in electrical engineering from Ohio Northern University. Ms. Smith was selected to serve on our board of directors because of the perspective and experience that she brings as our President, and due to her significant industry and operations experience.</w:t>
      </w:r>
    </w:p>
    <w:p>
      <w:pPr>
        <w:spacing w:after="0" w:line="156" w:lineRule="exact"/>
        <w:rPr>
          <w:sz w:val="20"/>
          <w:szCs w:val="20"/>
          <w:color w:val="auto"/>
        </w:rPr>
      </w:pPr>
    </w:p>
    <w:p>
      <w:pPr>
        <w:ind w:right="100" w:firstLine="737"/>
        <w:spacing w:after="0" w:line="236" w:lineRule="auto"/>
        <w:rPr>
          <w:sz w:val="20"/>
          <w:szCs w:val="20"/>
          <w:color w:val="auto"/>
        </w:rPr>
      </w:pPr>
      <w:r>
        <w:rPr>
          <w:rFonts w:ascii="Arial" w:cs="Arial" w:eastAsia="Arial" w:hAnsi="Arial"/>
          <w:sz w:val="15"/>
          <w:szCs w:val="15"/>
          <w:i w:val="1"/>
          <w:iCs w:val="1"/>
          <w:color w:val="auto"/>
        </w:rPr>
        <w:t xml:space="preserve">George L. Ball </w:t>
      </w:r>
      <w:r>
        <w:rPr>
          <w:rFonts w:ascii="Arial" w:cs="Arial" w:eastAsia="Arial" w:hAnsi="Arial"/>
          <w:sz w:val="15"/>
          <w:szCs w:val="15"/>
          <w:color w:val="auto"/>
        </w:rPr>
        <w:t>was appointed our Chief Financial Officer in May 2008. Mr. Ball has held a succession of senior financial and management positions with us over</w:t>
      </w:r>
      <w:r>
        <w:rPr>
          <w:rFonts w:ascii="Arial" w:cs="Arial" w:eastAsia="Arial" w:hAnsi="Arial"/>
          <w:sz w:val="15"/>
          <w:szCs w:val="15"/>
          <w:i w:val="1"/>
          <w:iCs w:val="1"/>
          <w:color w:val="auto"/>
        </w:rPr>
        <w:t xml:space="preserve"> </w:t>
      </w:r>
      <w:r>
        <w:rPr>
          <w:rFonts w:ascii="Arial" w:cs="Arial" w:eastAsia="Arial" w:hAnsi="Arial"/>
          <w:sz w:val="15"/>
          <w:szCs w:val="15"/>
          <w:color w:val="auto"/>
        </w:rPr>
        <w:t>the past 13 years. Previously, he was Senior Vice President, Financial Systems and Control, of Parsons Corporation from March 2007 to May 2008 and Vice President, Finance, of Parsons Development Company from October 2004 to February 2008. Since joining us in 1995, he has served in various capacities including Corporate Controller and International Division Manager of the Infrastructure &amp; Technology Group. Mr. Ball has more than 36 years of experience in finance and accounting roles for both public and private companies. In addition to his responsibilities with us, he serves on the board of directors, executive committee, audit committee, compensation committee, affiliate transactions committee and chair of the routine transactions committee of Cornerstone Building Brands, Inc. Mr. Ball is also a National Association of Corporate Directors (NACD) Board Leadership Fellow. Mr. Ball is a certified public accountant and holds a Bachelor of Science degree in accounting from Drexel University in Philadelphia, Pennsylvania.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1" w:name="page22"/>
    <w:bookmarkEnd w:id="21"/>
    <w:p>
      <w:pPr>
        <w:ind w:right="40" w:firstLine="737"/>
        <w:spacing w:after="0" w:line="236" w:lineRule="auto"/>
        <w:rPr>
          <w:sz w:val="20"/>
          <w:szCs w:val="20"/>
          <w:color w:val="auto"/>
        </w:rPr>
      </w:pPr>
      <w:r>
        <w:rPr>
          <w:rFonts w:ascii="Arial" w:cs="Arial" w:eastAsia="Arial" w:hAnsi="Arial"/>
          <w:sz w:val="15"/>
          <w:szCs w:val="15"/>
          <w:i w:val="1"/>
          <w:iCs w:val="1"/>
          <w:color w:val="auto"/>
        </w:rPr>
        <w:t xml:space="preserve">Michael R. Kolloway </w:t>
      </w:r>
      <w:r>
        <w:rPr>
          <w:rFonts w:ascii="Arial" w:cs="Arial" w:eastAsia="Arial" w:hAnsi="Arial"/>
          <w:sz w:val="15"/>
          <w:szCs w:val="15"/>
          <w:color w:val="auto"/>
        </w:rPr>
        <w:t>was appointed General Counsel and Corporate Secretary of Parsons Corporation in October 2017 and later became our Chief Legal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in January 2019. Before assuming the role of General Counsel and Corporate Secretary, Mr. Kolloway served as Deputy General Counsel – Americas from March 2016 through October 2017. Before joining Parsons, Mr. Kolloway served as Senior Vice President and Assistant General Counsel for Operations and Risk Management at AECOM Technology Corporation, a publicly traded company. Prior to his tenure at AECOM, Mr. Kolloway was a partner in the Chicago law firm of Rock, Fusco &amp; Garvey, Ltd and a member of the Federal Trial Bar for the Northern District of Illinois. Mr. Kolloway received his Bachelor of Arts degree from St. Norbert College, his Juris Doctor from the University of Illinois College of Law and completed the General Counsel Program at the Harvard University School of Law. Mr. Kolloway served on the Board of Directors for MUSE/IQUE based in Pasadena, California and is a member of the Association of Corporate Counsel.</w:t>
      </w:r>
    </w:p>
    <w:p>
      <w:pPr>
        <w:spacing w:after="0" w:line="176" w:lineRule="exact"/>
        <w:rPr>
          <w:sz w:val="20"/>
          <w:szCs w:val="20"/>
          <w:color w:val="auto"/>
        </w:rPr>
      </w:pPr>
    </w:p>
    <w:p>
      <w:pPr>
        <w:ind w:right="80" w:firstLine="737"/>
        <w:spacing w:after="0" w:line="237" w:lineRule="auto"/>
        <w:rPr>
          <w:sz w:val="20"/>
          <w:szCs w:val="20"/>
          <w:color w:val="auto"/>
        </w:rPr>
      </w:pPr>
      <w:r>
        <w:rPr>
          <w:rFonts w:ascii="Arial" w:cs="Arial" w:eastAsia="Arial" w:hAnsi="Arial"/>
          <w:sz w:val="15"/>
          <w:szCs w:val="15"/>
          <w:i w:val="1"/>
          <w:iCs w:val="1"/>
          <w:color w:val="auto"/>
        </w:rPr>
        <w:t xml:space="preserve">Debra A. Fiori </w:t>
      </w:r>
      <w:r>
        <w:rPr>
          <w:rFonts w:ascii="Arial" w:cs="Arial" w:eastAsia="Arial" w:hAnsi="Arial"/>
          <w:sz w:val="15"/>
          <w:szCs w:val="15"/>
          <w:color w:val="auto"/>
        </w:rPr>
        <w:t>was appointed as Chief People Officer of Parsons Corporation in 2016. She joined Parsons Corporation in 2007 as Talent Management Director</w:t>
      </w:r>
      <w:r>
        <w:rPr>
          <w:rFonts w:ascii="Arial" w:cs="Arial" w:eastAsia="Arial" w:hAnsi="Arial"/>
          <w:sz w:val="15"/>
          <w:szCs w:val="15"/>
          <w:i w:val="1"/>
          <w:iCs w:val="1"/>
          <w:color w:val="auto"/>
        </w:rPr>
        <w:t xml:space="preserve"> </w:t>
      </w:r>
      <w:r>
        <w:rPr>
          <w:rFonts w:ascii="Arial" w:cs="Arial" w:eastAsia="Arial" w:hAnsi="Arial"/>
          <w:sz w:val="15"/>
          <w:szCs w:val="15"/>
          <w:color w:val="auto"/>
        </w:rPr>
        <w:t>in the Commercial Technology Group. Before joining Parsons, Ms. Fiori served as Human Resources Director at RTKL, an international architecture, engineering and planning firm. She received a bachelor-of-arts degree in public relations and communication from Carroll College and a master’s degree in communication from West Virginia University. She also completed the Advanced Human Resource Executive Program at the University of Michigan’s Ross School of Business. She is a member of the Society for Human Resources Management, G100 Talent Consortium and Human Resources Roundtable at UCLA, and she currently serves on the Board of Kidspace Children’s Museum.</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89"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We file annual, quarterly, and current reports and other information with the Securities and Exchange Commission (SEC). The SEC maintains a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website (www.parsons.com).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1A. Risk Factors.</w:t>
      </w:r>
    </w:p>
    <w:p>
      <w:pPr>
        <w:spacing w:after="0" w:line="173" w:lineRule="exact"/>
        <w:rPr>
          <w:sz w:val="20"/>
          <w:szCs w:val="20"/>
          <w:color w:val="auto"/>
        </w:rPr>
      </w:pPr>
    </w:p>
    <w:p>
      <w:pPr>
        <w:ind w:firstLine="434"/>
        <w:spacing w:after="0" w:line="246" w:lineRule="auto"/>
        <w:rPr>
          <w:sz w:val="20"/>
          <w:szCs w:val="20"/>
          <w:color w:val="auto"/>
        </w:rPr>
      </w:pPr>
      <w:r>
        <w:rPr>
          <w:rFonts w:ascii="Arial" w:cs="Arial" w:eastAsia="Arial" w:hAnsi="Arial"/>
          <w:sz w:val="15"/>
          <w:szCs w:val="15"/>
          <w:i w:val="1"/>
          <w:iCs w:val="1"/>
          <w:color w:val="auto"/>
        </w:rPr>
        <w:t>You should carefully consider the risks described below and the other information contained in this Annual Report, including our consolidated financial statements and the related notes, before making an investment decision. Our business, financial condition and results of operations could be materially and adversely affected by any of these risks or uncertainties. In that case, the trading price of our common stock could decline, and you may lose all or part of your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 Summary</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following is a summary of the principal risks that could adversely affect our business, operations and financial results.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 Relating to Our Business</w:t>
      </w:r>
    </w:p>
    <w:p>
      <w:pPr>
        <w:spacing w:after="0" w:line="189" w:lineRule="exact"/>
        <w:rPr>
          <w:sz w:val="20"/>
          <w:szCs w:val="20"/>
          <w:color w:val="auto"/>
        </w:rPr>
      </w:pPr>
    </w:p>
    <w:p>
      <w:pPr>
        <w:ind w:left="880" w:right="200" w:hanging="439"/>
        <w:spacing w:after="0" w:line="239"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Our business, results of operations, financial condition, cash flows and stock price can be adversely affected by pandemics, epidemics or other public health emergencies, such as the current global COVID-19 pandemic and post-pandemic impacts.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77" w:right="339" w:bottom="1440" w:gutter="0" w:footer="0" w:header="0"/>
        </w:sectPr>
      </w:pPr>
    </w:p>
    <w:bookmarkStart w:id="22" w:name="page23"/>
    <w:bookmarkEnd w:id="22"/>
    <w:p>
      <w:pPr>
        <w:ind w:left="440" w:hanging="439"/>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Government spending and priorities could change in a manner that adversely affects our future revenue and limits our growth prospects.</w:t>
      </w:r>
    </w:p>
    <w:p>
      <w:pPr>
        <w:spacing w:after="0" w:line="182" w:lineRule="exact"/>
        <w:rPr>
          <w:rFonts w:ascii="Arial" w:cs="Arial" w:eastAsia="Arial" w:hAnsi="Arial"/>
          <w:sz w:val="15"/>
          <w:szCs w:val="15"/>
          <w:color w:val="auto"/>
        </w:rPr>
      </w:pPr>
    </w:p>
    <w:p>
      <w:pPr>
        <w:ind w:left="440" w:right="72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66" w:lineRule="exact"/>
        <w:rPr>
          <w:rFonts w:ascii="Arial" w:cs="Arial" w:eastAsia="Arial" w:hAnsi="Arial"/>
          <w:sz w:val="15"/>
          <w:szCs w:val="15"/>
          <w:color w:val="auto"/>
        </w:rPr>
      </w:pPr>
    </w:p>
    <w:p>
      <w:pPr>
        <w:ind w:left="440" w:right="36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66" w:lineRule="exact"/>
        <w:rPr>
          <w:rFonts w:ascii="Arial" w:cs="Arial" w:eastAsia="Arial" w:hAnsi="Arial"/>
          <w:sz w:val="15"/>
          <w:szCs w:val="15"/>
          <w:color w:val="auto"/>
        </w:rPr>
      </w:pPr>
    </w:p>
    <w:p>
      <w:pPr>
        <w:ind w:left="440" w:right="24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66" w:lineRule="exact"/>
        <w:rPr>
          <w:rFonts w:ascii="Arial" w:cs="Arial" w:eastAsia="Arial" w:hAnsi="Arial"/>
          <w:sz w:val="15"/>
          <w:szCs w:val="15"/>
          <w:color w:val="auto"/>
        </w:rPr>
      </w:pPr>
    </w:p>
    <w:p>
      <w:pPr>
        <w:ind w:left="440" w:right="380" w:hanging="439"/>
        <w:spacing w:after="0" w:line="272" w:lineRule="auto"/>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44" w:lineRule="exact"/>
        <w:rPr>
          <w:rFonts w:ascii="Arial" w:cs="Arial" w:eastAsia="Arial" w:hAnsi="Arial"/>
          <w:sz w:val="14"/>
          <w:szCs w:val="14"/>
          <w:color w:val="auto"/>
        </w:rPr>
      </w:pPr>
    </w:p>
    <w:p>
      <w:pPr>
        <w:ind w:left="440" w:right="18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revenue and growth prospects may be harmed if we or our employees are unable to obtain government granted eligibility or other qualifications, we and they need to perform services for our customers.</w:t>
      </w:r>
    </w:p>
    <w:p>
      <w:pPr>
        <w:spacing w:after="0" w:line="166" w:lineRule="exact"/>
        <w:rPr>
          <w:rFonts w:ascii="Arial" w:cs="Arial" w:eastAsia="Arial" w:hAnsi="Arial"/>
          <w:sz w:val="15"/>
          <w:szCs w:val="15"/>
          <w:color w:val="auto"/>
        </w:rPr>
      </w:pPr>
    </w:p>
    <w:p>
      <w:pPr>
        <w:ind w:left="440" w:right="24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make acquisitions, investments, joint ventures and divestitures in the future that involve numerous risks, which if realized, may adversely affect our business and our future results.</w:t>
      </w:r>
    </w:p>
    <w:p>
      <w:pPr>
        <w:spacing w:after="0" w:line="166" w:lineRule="exact"/>
        <w:rPr>
          <w:rFonts w:ascii="Arial" w:cs="Arial" w:eastAsia="Arial" w:hAnsi="Arial"/>
          <w:sz w:val="15"/>
          <w:szCs w:val="15"/>
          <w:color w:val="auto"/>
        </w:rPr>
      </w:pPr>
    </w:p>
    <w:p>
      <w:pPr>
        <w:ind w:left="440" w:hanging="439"/>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acquisitions may not achieve their full intended benefits or may disrupt our plans and operations.</w:t>
      </w:r>
    </w:p>
    <w:p>
      <w:pPr>
        <w:spacing w:after="0" w:line="182" w:lineRule="exact"/>
        <w:rPr>
          <w:rFonts w:ascii="Arial" w:cs="Arial" w:eastAsia="Arial" w:hAnsi="Arial"/>
          <w:sz w:val="15"/>
          <w:szCs w:val="15"/>
          <w:color w:val="auto"/>
        </w:rPr>
      </w:pPr>
    </w:p>
    <w:p>
      <w:pPr>
        <w:ind w:left="44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conduct a portion of our work through joint venture entities, some of which we do not have management control over, and with which we typically have joint and several liability with our joint venture partners.</w:t>
      </w:r>
    </w:p>
    <w:p>
      <w:pPr>
        <w:spacing w:after="0" w:line="166" w:lineRule="exact"/>
        <w:rPr>
          <w:rFonts w:ascii="Arial" w:cs="Arial" w:eastAsia="Arial" w:hAnsi="Arial"/>
          <w:sz w:val="15"/>
          <w:szCs w:val="15"/>
          <w:color w:val="auto"/>
        </w:rPr>
      </w:pPr>
    </w:p>
    <w:p>
      <w:pPr>
        <w:ind w:left="440" w:right="32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Our earnings and profitability may vary based on the mix of our contracts and may be adversely affected by our failure to accurately estimate and manage costs, time and resources.</w:t>
      </w:r>
    </w:p>
    <w:p>
      <w:pPr>
        <w:spacing w:after="0" w:line="166" w:lineRule="exact"/>
        <w:rPr>
          <w:rFonts w:ascii="Arial" w:cs="Arial" w:eastAsia="Arial" w:hAnsi="Arial"/>
          <w:sz w:val="15"/>
          <w:szCs w:val="15"/>
          <w:color w:val="auto"/>
        </w:rPr>
      </w:pPr>
    </w:p>
    <w:p>
      <w:pPr>
        <w:ind w:left="440" w:hanging="439"/>
        <w:spacing w:after="0"/>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use estimates in recognizing revenues and, if we make changes to estimates used in recognizing revenues, our profitability may be adversely affected.</w:t>
      </w:r>
    </w:p>
    <w:p>
      <w:pPr>
        <w:spacing w:after="0" w:line="182" w:lineRule="exact"/>
        <w:rPr>
          <w:rFonts w:ascii="Arial" w:cs="Arial" w:eastAsia="Arial" w:hAnsi="Arial"/>
          <w:sz w:val="15"/>
          <w:szCs w:val="15"/>
          <w:color w:val="auto"/>
        </w:rPr>
      </w:pPr>
    </w:p>
    <w:p>
      <w:pPr>
        <w:ind w:left="440" w:right="8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Systems that we develop, integrate, maintain, or otherwise support could experience security breaches which may damage our reputation with our clients and hinder future contract win rates.</w:t>
      </w:r>
    </w:p>
    <w:p>
      <w:pPr>
        <w:spacing w:after="0" w:line="166" w:lineRule="exact"/>
        <w:rPr>
          <w:rFonts w:ascii="Arial" w:cs="Arial" w:eastAsia="Arial" w:hAnsi="Arial"/>
          <w:sz w:val="15"/>
          <w:szCs w:val="15"/>
          <w:color w:val="auto"/>
        </w:rPr>
      </w:pPr>
    </w:p>
    <w:p>
      <w:pPr>
        <w:ind w:left="440" w:right="100" w:hanging="439"/>
        <w:spacing w:after="0" w:line="239"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66" w:lineRule="exact"/>
        <w:rPr>
          <w:rFonts w:ascii="Arial" w:cs="Arial" w:eastAsia="Arial" w:hAnsi="Arial"/>
          <w:sz w:val="15"/>
          <w:szCs w:val="15"/>
          <w:color w:val="auto"/>
        </w:rPr>
      </w:pPr>
    </w:p>
    <w:p>
      <w:pPr>
        <w:ind w:left="440" w:right="40" w:hanging="439"/>
        <w:spacing w:after="0" w:line="236" w:lineRule="auto"/>
        <w:tabs>
          <w:tab w:leader="none" w:pos="4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67"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-273050</wp:posOffset>
            </wp:positionH>
            <wp:positionV relativeFrom="paragraph">
              <wp:posOffset>52705</wp:posOffset>
            </wp:positionV>
            <wp:extent cx="7157085"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800"/>
          </w:cols>
          <w:pgMar w:left="740" w:top="493" w:right="359" w:bottom="1440" w:gutter="0" w:footer="0" w:header="0"/>
        </w:sectPr>
      </w:pPr>
    </w:p>
    <w:bookmarkStart w:id="23" w:name="page24"/>
    <w:bookmarkEnd w:id="23"/>
    <w:p>
      <w:pPr>
        <w:ind w:left="880" w:right="64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66" w:lineRule="exact"/>
        <w:rPr>
          <w:rFonts w:ascii="Arial" w:cs="Arial" w:eastAsia="Arial" w:hAnsi="Arial"/>
          <w:sz w:val="15"/>
          <w:szCs w:val="15"/>
          <w:color w:val="auto"/>
        </w:rPr>
      </w:pPr>
    </w:p>
    <w:p>
      <w:pPr>
        <w:ind w:left="880" w:right="28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Goodwill and intangible assets represent a significant amount of our total assets and any impairment of these assets would negatively impact our results of operations.</w:t>
      </w:r>
    </w:p>
    <w:p>
      <w:pPr>
        <w:spacing w:after="0" w:line="166" w:lineRule="exact"/>
        <w:rPr>
          <w:rFonts w:ascii="Arial" w:cs="Arial" w:eastAsia="Arial" w:hAnsi="Arial"/>
          <w:sz w:val="15"/>
          <w:szCs w:val="15"/>
          <w:color w:val="auto"/>
        </w:rPr>
      </w:pPr>
    </w:p>
    <w:p>
      <w:pPr>
        <w:ind w:left="880" w:right="16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166" w:lineRule="exact"/>
        <w:rPr>
          <w:rFonts w:ascii="Arial" w:cs="Arial" w:eastAsia="Arial" w:hAnsi="Arial"/>
          <w:sz w:val="15"/>
          <w:szCs w:val="15"/>
          <w:color w:val="auto"/>
        </w:rPr>
      </w:pPr>
    </w:p>
    <w:p>
      <w:pPr>
        <w:ind w:left="880" w:right="4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66" w:lineRule="exact"/>
        <w:rPr>
          <w:rFonts w:ascii="Arial" w:cs="Arial" w:eastAsia="Arial" w:hAnsi="Arial"/>
          <w:sz w:val="15"/>
          <w:szCs w:val="15"/>
          <w:color w:val="auto"/>
        </w:rPr>
      </w:pPr>
    </w:p>
    <w:p>
      <w:pPr>
        <w:ind w:left="880" w:right="36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66" w:lineRule="exact"/>
        <w:rPr>
          <w:rFonts w:ascii="Arial" w:cs="Arial" w:eastAsia="Arial" w:hAnsi="Arial"/>
          <w:sz w:val="15"/>
          <w:szCs w:val="15"/>
          <w:color w:val="auto"/>
        </w:rPr>
      </w:pPr>
    </w:p>
    <w:p>
      <w:pPr>
        <w:ind w:left="880" w:right="56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operations in the Middle East and neighboring regions, and these regions may experience turmoil that may impact our current projects, future business and financial stability.</w:t>
      </w:r>
    </w:p>
    <w:p>
      <w:pPr>
        <w:spacing w:after="0" w:line="166" w:lineRule="exact"/>
        <w:rPr>
          <w:rFonts w:ascii="Arial" w:cs="Arial" w:eastAsia="Arial" w:hAnsi="Arial"/>
          <w:sz w:val="15"/>
          <w:szCs w:val="15"/>
          <w:color w:val="auto"/>
        </w:rPr>
      </w:pPr>
    </w:p>
    <w:p>
      <w:pPr>
        <w:ind w:left="880" w:hanging="439"/>
        <w:spacing w:after="0"/>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not realize the full value of our backlog, which may result in lower than expected revenue.</w:t>
      </w:r>
    </w:p>
    <w:p>
      <w:pPr>
        <w:spacing w:after="0" w:line="182" w:lineRule="exact"/>
        <w:rPr>
          <w:rFonts w:ascii="Arial" w:cs="Arial" w:eastAsia="Arial" w:hAnsi="Arial"/>
          <w:sz w:val="15"/>
          <w:szCs w:val="15"/>
          <w:color w:val="auto"/>
        </w:rPr>
      </w:pPr>
    </w:p>
    <w:p>
      <w:pPr>
        <w:ind w:left="880" w:right="260" w:hanging="439"/>
        <w:spacing w:after="0" w:line="23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 Related to Our Common Stock</w:t>
      </w:r>
    </w:p>
    <w:p>
      <w:pPr>
        <w:spacing w:after="0" w:line="189" w:lineRule="exact"/>
        <w:rPr>
          <w:sz w:val="20"/>
          <w:szCs w:val="20"/>
          <w:color w:val="auto"/>
        </w:rPr>
      </w:pPr>
    </w:p>
    <w:p>
      <w:pPr>
        <w:ind w:left="880" w:right="80" w:hanging="439"/>
        <w:spacing w:after="0" w:line="236" w:lineRule="auto"/>
        <w:tabs>
          <w:tab w:leader="none" w:pos="8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Your ability to influence corporate matters may be limited because the ESOP beneficially owns a majority of our stock and therefore our employees, voting the shares allocated to them under the ESOP, or the ESOP Trustee, who will have the right to vote shares for which no voting instructions are provided by employees, could have substantial control over us.</w:t>
      </w:r>
    </w:p>
    <w:p>
      <w:pPr>
        <w:spacing w:after="0" w:line="167" w:lineRule="exact"/>
        <w:rPr>
          <w:rFonts w:ascii="Arial" w:cs="Arial" w:eastAsia="Arial" w:hAnsi="Arial"/>
          <w:sz w:val="15"/>
          <w:szCs w:val="15"/>
          <w:color w:val="auto"/>
        </w:rPr>
      </w:pPr>
    </w:p>
    <w:p>
      <w:pPr>
        <w:ind w:left="880" w:right="320" w:hanging="439"/>
        <w:spacing w:after="0" w:line="272" w:lineRule="auto"/>
        <w:tabs>
          <w:tab w:leader="none" w:pos="8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127" w:lineRule="exact"/>
        <w:rPr>
          <w:sz w:val="20"/>
          <w:szCs w:val="20"/>
          <w:color w:val="auto"/>
        </w:rPr>
      </w:pPr>
    </w:p>
    <w:p>
      <w:pPr>
        <w:ind w:left="2480"/>
        <w:spacing w:after="0"/>
        <w:rPr>
          <w:sz w:val="20"/>
          <w:szCs w:val="20"/>
          <w:color w:val="auto"/>
        </w:rPr>
      </w:pPr>
      <w:r>
        <w:rPr>
          <w:rFonts w:ascii="Arial" w:cs="Arial" w:eastAsia="Arial" w:hAnsi="Arial"/>
          <w:sz w:val="15"/>
          <w:szCs w:val="15"/>
          <w:b w:val="1"/>
          <w:bCs w:val="1"/>
          <w:color w:val="auto"/>
        </w:rPr>
        <w:t>Risks Related to the COVID-19 Pandemic</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b w:val="1"/>
          <w:bCs w:val="1"/>
          <w:i w:val="1"/>
          <w:iCs w:val="1"/>
          <w:color w:val="auto"/>
        </w:rPr>
        <w:t>Our business, results of operations, financial condition, cash flows and stock price can be adversely affected by pandemics, epidemics or other public health emergencies, such as the current global COVID-19 pandemic.</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Our business, results of operations, financial condition, cash flows and stock price can be adversely affected by pandemics, epidemics or other public health emergencies, such as the current global COVID-19 pandemic. The pandemic has resulted in governments around the world implementing increasingly stringent measures to help control the spread of the virus, including quarantines, “shelter in place” and “stay at home” orders, travel restrictions, business curtailments, school closures, and other measures. In</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24" w:name="page25"/>
    <w:bookmarkEnd w:id="24"/>
    <w:p>
      <w:pPr>
        <w:ind w:right="420"/>
        <w:spacing w:after="0" w:line="239" w:lineRule="auto"/>
        <w:rPr>
          <w:sz w:val="20"/>
          <w:szCs w:val="20"/>
          <w:color w:val="auto"/>
        </w:rPr>
      </w:pPr>
      <w:r>
        <w:rPr>
          <w:rFonts w:ascii="Arial" w:cs="Arial" w:eastAsia="Arial" w:hAnsi="Arial"/>
          <w:sz w:val="15"/>
          <w:szCs w:val="15"/>
          <w:color w:val="auto"/>
        </w:rPr>
        <w:t>addition, governments and central banks in several parts of the world have enacted fiscal and monetary stimulus measures to counteract the impacts of the COVID-19 pandemic.</w:t>
      </w:r>
    </w:p>
    <w:p>
      <w:pPr>
        <w:spacing w:after="0" w:line="166" w:lineRule="exact"/>
        <w:rPr>
          <w:sz w:val="20"/>
          <w:szCs w:val="20"/>
          <w:color w:val="auto"/>
        </w:rPr>
      </w:pPr>
    </w:p>
    <w:p>
      <w:pPr>
        <w:spacing w:after="0" w:line="232" w:lineRule="auto"/>
        <w:rPr>
          <w:sz w:val="20"/>
          <w:szCs w:val="20"/>
          <w:color w:val="auto"/>
        </w:rPr>
      </w:pPr>
      <w:r>
        <w:rPr>
          <w:rFonts w:ascii="Arial" w:cs="Arial" w:eastAsia="Arial" w:hAnsi="Arial"/>
          <w:sz w:val="15"/>
          <w:szCs w:val="15"/>
          <w:color w:val="auto"/>
        </w:rPr>
        <w:t>Although we have continued our operations consistent with federal guidelines and state and local orders, the outbreak of COVID-19 and any preventive or protective actions taken by governmental authorities [has had and] may [continue to] have a material adverse effect on our operations, employees and customers, including business shutdowns or disruptions. The COVID-19 pandemic is expected to reduce demand for our services and impact client spending in certain circumstances. The extent to which the COVID-19 pandemic may adversely impact our business depends on future developments, which are highly uncertain and unpredictable, depending upon the severity and duration of the outbreak and the effectiveness of actions taken globally to contain or mitigate its effects. Any resulting financial impact cannot be estimated reasonably at this time but may materially adversely affect our ability to collect accounts receivables and our business, results of operations, financial condition and cash flows. Even after the COVID-19 pandemic has subsided, we may experience materially adverse impacts to our business due to any resulting economic recession or depression. Additionally, concerns over the economic impact of the COVID-19 pandemic have caused extreme volatility in financial and other capital markets which has and may continue to adversely impact our stock price and our ability to access capital markets. To the extent the COVID-19 pandemic adversely affects our business and financial results, it may also have the effect of heightening many of the other risks described in this Annual Report on Form 10-K for the year ended December 31, 2020, such as those relating to government spending and priorities.</w:t>
      </w:r>
    </w:p>
    <w:p>
      <w:pPr>
        <w:spacing w:after="0" w:line="154" w:lineRule="exact"/>
        <w:rPr>
          <w:sz w:val="20"/>
          <w:szCs w:val="20"/>
          <w:color w:val="auto"/>
        </w:rPr>
      </w:pPr>
    </w:p>
    <w:p>
      <w:pPr>
        <w:ind w:left="1480"/>
        <w:spacing w:after="0"/>
        <w:rPr>
          <w:sz w:val="20"/>
          <w:szCs w:val="20"/>
          <w:color w:val="auto"/>
        </w:rPr>
      </w:pPr>
      <w:r>
        <w:rPr>
          <w:rFonts w:ascii="Arial" w:cs="Arial" w:eastAsia="Arial" w:hAnsi="Arial"/>
          <w:sz w:val="15"/>
          <w:szCs w:val="15"/>
          <w:b w:val="1"/>
          <w:bCs w:val="1"/>
          <w:color w:val="auto"/>
        </w:rPr>
        <w:t>Risks Related to Government Contracts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spending and priorities could change in a manner that adversely affects our future revenue and limits our growth prospects.</w:t>
      </w:r>
    </w:p>
    <w:p>
      <w:pPr>
        <w:spacing w:after="0" w:line="189" w:lineRule="exact"/>
        <w:rPr>
          <w:sz w:val="20"/>
          <w:szCs w:val="20"/>
          <w:color w:val="auto"/>
        </w:rPr>
      </w:pPr>
    </w:p>
    <w:p>
      <w:pPr>
        <w:ind w:right="80" w:firstLine="542"/>
        <w:spacing w:after="0" w:line="234" w:lineRule="auto"/>
        <w:rPr>
          <w:sz w:val="20"/>
          <w:szCs w:val="20"/>
          <w:color w:val="auto"/>
        </w:rPr>
      </w:pPr>
      <w:r>
        <w:rPr>
          <w:rFonts w:ascii="Arial" w:cs="Arial" w:eastAsia="Arial" w:hAnsi="Arial"/>
          <w:sz w:val="15"/>
          <w:szCs w:val="15"/>
          <w:color w:val="auto"/>
        </w:rPr>
        <w:t>We derive, and expect to continue to derive, a significant portion of our revenue from contracts with government entities. As a result, our business depends upon continued government expenditures on defense, intelligence, civil and engineering programs for which we provide support, both among foreign governments and at federal, state and local levels domestically. These expenditures have not remained constant over time and have been reduced in some periods. In particular, these expenditures have recently been affected by efforts to improve efficiency and reduce costs affecting government programs generally. Our business, prospects, financial condition or operating results could be materially harmed, among other causes, by the following:</w:t>
      </w:r>
    </w:p>
    <w:p>
      <w:pPr>
        <w:spacing w:after="0" w:line="168" w:lineRule="exact"/>
        <w:rPr>
          <w:sz w:val="20"/>
          <w:szCs w:val="20"/>
          <w:color w:val="auto"/>
        </w:rPr>
      </w:pPr>
    </w:p>
    <w:p>
      <w:pPr>
        <w:ind w:left="1080" w:right="20" w:hanging="861"/>
        <w:spacing w:after="0" w:line="239"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budgetary constraints, including mandated automatic spending cuts, affecting across-the-board government spending, or specific agencies in particular, and changes in available funding;</w:t>
      </w:r>
    </w:p>
    <w:p>
      <w:pPr>
        <w:spacing w:after="0" w:line="166" w:lineRule="exact"/>
        <w:rPr>
          <w:rFonts w:ascii="Arial" w:cs="Arial" w:eastAsia="Arial" w:hAnsi="Arial"/>
          <w:sz w:val="15"/>
          <w:szCs w:val="15"/>
          <w:color w:val="auto"/>
        </w:rPr>
      </w:pPr>
    </w:p>
    <w:p>
      <w:pPr>
        <w:ind w:left="1080" w:hanging="861"/>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shift in expenditures away from agencies or programs that we support;</w:t>
      </w:r>
    </w:p>
    <w:p>
      <w:pPr>
        <w:spacing w:after="0" w:line="182" w:lineRule="exact"/>
        <w:rPr>
          <w:rFonts w:ascii="Arial" w:cs="Arial" w:eastAsia="Arial" w:hAnsi="Arial"/>
          <w:sz w:val="15"/>
          <w:szCs w:val="15"/>
          <w:color w:val="auto"/>
        </w:rPr>
      </w:pPr>
    </w:p>
    <w:p>
      <w:pPr>
        <w:jc w:val="both"/>
        <w:ind w:left="1080" w:right="460" w:hanging="861"/>
        <w:spacing w:after="0" w:line="236"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reduced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167" w:lineRule="exact"/>
        <w:rPr>
          <w:rFonts w:ascii="Arial" w:cs="Arial" w:eastAsia="Arial" w:hAnsi="Arial"/>
          <w:sz w:val="15"/>
          <w:szCs w:val="15"/>
          <w:color w:val="auto"/>
        </w:rPr>
      </w:pPr>
    </w:p>
    <w:p>
      <w:pPr>
        <w:ind w:left="1080" w:hanging="861"/>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further efforts to improve efficiency and reduce costs affecting government programs;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or delays in government programs that we support or the programs’ requirements;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 continuation of recent efforts by the U.S. government in particular to decrease spending for management support service contracts;</w:t>
      </w:r>
    </w:p>
    <w:p>
      <w:pPr>
        <w:spacing w:after="0" w:line="182" w:lineRule="exact"/>
        <w:rPr>
          <w:rFonts w:ascii="Arial" w:cs="Arial" w:eastAsia="Arial" w:hAnsi="Arial"/>
          <w:sz w:val="15"/>
          <w:szCs w:val="15"/>
          <w:color w:val="auto"/>
        </w:rPr>
      </w:pPr>
    </w:p>
    <w:p>
      <w:pPr>
        <w:ind w:left="1080" w:right="380" w:hanging="861"/>
        <w:spacing w:after="0" w:line="239" w:lineRule="auto"/>
        <w:tabs>
          <w:tab w:leader="none" w:pos="10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U.S. government shutdowns due to, among other reasons, a failure by elected officials to fund the government, such as the shutdowns which occurred during government fiscal years 2019</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5" w:name="page26"/>
    <w:bookmarkEnd w:id="25"/>
    <w:p>
      <w:pPr>
        <w:ind w:left="1080"/>
        <w:spacing w:after="0"/>
        <w:rPr>
          <w:sz w:val="20"/>
          <w:szCs w:val="20"/>
          <w:color w:val="auto"/>
        </w:rPr>
      </w:pPr>
      <w:r>
        <w:rPr>
          <w:rFonts w:ascii="Arial" w:cs="Arial" w:eastAsia="Arial" w:hAnsi="Arial"/>
          <w:sz w:val="15"/>
          <w:szCs w:val="15"/>
          <w:color w:val="auto"/>
        </w:rPr>
        <w:t>and 2014 and, to a lesser extent, government fiscal year 2018, and other potential delays in the appropriations process;</w:t>
      </w:r>
    </w:p>
    <w:p>
      <w:pPr>
        <w:spacing w:after="0" w:line="182" w:lineRule="exact"/>
        <w:rPr>
          <w:sz w:val="20"/>
          <w:szCs w:val="20"/>
          <w:color w:val="auto"/>
        </w:rPr>
      </w:pPr>
    </w:p>
    <w:p>
      <w:pPr>
        <w:ind w:left="1080" w:hanging="861"/>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U.S. government agencies awarding contracts on a technically acceptable/lowest cost basis in order to reduce expenditures;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delays in the payment of our invoices by government payment offices;</w:t>
      </w:r>
    </w:p>
    <w:p>
      <w:pPr>
        <w:spacing w:after="0" w:line="182" w:lineRule="exact"/>
        <w:rPr>
          <w:rFonts w:ascii="Arial" w:cs="Arial" w:eastAsia="Arial" w:hAnsi="Arial"/>
          <w:sz w:val="15"/>
          <w:szCs w:val="15"/>
          <w:color w:val="auto"/>
        </w:rPr>
      </w:pPr>
    </w:p>
    <w:p>
      <w:pPr>
        <w:ind w:left="1080" w:hanging="861"/>
        <w:spacing w:after="0"/>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results of elections, including politicians who may have priorities that would reduce spending in areas in which we operate;</w:t>
      </w:r>
    </w:p>
    <w:p>
      <w:pPr>
        <w:spacing w:after="0" w:line="182" w:lineRule="exact"/>
        <w:rPr>
          <w:rFonts w:ascii="Arial" w:cs="Arial" w:eastAsia="Arial" w:hAnsi="Arial"/>
          <w:sz w:val="15"/>
          <w:szCs w:val="15"/>
          <w:color w:val="auto"/>
        </w:rPr>
      </w:pPr>
    </w:p>
    <w:p>
      <w:pPr>
        <w:ind w:left="1080" w:right="320" w:hanging="861"/>
        <w:spacing w:after="0" w:line="239"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an inability by the U.S. government to fund its operations as a result of a failure to increase the federal government’s debt ceiling, a credit downgrade of U.S. government obligations or for any other reason; and</w:t>
      </w:r>
    </w:p>
    <w:p>
      <w:pPr>
        <w:spacing w:after="0" w:line="166" w:lineRule="exact"/>
        <w:rPr>
          <w:rFonts w:ascii="Arial" w:cs="Arial" w:eastAsia="Arial" w:hAnsi="Arial"/>
          <w:sz w:val="15"/>
          <w:szCs w:val="15"/>
          <w:color w:val="auto"/>
        </w:rPr>
      </w:pPr>
    </w:p>
    <w:p>
      <w:pPr>
        <w:ind w:left="1080" w:right="140" w:hanging="861"/>
        <w:spacing w:after="0" w:line="239" w:lineRule="auto"/>
        <w:tabs>
          <w:tab w:leader="none" w:pos="10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166" w:lineRule="exact"/>
        <w:rPr>
          <w:sz w:val="20"/>
          <w:szCs w:val="20"/>
          <w:color w:val="auto"/>
        </w:rPr>
      </w:pPr>
    </w:p>
    <w:p>
      <w:pPr>
        <w:ind w:right="20" w:firstLine="434"/>
        <w:spacing w:after="0" w:line="236" w:lineRule="auto"/>
        <w:rPr>
          <w:sz w:val="20"/>
          <w:szCs w:val="20"/>
          <w:color w:val="auto"/>
        </w:rPr>
      </w:pPr>
      <w:r>
        <w:rPr>
          <w:rFonts w:ascii="Arial" w:cs="Arial" w:eastAsia="Arial" w:hAnsi="Arial"/>
          <w:sz w:val="15"/>
          <w:szCs w:val="15"/>
          <w:color w:val="auto"/>
        </w:rPr>
        <w:t>Any disruption in the functioning of government agencies, including as a result of government closures and shutdowns, terrorism, war, natural disasters, destruction of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167"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In particular, with regard to our largest single customer, the U.S. federal government, budget deficits, the national debt and the prevailing economic condition, and actions taken to address them, could continue to negatively affect the U.S. government expenditures on defense, intelligence and civil programs for which we provide support. The U.S. Department of Defense is one of our significant clients and cost cutting, including through consolidation and elimination of duplicative organizations and insourcing, has become a major initiative for the U.S. Department of Defense. There remains uncertainty as to how exactly budget cuts, including sequestration, will impact us, and we are therefore unable to predict the extent of the impact of such cuts on our business and results of operations. However, a reduction in the amount of or delays or cancellations of funding for, services that we are contracted to provide to the U.S. Department of Defense as a result of any of these initiatives, legislation or otherwise could have a material adverse effect on our business, financial condition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financial condition and results of operations.</w:t>
      </w:r>
    </w:p>
    <w:p>
      <w:pPr>
        <w:spacing w:after="0" w:line="172"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In addition, most government contracts are subject to the government’s budgetary approval process. Legislatures typically appropriate funds for a given program on a year-by-year basis, even though contract performance may take more than one year. In addition, public-supported financing such as state and local municipal bonds may be only partially raised to support existing infrastructure projects. As a result, at the beginning of a program, the related contract is only partially funded, and additional funding is normally committed only as appropriations are made in each fiscal year. These appropriations, and the timing of payment of appropriated amounts, may be influenced by, among other things, the state of the economy, competing priorities for appropriation, changes in administration or control of legislatures and the timing and amount of tax receipts and the overall level of government expenditures. Similarly, the impact of an economic downturn on state and local governments may make it more difficult for them to fund infrastructure projects. If appropriations are not made in subsequent years on our government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6" w:name="page27"/>
    <w:bookmarkEnd w:id="26"/>
    <w:p>
      <w:pPr>
        <w:spacing w:after="0"/>
        <w:rPr>
          <w:sz w:val="20"/>
          <w:szCs w:val="20"/>
          <w:color w:val="auto"/>
        </w:rPr>
      </w:pPr>
      <w:r>
        <w:rPr>
          <w:rFonts w:ascii="Arial" w:cs="Arial" w:eastAsia="Arial" w:hAnsi="Arial"/>
          <w:sz w:val="15"/>
          <w:szCs w:val="15"/>
          <w:color w:val="auto"/>
        </w:rPr>
        <w:t>contracts, then we will not realize all of our potential revenue and profit from that contract, and we may incur substantial labor costs without reimbursement.</w:t>
      </w:r>
    </w:p>
    <w:p>
      <w:pPr>
        <w:spacing w:after="0" w:line="171" w:lineRule="exact"/>
        <w:rPr>
          <w:sz w:val="20"/>
          <w:szCs w:val="20"/>
          <w:color w:val="auto"/>
        </w:rPr>
      </w:pPr>
    </w:p>
    <w:p>
      <w:pPr>
        <w:ind w:right="60" w:firstLine="434"/>
        <w:spacing w:after="0" w:line="233" w:lineRule="auto"/>
        <w:rPr>
          <w:sz w:val="20"/>
          <w:szCs w:val="20"/>
          <w:color w:val="auto"/>
        </w:rPr>
      </w:pPr>
      <w:r>
        <w:rPr>
          <w:rFonts w:ascii="Arial" w:cs="Arial" w:eastAsia="Arial" w:hAnsi="Arial"/>
          <w:sz w:val="15"/>
          <w:szCs w:val="15"/>
          <w:color w:val="auto"/>
        </w:rPr>
        <w:t>Government funding with respect to our Critical Infrastructure services fluctuates over time and new or changing government policies may affect our Critical Infrastructure business and operations. In March 2018, for example, President Trump signed proclamations to impose tariffs on steel and aluminum imports per the U.S. Trade Expansion Act of 1962 increasing the price for steel and aluminum in the United States which could impact client spending. Government spending for our Critical Infrastructure services may also depend on factors related to government demand, such as the condition of the existing infrastructure and buildings and the need for new or expanded infrastructure and buildings. Our government clients may face budget cuts or deficits that prohibit them from funding proposed and existing Critical Infrastructure projects.</w:t>
      </w:r>
    </w:p>
    <w:p>
      <w:pPr>
        <w:spacing w:after="0" w:line="170" w:lineRule="exact"/>
        <w:rPr>
          <w:sz w:val="20"/>
          <w:szCs w:val="20"/>
          <w:color w:val="auto"/>
        </w:rPr>
      </w:pPr>
    </w:p>
    <w:p>
      <w:pPr>
        <w:ind w:right="120" w:firstLine="434"/>
        <w:spacing w:after="0" w:line="260" w:lineRule="auto"/>
        <w:rPr>
          <w:sz w:val="20"/>
          <w:szCs w:val="20"/>
          <w:color w:val="auto"/>
        </w:rPr>
      </w:pPr>
      <w:r>
        <w:rPr>
          <w:rFonts w:ascii="Arial" w:cs="Arial" w:eastAsia="Arial" w:hAnsi="Arial"/>
          <w:sz w:val="14"/>
          <w:szCs w:val="14"/>
          <w:color w:val="auto"/>
        </w:rPr>
        <w:t>These or other factors could cause our defense, intelligence, infrastructure or civil clients to decrease the number of new government contracts awarded generally and fail to award us new government contracts, reduce their purchases under our existing government contracts, exercise their right to terminate our government contracts or not exercise options to renew our government contracts, any of which could materially and adversely affect our business, financial condition and results of operations.</w:t>
      </w:r>
    </w:p>
    <w:p>
      <w:pPr>
        <w:spacing w:after="0" w:line="135" w:lineRule="exact"/>
        <w:rPr>
          <w:sz w:val="20"/>
          <w:szCs w:val="20"/>
          <w:color w:val="auto"/>
        </w:rPr>
      </w:pPr>
    </w:p>
    <w:p>
      <w:pPr>
        <w:ind w:right="420" w:firstLine="434"/>
        <w:spacing w:after="0" w:line="263" w:lineRule="auto"/>
        <w:rPr>
          <w:sz w:val="20"/>
          <w:szCs w:val="20"/>
          <w:color w:val="auto"/>
        </w:rPr>
      </w:pPr>
      <w:r>
        <w:rPr>
          <w:rFonts w:ascii="Arial" w:cs="Arial" w:eastAsia="Arial" w:hAnsi="Arial"/>
          <w:sz w:val="15"/>
          <w:szCs w:val="15"/>
          <w:b w:val="1"/>
          <w:bCs w:val="1"/>
          <w:i w:val="1"/>
          <w:iCs w:val="1"/>
          <w:color w:val="auto"/>
        </w:rPr>
        <w:t>The U.S. federal government and its agencies collectively are our largest single customer and, if our reputation or relationships with the U.S. federal government were harmed, our future revenues and cash flows would be adversely affected.</w:t>
      </w:r>
    </w:p>
    <w:p>
      <w:pPr>
        <w:spacing w:after="0" w:line="150" w:lineRule="exact"/>
        <w:rPr>
          <w:sz w:val="20"/>
          <w:szCs w:val="20"/>
          <w:color w:val="auto"/>
        </w:rPr>
      </w:pPr>
    </w:p>
    <w:p>
      <w:pPr>
        <w:ind w:right="80" w:firstLine="434"/>
        <w:spacing w:after="0" w:line="233" w:lineRule="auto"/>
        <w:rPr>
          <w:sz w:val="20"/>
          <w:szCs w:val="20"/>
          <w:color w:val="auto"/>
        </w:rPr>
      </w:pPr>
      <w:r>
        <w:rPr>
          <w:rFonts w:ascii="Arial" w:cs="Arial" w:eastAsia="Arial" w:hAnsi="Arial"/>
          <w:sz w:val="15"/>
          <w:szCs w:val="15"/>
          <w:color w:val="auto"/>
        </w:rPr>
        <w:t>The U.S. federal government and its agencies, including the military and intelligence community, collectively are our largest customer. In particular, it represents substantially all of the revenue of our Federal Solutions segment. Approximately 49% of our consolidated revenues in 2020, 48% in 2019, and 42% in 2018, and approximately 19% of accounts receivable as of December 31, 2020 and 17% as of December 31, 2019 were derived from contracts with the U.S. federal government and its agencies. Our reputation and relationships with various U.S. government entities and agencies, and in particular with the U.S. Department of Defense, including the Missile Defense Agency and the United States Army, the Federal Aviation Administration, the United States intelligence community and the U.S. Department of Energy are key factors in maintaining and growing these revenues and winning new bids for new business. Negative press reports or publicity, regardless of accuracy, could harm our reputation. If our reputation or relationships with government agencies were to be negatively affected, or if we are suspended or debarred from contracting with government agencies for any reason, the amount of business with government and other customers would decrease and our financial condition and results of operations could be adversely affected.</w:t>
      </w:r>
    </w:p>
    <w:p>
      <w:pPr>
        <w:spacing w:after="0" w:line="148"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b w:val="1"/>
          <w:bCs w:val="1"/>
          <w:i w:val="1"/>
          <w:iCs w:val="1"/>
          <w:color w:val="auto"/>
        </w:rPr>
        <w:t>Our failure to comply with a variety of complex procurement rules and regulations could result in our being liable for penalties, including termination of our government contracts, disqualification from bidding on future government contracts and suspension or debarment from government contracting.</w:t>
      </w:r>
    </w:p>
    <w:p>
      <w:pPr>
        <w:spacing w:after="0" w:line="150" w:lineRule="exact"/>
        <w:rPr>
          <w:sz w:val="20"/>
          <w:szCs w:val="20"/>
          <w:color w:val="auto"/>
        </w:rPr>
      </w:pPr>
    </w:p>
    <w:p>
      <w:pPr>
        <w:ind w:right="540" w:firstLine="434"/>
        <w:spacing w:after="0" w:line="239" w:lineRule="auto"/>
        <w:rPr>
          <w:sz w:val="20"/>
          <w:szCs w:val="20"/>
          <w:color w:val="auto"/>
        </w:rPr>
      </w:pPr>
      <w:r>
        <w:rPr>
          <w:rFonts w:ascii="Arial" w:cs="Arial" w:eastAsia="Arial" w:hAnsi="Arial"/>
          <w:sz w:val="15"/>
          <w:szCs w:val="15"/>
          <w:color w:val="auto"/>
        </w:rPr>
        <w:t>We must comply with various laws and regulations relating to the formation, administration and performance of government contracts, which affect how we do business with our customers and may impose added costs on our business.</w:t>
      </w:r>
    </w:p>
    <w:p>
      <w:pPr>
        <w:spacing w:after="0" w:line="166"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Many of our U.S. government contracts contain organizational conflict of interest, or OCI, clauses that may limit our ability to compete for or perform contracts or other types of services for particular customers. OCI arises when we engage in activities that may make us unable to render impartial assistance or advice to the U.S. government, impair our objectivity in performing contract work or provide us with an unfair competitive advantage. Existing OCI, and any OCI that may develop, could preclude our competition for or performance on a significant project or contract, which could limit our opportunities.</w:t>
      </w:r>
    </w:p>
    <w:p>
      <w:pPr>
        <w:spacing w:after="0" w:line="167" w:lineRule="exact"/>
        <w:rPr>
          <w:sz w:val="20"/>
          <w:szCs w:val="20"/>
          <w:color w:val="auto"/>
        </w:rPr>
      </w:pPr>
    </w:p>
    <w:p>
      <w:pPr>
        <w:ind w:right="220" w:firstLine="434"/>
        <w:spacing w:after="0" w:line="239" w:lineRule="auto"/>
        <w:rPr>
          <w:sz w:val="20"/>
          <w:szCs w:val="20"/>
          <w:color w:val="auto"/>
        </w:rPr>
      </w:pPr>
      <w:r>
        <w:rPr>
          <w:rFonts w:ascii="Arial" w:cs="Arial" w:eastAsia="Arial" w:hAnsi="Arial"/>
          <w:sz w:val="15"/>
          <w:szCs w:val="15"/>
          <w:color w:val="auto"/>
        </w:rPr>
        <w:t>Some U.S. federal and state statutes and regulations provide for automatic debarment based on our actions, such as violations of the U.S. False Claims Act or the U.S. Foreign Corrupt Practices Act,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27" w:name="page28"/>
    <w:bookmarkEnd w:id="27"/>
    <w:p>
      <w:pPr>
        <w:spacing w:after="0" w:line="235" w:lineRule="auto"/>
        <w:rPr>
          <w:sz w:val="20"/>
          <w:szCs w:val="20"/>
          <w:color w:val="auto"/>
        </w:rPr>
      </w:pPr>
      <w:r>
        <w:rPr>
          <w:rFonts w:ascii="Arial" w:cs="Arial" w:eastAsia="Arial" w:hAnsi="Arial"/>
          <w:sz w:val="15"/>
          <w:szCs w:val="15"/>
          <w:color w:val="auto"/>
        </w:rPr>
        <w:t>FCPA. The suspension or debarment in any particular case may be limited to the facility, contract or subsidiary involved in the violation or could be applied to our entire enterprise in severe circumstances. Even a narrow scope suspension or debarment could result in negative publicity that could adversely affect our ability to renew contracts and to secure new contracts, both with governments and private customers, which could materially and adversely affect our business,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may adopt new contract rules and regulations or revise their procurement practices in a manner adverse to us at any time.</w:t>
      </w:r>
    </w:p>
    <w:p>
      <w:pPr>
        <w:spacing w:after="0" w:line="189" w:lineRule="exact"/>
        <w:rPr>
          <w:sz w:val="20"/>
          <w:szCs w:val="20"/>
          <w:color w:val="auto"/>
        </w:rPr>
      </w:pPr>
    </w:p>
    <w:p>
      <w:pPr>
        <w:ind w:right="80" w:firstLine="434"/>
        <w:spacing w:after="0" w:line="233" w:lineRule="auto"/>
        <w:rPr>
          <w:sz w:val="20"/>
          <w:szCs w:val="20"/>
          <w:color w:val="auto"/>
        </w:rPr>
      </w:pPr>
      <w:r>
        <w:rPr>
          <w:rFonts w:ascii="Arial" w:cs="Arial" w:eastAsia="Arial" w:hAnsi="Arial"/>
          <w:sz w:val="15"/>
          <w:szCs w:val="15"/>
          <w:color w:val="auto"/>
        </w:rPr>
        <w:t>The government-related industries within which we do business continue to experience significant changes to business practices as a result of an increased focus on affordability, efficiencies and recovery of costs, among other items. Our existing and potential clients are similarly focused on increasing the productivity of their contractual arrangements. Moreover, government agencies may face restrictions or pressure regarding the type and amount of services that they may obtain from private contractors. Legislation, regulations and initiatives dealing with procurement reform, mitigation of potential OCIs, deterrence of fraud, and environmental responsibility or sustainability could have an adverse effect on us. Moreover, shifts in the buying practices of government agencies, such as increased usage of fixed price contracts, multiple award contracts and small business set-aside contracts, could have adverse effects on government contractors, including us. Any of these changes could impair our ability to obtain new contracts or contract renewals. Any new contracting requirements or procurement methods could be costly or administratively difficult for us to implement and could adversely affect our business, financial condition and results of operations.</w:t>
      </w:r>
    </w:p>
    <w:p>
      <w:pPr>
        <w:spacing w:after="0" w:line="150"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b w:val="1"/>
          <w:bCs w:val="1"/>
          <w:i w:val="1"/>
          <w:iCs w:val="1"/>
          <w:color w:val="auto"/>
        </w:rPr>
        <w:t>A substantial portion of our business is subject to reviews, audits and cost adjustments by government agencies, which, if resolved unfavorably to us, could adversely affect our profitability, cash flows or growth prospects.</w:t>
      </w:r>
    </w:p>
    <w:p>
      <w:pPr>
        <w:spacing w:after="0" w:line="150" w:lineRule="exact"/>
        <w:rPr>
          <w:sz w:val="20"/>
          <w:szCs w:val="20"/>
          <w:color w:val="auto"/>
        </w:rPr>
      </w:pPr>
    </w:p>
    <w:p>
      <w:pPr>
        <w:ind w:right="60" w:firstLine="434"/>
        <w:spacing w:after="0" w:line="251" w:lineRule="auto"/>
        <w:rPr>
          <w:sz w:val="20"/>
          <w:szCs w:val="20"/>
          <w:color w:val="auto"/>
        </w:rPr>
      </w:pPr>
      <w:r>
        <w:rPr>
          <w:rFonts w:ascii="Arial" w:cs="Arial" w:eastAsia="Arial" w:hAnsi="Arial"/>
          <w:sz w:val="14"/>
          <w:szCs w:val="14"/>
          <w:color w:val="auto"/>
        </w:rPr>
        <w:t>Government agencies routinely audit and review a contractor’s performance on government contracts, indirect cost rates and pricing practices, and compliance with applicable contracting and procurement laws, regulations and standards. They also review the adequacy of the contractor’s compliance with government standards for its business systems, which are defined as the contractor’s accounting, earned value management, estimating, materials management, property management and purchasing systems. A finding of significant control deficiencies in a contractor’s business systems or a finding of noncompliance with U.S. government Cost Accounting Standards, or CAS, can result in decremented billing rates to U.S. government customers until the control deficiencies are corrected and their remediation is accepted by the Defense Contract Management Agency. The agencies conducting these audits and reviews have come under increased scrutiny. As a result, audits and reviews have become more rigorous and the standards to which we are held are being more strictly interpreted which has increased the likelihood of an audit or review resulting in an adverse outcome.</w:t>
      </w:r>
    </w:p>
    <w:p>
      <w:pPr>
        <w:spacing w:after="0" w:line="162" w:lineRule="exact"/>
        <w:rPr>
          <w:sz w:val="20"/>
          <w:szCs w:val="20"/>
          <w:color w:val="auto"/>
        </w:rPr>
      </w:pPr>
    </w:p>
    <w:p>
      <w:pPr>
        <w:ind w:right="80" w:firstLine="434"/>
        <w:spacing w:after="0" w:line="234" w:lineRule="auto"/>
        <w:rPr>
          <w:sz w:val="20"/>
          <w:szCs w:val="20"/>
          <w:color w:val="auto"/>
        </w:rPr>
      </w:pPr>
      <w:r>
        <w:rPr>
          <w:rFonts w:ascii="Arial" w:cs="Arial" w:eastAsia="Arial" w:hAnsi="Arial"/>
          <w:sz w:val="15"/>
          <w:szCs w:val="15"/>
          <w:color w:val="auto"/>
        </w:rPr>
        <w:t>If a review or investigation by a government agency identifies improper or illegal activities, we may be subject to civil or criminal penalties or administrative sanctions which could include the termination of contracts, forfeiture of profits, the triggering of price reduction clauses, suspension of payments, fines, and suspension or debarment from doing business with governmental agencies. We may suffer harm to our reputation if allegations of impropriety are made against us, which would impair our ability to win new contract awards or receive contract renewals. Penalties and sanctions are not uncommon in our industries. If we incur a material penalty or administrative sanction or otherwise suffer harm to our reputation, our profitability, cash position and future prospects could be adversely affected.</w:t>
      </w:r>
    </w:p>
    <w:p>
      <w:pPr>
        <w:spacing w:after="0" w:line="168" w:lineRule="exact"/>
        <w:rPr>
          <w:sz w:val="20"/>
          <w:szCs w:val="20"/>
          <w:color w:val="auto"/>
        </w:rPr>
      </w:pPr>
    </w:p>
    <w:p>
      <w:pPr>
        <w:ind w:right="80" w:firstLine="434"/>
        <w:spacing w:after="0" w:line="235" w:lineRule="auto"/>
        <w:rPr>
          <w:sz w:val="20"/>
          <w:szCs w:val="20"/>
          <w:color w:val="auto"/>
        </w:rPr>
      </w:pPr>
      <w:r>
        <w:rPr>
          <w:rFonts w:ascii="Arial" w:cs="Arial" w:eastAsia="Arial" w:hAnsi="Arial"/>
          <w:sz w:val="15"/>
          <w:szCs w:val="15"/>
          <w:color w:val="auto"/>
        </w:rPr>
        <w:t>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and those refunds would negatively impact our revenue. Receipt of adverse audit findings or the failure to obtain an “approved” determination on our various business systems could significantly and adversely affect our business by, among other things, restricting our ability to bid on new contracts and, for those proposals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28" w:name="page29"/>
    <w:bookmarkEnd w:id="28"/>
    <w:p>
      <w:pPr>
        <w:jc w:val="both"/>
        <w:ind w:right="260"/>
        <w:spacing w:after="0" w:line="236" w:lineRule="auto"/>
        <w:rPr>
          <w:sz w:val="20"/>
          <w:szCs w:val="20"/>
          <w:color w:val="auto"/>
        </w:rPr>
      </w:pPr>
      <w:r>
        <w:rPr>
          <w:rFonts w:ascii="Arial" w:cs="Arial" w:eastAsia="Arial" w:hAnsi="Arial"/>
          <w:sz w:val="15"/>
          <w:szCs w:val="15"/>
          <w:color w:val="auto"/>
        </w:rPr>
        <w:t>under evaluation, diminishing our competitive position. A determination of noncompliance could also result in penalties and sanctions against us, including withholding of payments, suspension of payments and increased government scrutiny. Increased scrutiny could adversely impact our ability to perform on contracts, affect our ability to invoice for work performed, delay the receipt of timely payment on contracts, and weaken our ability to compete for new contracts with the government.</w:t>
      </w:r>
    </w:p>
    <w:p>
      <w:pPr>
        <w:spacing w:after="0" w:line="149" w:lineRule="exact"/>
        <w:rPr>
          <w:sz w:val="20"/>
          <w:szCs w:val="20"/>
          <w:color w:val="auto"/>
        </w:rPr>
      </w:pPr>
    </w:p>
    <w:p>
      <w:pPr>
        <w:jc w:val="both"/>
        <w:ind w:right="440"/>
        <w:spacing w:after="0" w:line="299" w:lineRule="auto"/>
        <w:rPr>
          <w:sz w:val="20"/>
          <w:szCs w:val="20"/>
          <w:color w:val="auto"/>
        </w:rPr>
      </w:pPr>
      <w:r>
        <w:rPr>
          <w:rFonts w:ascii="Arial" w:cs="Arial" w:eastAsia="Arial" w:hAnsi="Arial"/>
          <w:sz w:val="14"/>
          <w:szCs w:val="14"/>
          <w:b w:val="1"/>
          <w:bCs w:val="1"/>
          <w:i w:val="1"/>
          <w:iCs w:val="1"/>
          <w:color w:val="auto"/>
        </w:rPr>
        <w:t>Our government contracts may be terminated by the government counterparty at any time and may contain other provisions permitting the government to discontinue contract performance, and if lost contracts are not replaced, our operating results may differ materially and adversely from those anticipated.</w:t>
      </w:r>
    </w:p>
    <w:p>
      <w:pPr>
        <w:spacing w:after="0" w:line="127" w:lineRule="exact"/>
        <w:rPr>
          <w:sz w:val="20"/>
          <w:szCs w:val="20"/>
          <w:color w:val="auto"/>
        </w:rPr>
      </w:pPr>
    </w:p>
    <w:p>
      <w:pPr>
        <w:ind w:right="60" w:firstLine="434"/>
        <w:spacing w:after="0" w:line="239" w:lineRule="auto"/>
        <w:rPr>
          <w:sz w:val="20"/>
          <w:szCs w:val="20"/>
          <w:color w:val="auto"/>
        </w:rPr>
      </w:pPr>
      <w:r>
        <w:rPr>
          <w:rFonts w:ascii="Arial" w:cs="Arial" w:eastAsia="Arial" w:hAnsi="Arial"/>
          <w:sz w:val="15"/>
          <w:szCs w:val="15"/>
          <w:color w:val="auto"/>
        </w:rPr>
        <w:t>Government contracts often contain provisions and are subject to laws and regulations that provide government clients with rights and remedies not typically found in commercial contracts. These rights and remedies allow government clients, among other things, to:</w:t>
      </w:r>
    </w:p>
    <w:p>
      <w:pPr>
        <w:spacing w:after="0" w:line="166" w:lineRule="exact"/>
        <w:rPr>
          <w:sz w:val="20"/>
          <w:szCs w:val="20"/>
          <w:color w:val="auto"/>
        </w:rPr>
      </w:pPr>
    </w:p>
    <w:p>
      <w:pPr>
        <w:ind w:left="1300" w:hanging="427"/>
        <w:spacing w:after="0"/>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terminate existing contracts, with short notice, for convenience as well as for default;</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reduce orders under or otherwise modify contracts;</w:t>
      </w:r>
    </w:p>
    <w:p>
      <w:pPr>
        <w:spacing w:after="0" w:line="182" w:lineRule="exact"/>
        <w:rPr>
          <w:rFonts w:ascii="Arial" w:cs="Arial" w:eastAsia="Arial" w:hAnsi="Arial"/>
          <w:sz w:val="15"/>
          <w:szCs w:val="15"/>
          <w:color w:val="auto"/>
        </w:rPr>
      </w:pPr>
    </w:p>
    <w:p>
      <w:pPr>
        <w:ind w:left="1300" w:right="300" w:hanging="427"/>
        <w:spacing w:after="0" w:line="239"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166" w:lineRule="exact"/>
        <w:rPr>
          <w:rFonts w:ascii="Arial" w:cs="Arial" w:eastAsia="Arial" w:hAnsi="Arial"/>
          <w:sz w:val="15"/>
          <w:szCs w:val="15"/>
          <w:color w:val="auto"/>
        </w:rPr>
      </w:pPr>
    </w:p>
    <w:p>
      <w:pPr>
        <w:ind w:left="1300" w:right="100" w:hanging="427"/>
        <w:spacing w:after="0" w:line="236"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for some contracts, (1) demand a refund, make a forward price adjustment or terminate a contract for default if a contractor provided inaccurate or incomplete data during the contract negotiation process and (2) reduce the contract price under triggering circumstances, including the revision of price lists or other documents upon which the contract award was predicated;</w:t>
      </w:r>
    </w:p>
    <w:p>
      <w:pPr>
        <w:spacing w:after="0" w:line="167" w:lineRule="exact"/>
        <w:rPr>
          <w:rFonts w:ascii="Arial" w:cs="Arial" w:eastAsia="Arial" w:hAnsi="Arial"/>
          <w:sz w:val="15"/>
          <w:szCs w:val="15"/>
          <w:color w:val="auto"/>
        </w:rPr>
      </w:pPr>
    </w:p>
    <w:p>
      <w:pPr>
        <w:ind w:left="1300" w:hanging="427"/>
        <w:spacing w:after="0"/>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terminate our facility security clearances and thereby prevent us from receiving classified contracts and complete work on existing contracts;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cancel multi-year contracts and related task orders if funds for contract performance for any subsequent year become unavailable;</w:t>
      </w:r>
    </w:p>
    <w:p>
      <w:pPr>
        <w:spacing w:after="0" w:line="182" w:lineRule="exact"/>
        <w:rPr>
          <w:rFonts w:ascii="Arial" w:cs="Arial" w:eastAsia="Arial" w:hAnsi="Arial"/>
          <w:sz w:val="15"/>
          <w:szCs w:val="15"/>
          <w:color w:val="auto"/>
        </w:rPr>
      </w:pPr>
    </w:p>
    <w:p>
      <w:pPr>
        <w:ind w:left="1300" w:right="320" w:hanging="427"/>
        <w:spacing w:after="0" w:line="239"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decline to exercise an option to renew a multi-year contract or issue task orders in connection with indefinite delivery/indefinite quantity contracts, or IDIQ contracts;</w:t>
      </w:r>
    </w:p>
    <w:p>
      <w:pPr>
        <w:spacing w:after="0" w:line="166" w:lineRule="exact"/>
        <w:rPr>
          <w:rFonts w:ascii="Arial" w:cs="Arial" w:eastAsia="Arial" w:hAnsi="Arial"/>
          <w:sz w:val="15"/>
          <w:szCs w:val="15"/>
          <w:color w:val="auto"/>
        </w:rPr>
      </w:pPr>
    </w:p>
    <w:p>
      <w:pPr>
        <w:ind w:left="1300" w:right="180" w:hanging="427"/>
        <w:spacing w:after="0" w:line="236"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claim rights in solutions, systems and technology produced by us, appropriate such work-product for their continued use without continuing to contract for our services and disclose such work-product to third parties, including other government agencies and our competitors, which could harm our competitive position;</w:t>
      </w:r>
    </w:p>
    <w:p>
      <w:pPr>
        <w:spacing w:after="0" w:line="167" w:lineRule="exact"/>
        <w:rPr>
          <w:rFonts w:ascii="Arial" w:cs="Arial" w:eastAsia="Arial" w:hAnsi="Arial"/>
          <w:sz w:val="15"/>
          <w:szCs w:val="15"/>
          <w:color w:val="auto"/>
        </w:rPr>
      </w:pPr>
    </w:p>
    <w:p>
      <w:pPr>
        <w:ind w:left="1300" w:right="240" w:hanging="427"/>
        <w:spacing w:after="0" w:line="236"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167" w:lineRule="exact"/>
        <w:rPr>
          <w:rFonts w:ascii="Arial" w:cs="Arial" w:eastAsia="Arial" w:hAnsi="Arial"/>
          <w:sz w:val="15"/>
          <w:szCs w:val="15"/>
          <w:color w:val="auto"/>
        </w:rPr>
      </w:pPr>
    </w:p>
    <w:p>
      <w:pPr>
        <w:ind w:left="1300" w:hanging="427"/>
        <w:spacing w:after="0" w:line="236" w:lineRule="auto"/>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167" w:lineRule="exact"/>
        <w:rPr>
          <w:rFonts w:ascii="Arial" w:cs="Arial" w:eastAsia="Arial" w:hAnsi="Arial"/>
          <w:sz w:val="15"/>
          <w:szCs w:val="15"/>
          <w:color w:val="auto"/>
        </w:rPr>
      </w:pPr>
    </w:p>
    <w:p>
      <w:pPr>
        <w:ind w:left="1300" w:hanging="427"/>
        <w:spacing w:after="0"/>
        <w:tabs>
          <w:tab w:leader="none" w:pos="13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suspend or debar us from doing business with the applicable government;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29" w:name="page30"/>
    <w:bookmarkEnd w:id="29"/>
    <w:p>
      <w:pPr>
        <w:ind w:left="1300" w:hanging="427"/>
        <w:spacing w:after="0"/>
        <w:tabs>
          <w:tab w:leader="none" w:pos="13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control or prohibit the export of our services.</w:t>
      </w:r>
    </w:p>
    <w:p>
      <w:pPr>
        <w:spacing w:after="0" w:line="182"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government client were to unexpectedly terminate, cancel, or decline to exercise an option to renew with respect to one or more of our significant contracts, or suspend or debar us from doing business with such government, our revenue and operating results would be materially harmed.</w:t>
      </w:r>
    </w:p>
    <w:p>
      <w:pPr>
        <w:spacing w:after="0" w:line="149"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b w:val="1"/>
          <w:bCs w:val="1"/>
          <w:i w:val="1"/>
          <w:iCs w:val="1"/>
          <w:color w:val="auto"/>
        </w:rPr>
        <w:t>Our revenue and growth prospects may be harmed if we or our employees are unable to obtain government granted eligibility or other qualifications, we and they need to perform services for our customers.</w:t>
      </w:r>
    </w:p>
    <w:p>
      <w:pPr>
        <w:spacing w:after="0" w:line="150" w:lineRule="exact"/>
        <w:rPr>
          <w:sz w:val="20"/>
          <w:szCs w:val="20"/>
          <w:color w:val="auto"/>
        </w:rPr>
      </w:pPr>
    </w:p>
    <w:p>
      <w:pPr>
        <w:ind w:right="40" w:firstLine="434"/>
        <w:spacing w:after="0" w:line="234" w:lineRule="auto"/>
        <w:rPr>
          <w:sz w:val="20"/>
          <w:szCs w:val="20"/>
          <w:color w:val="auto"/>
        </w:rPr>
      </w:pPr>
      <w:r>
        <w:rPr>
          <w:rFonts w:ascii="Arial" w:cs="Arial" w:eastAsia="Arial" w:hAnsi="Arial"/>
          <w:sz w:val="15"/>
          <w:szCs w:val="15"/>
          <w:color w:val="auto"/>
        </w:rPr>
        <w:t>A number of government programs require contractors to have certain kinds of government granted eligibility, such as security clearance credentials. Depending on the project, eligibility can be difficult and time-consuming to obtain. If we or our employees are unable to obtain or retain the necessary eligibility, including local ownership requirements, we may not be able to win new business, and our existing customers could terminate their contracts with us or decide not to renew them. To the extent we cannot obtain or maintain the required security clearances for our employees working on a particular contract, we may not derive the revenue or profit anticipated from such contract.</w:t>
      </w:r>
    </w:p>
    <w:p>
      <w:pPr>
        <w:spacing w:after="0" w:line="15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Risks Related to Our Operations and Markets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profitability could suffer if we are not able to timely and effectively utilize our employees or manage our cost structure.</w:t>
      </w:r>
    </w:p>
    <w:p>
      <w:pPr>
        <w:spacing w:after="0" w:line="189" w:lineRule="exact"/>
        <w:rPr>
          <w:sz w:val="20"/>
          <w:szCs w:val="20"/>
          <w:color w:val="auto"/>
        </w:rPr>
      </w:pPr>
    </w:p>
    <w:p>
      <w:pPr>
        <w:ind w:right="260" w:firstLine="434"/>
        <w:spacing w:after="0" w:line="239" w:lineRule="auto"/>
        <w:rPr>
          <w:sz w:val="20"/>
          <w:szCs w:val="20"/>
          <w:color w:val="auto"/>
        </w:rPr>
      </w:pPr>
      <w:r>
        <w:rPr>
          <w:rFonts w:ascii="Arial" w:cs="Arial" w:eastAsia="Arial" w:hAnsi="Arial"/>
          <w:sz w:val="15"/>
          <w:szCs w:val="15"/>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166" w:lineRule="exact"/>
        <w:rPr>
          <w:sz w:val="20"/>
          <w:szCs w:val="20"/>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transition employees from completed projects to new assignments and to hire, assimilate and deploy new employees;</w:t>
      </w:r>
    </w:p>
    <w:p>
      <w:pPr>
        <w:spacing w:after="0" w:line="182" w:lineRule="exact"/>
        <w:rPr>
          <w:rFonts w:ascii="Arial" w:cs="Arial" w:eastAsia="Arial" w:hAnsi="Arial"/>
          <w:sz w:val="15"/>
          <w:szCs w:val="15"/>
          <w:color w:val="auto"/>
        </w:rPr>
      </w:pPr>
    </w:p>
    <w:p>
      <w:pPr>
        <w:ind w:left="1300" w:hanging="427"/>
        <w:spacing w:after="0" w:line="239" w:lineRule="auto"/>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forecast demand for our services and to maintain and deploy headcount that is aligned with demand, including employees with the right mix of skills and experience to support our projects;</w:t>
      </w:r>
    </w:p>
    <w:p>
      <w:pPr>
        <w:spacing w:after="0" w:line="166"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employees’ inability to obtain or retain necessary security clearances or required certifications;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changes to or delays or cancellations of projects, as a result of governmental budgetary processes or otherwise;</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ability to manage attrition;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need to devote time and resources to training, business development, and other non-chargeable activities.</w:t>
      </w:r>
    </w:p>
    <w:p>
      <w:pPr>
        <w:spacing w:after="0" w:line="182" w:lineRule="exact"/>
        <w:rPr>
          <w:sz w:val="20"/>
          <w:szCs w:val="20"/>
          <w:color w:val="auto"/>
        </w:rPr>
      </w:pPr>
    </w:p>
    <w:p>
      <w:pPr>
        <w:ind w:right="280" w:firstLine="434"/>
        <w:spacing w:after="0" w:line="239" w:lineRule="auto"/>
        <w:rPr>
          <w:sz w:val="20"/>
          <w:szCs w:val="20"/>
          <w:color w:val="auto"/>
        </w:rPr>
      </w:pPr>
      <w:r>
        <w:rPr>
          <w:rFonts w:ascii="Arial" w:cs="Arial" w:eastAsia="Arial" w:hAnsi="Arial"/>
          <w:sz w:val="15"/>
          <w:szCs w:val="15"/>
          <w:color w:val="auto"/>
        </w:rPr>
        <w:t>If our employees are under-utilized, our profit margin and profitability could suffer. Additionally, if our employees are over-utilized, it could have a material adverse effect on employee morale and attrition, which would in turn have a material adverse impact on our business, financial condition or results of operations.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3" w:right="359" w:bottom="1440" w:gutter="0" w:footer="0" w:header="0"/>
        </w:sectPr>
      </w:pPr>
    </w:p>
    <w:bookmarkStart w:id="30" w:name="page31"/>
    <w:bookmarkEnd w:id="30"/>
    <w:p>
      <w:pPr>
        <w:ind w:right="20" w:firstLine="434"/>
        <w:spacing w:after="0" w:line="236" w:lineRule="auto"/>
        <w:rPr>
          <w:sz w:val="20"/>
          <w:szCs w:val="20"/>
          <w:color w:val="auto"/>
        </w:rPr>
      </w:pPr>
      <w:r>
        <w:rPr>
          <w:rFonts w:ascii="Arial" w:cs="Arial" w:eastAsia="Arial" w:hAnsi="Arial"/>
          <w:sz w:val="15"/>
          <w:szCs w:val="15"/>
          <w:color w:val="auto"/>
        </w:rPr>
        <w:t>Our profitability is also affected by the extent to which we are able to effectively manage our overall cost structure for operating expenses, such as wages and benefits, real estate expenses, overhead and capital and other investment-related expenditures. If we are unable to effectively manage our costs and expenses and achieve efficiencies, our competitiveness and profitability may be adversely affected.</w:t>
      </w:r>
    </w:p>
    <w:p>
      <w:pPr>
        <w:spacing w:after="0" w:line="149" w:lineRule="exact"/>
        <w:rPr>
          <w:sz w:val="20"/>
          <w:szCs w:val="20"/>
          <w:color w:val="auto"/>
        </w:rPr>
      </w:pPr>
    </w:p>
    <w:p>
      <w:pPr>
        <w:ind w:right="380"/>
        <w:spacing w:after="0" w:line="263" w:lineRule="auto"/>
        <w:rPr>
          <w:sz w:val="20"/>
          <w:szCs w:val="20"/>
          <w:color w:val="auto"/>
        </w:rPr>
      </w:pPr>
      <w:r>
        <w:rPr>
          <w:rFonts w:ascii="Arial" w:cs="Arial" w:eastAsia="Arial" w:hAnsi="Arial"/>
          <w:sz w:val="15"/>
          <w:szCs w:val="15"/>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150"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We are focused on growing our presence in our addressable markets by enhancing and optimizing our core operations, extending into opportunity-rich adjacent markets and acquiring and integrating transformative, disruptive technologies. These efforts entail inherent risks associated with innovation and competition from other participants in those areas, potential failure to help our clients respond to the challenges they face, our ability to comply with uncertain evolving legal standards applicable to some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described in additional detail below.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 Additionally, the possibility exists that our competitors might develop new capabilities or service offerings that might cause our existing capabilities and service offerings to become obsolete. If we fail in our new capabilities development efforts or our capabilities or services fail to achieve market acceptance more rapidly than our competitors, our ability to procure new contracts could be negatively impacted, which would negatively impact our results of operations and our financial condition.</w:t>
      </w:r>
    </w:p>
    <w:p>
      <w:pPr>
        <w:spacing w:after="0" w:line="171" w:lineRule="exact"/>
        <w:rPr>
          <w:sz w:val="20"/>
          <w:szCs w:val="20"/>
          <w:color w:val="auto"/>
        </w:rPr>
      </w:pPr>
    </w:p>
    <w:p>
      <w:pPr>
        <w:ind w:right="80" w:firstLine="434"/>
        <w:spacing w:after="0" w:line="235" w:lineRule="auto"/>
        <w:rPr>
          <w:sz w:val="20"/>
          <w:szCs w:val="20"/>
          <w:color w:val="auto"/>
        </w:rPr>
      </w:pPr>
      <w:r>
        <w:rPr>
          <w:rFonts w:ascii="Arial" w:cs="Arial" w:eastAsia="Arial" w:hAnsi="Arial"/>
          <w:sz w:val="15"/>
          <w:szCs w:val="15"/>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financial condition and results of operations.</w:t>
      </w:r>
    </w:p>
    <w:p>
      <w:pPr>
        <w:spacing w:after="0" w:line="167" w:lineRule="exact"/>
        <w:rPr>
          <w:sz w:val="20"/>
          <w:szCs w:val="20"/>
          <w:color w:val="auto"/>
        </w:rPr>
      </w:pPr>
    </w:p>
    <w:p>
      <w:pPr>
        <w:ind w:right="260" w:firstLine="434"/>
        <w:spacing w:after="0" w:line="234" w:lineRule="auto"/>
        <w:rPr>
          <w:sz w:val="20"/>
          <w:szCs w:val="20"/>
          <w:color w:val="auto"/>
        </w:rPr>
      </w:pPr>
      <w:r>
        <w:rPr>
          <w:rFonts w:ascii="Arial" w:cs="Arial" w:eastAsia="Arial" w:hAnsi="Arial"/>
          <w:sz w:val="15"/>
          <w:szCs w:val="15"/>
          <w:color w:val="auto"/>
        </w:rPr>
        <w:t>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financial condition and results of operations.</w:t>
      </w:r>
    </w:p>
    <w:p>
      <w:pPr>
        <w:spacing w:after="0" w:line="150"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b w:val="1"/>
          <w:bCs w:val="1"/>
          <w:i w:val="1"/>
          <w:iCs w:val="1"/>
          <w:color w:val="auto"/>
        </w:rPr>
        <w:t>We have submitted claims to clients for work we performed beyond the initial scope of some of our contracts. If these clients do not approve these claims, our results of operations could be adversely impacted.</w:t>
      </w:r>
    </w:p>
    <w:p>
      <w:pPr>
        <w:spacing w:after="0" w:line="150"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We typically have pending claims submitted under some of our contracts for payment of work performed beyond the initial contractual requirements for which we have already recorded revenue. Some of these relate to change orders from the original scope of the contract. Our client may dispute these change orders and claims, and we cannot guarantee that such claims will be approved in whole, in part, or at all. Often, these claims and disputes can be the subject of lengthy arbitration or litigation proceedings, and it is difficult to accurately predict when these claims and disputes will be fully resolved.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31" w:name="page32"/>
    <w:bookmarkEnd w:id="31"/>
    <w:p>
      <w:pPr>
        <w:ind w:right="120"/>
        <w:spacing w:after="0" w:line="239" w:lineRule="auto"/>
        <w:rPr>
          <w:sz w:val="20"/>
          <w:szCs w:val="20"/>
          <w:color w:val="auto"/>
        </w:rPr>
      </w:pPr>
      <w:r>
        <w:rPr>
          <w:rFonts w:ascii="Arial" w:cs="Arial" w:eastAsia="Arial" w:hAnsi="Arial"/>
          <w:sz w:val="15"/>
          <w:szCs w:val="15"/>
          <w:color w:val="auto"/>
        </w:rPr>
        <w:t>We may also renegotiate contracts to address these additional costs. When these types of events occur, we have used working capital in projects to cover cost overruns. If our claims are not approved or resolved, our revenue may be reduced in future periods.</w:t>
      </w:r>
    </w:p>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Many of our contracts require innovative design capabilities, are technologically complex or are dependent upon factors not wholly within our control. Failure to meet these obligations could adversely affect our business, financial condition or results of operations.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design and develop technologically advanced and innovative products and services applied by our customers in a variety of environments. Problems and delays in development or delivery as a result of issues with respect to design, technology, licensing and patent rights, labor, learning curve assumptions or materials and components could prevent us from achieving contractual requirements. Our offerings cannot be tested and proven in all situations and are otherwise subject to unforeseen problems that could negatively affect revenue and profitability such as problems with governmental inaction, quality and workmanship, delivery of subcontractor components or services, unplanned degradation of product performance, unavailability of vendor materials and changes in the project scope requested by our clients. Among the factors that may adversely affect our business, financial condition or results of operations could be unforeseen costs and expenses not covered by insurance or indemnification from the customer, diversion of management focus in responding to unforeseen problems, loss of follow-on work, damage to our reputation and repayment to the customer of contract cost and fee payments we previously received.</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aggressive competition that can impact our ability to obtain contracts and may affect our future revenues, profitability and growth prospects.</w:t>
      </w:r>
    </w:p>
    <w:p>
      <w:pPr>
        <w:spacing w:after="0" w:line="189" w:lineRule="exact"/>
        <w:rPr>
          <w:sz w:val="20"/>
          <w:szCs w:val="20"/>
          <w:color w:val="auto"/>
        </w:rPr>
      </w:pPr>
    </w:p>
    <w:p>
      <w:pPr>
        <w:ind w:right="20" w:firstLine="434"/>
        <w:spacing w:after="0" w:line="250" w:lineRule="auto"/>
        <w:rPr>
          <w:sz w:val="20"/>
          <w:szCs w:val="20"/>
          <w:color w:val="auto"/>
        </w:rPr>
      </w:pPr>
      <w:r>
        <w:rPr>
          <w:rFonts w:ascii="Arial" w:cs="Arial" w:eastAsia="Arial" w:hAnsi="Arial"/>
          <w:sz w:val="14"/>
          <w:szCs w:val="14"/>
          <w:color w:val="auto"/>
        </w:rPr>
        <w:t>We expect that a majority of the business that we seek in the foreseeable future will be awarded through a competitive bidding process. For example, the U.S. government increasingly relies on IDIQ, GSA Schedule and other multi-award contracts, which has resulted in greater competition and increased pricing pressure. The competitive bidding process involves substantial costs and a number of risks, including significant cost and managerial time to prepare bids and proposals for contracts that may not be awarded to us, or that may be awarded but for which we do not receive meaningful task orders. For contracts awarded to us, we also face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and/or profitability. In addition, multi-award contracts require that we make sustained post-award efforts to obtain task orders under the contract. As a result, we may not be able to obtain these task orders or recognize revenues under these multi award contracts. Our failure to compete effectively in this procurement environment would adversely affect our business, financial condition and results of operations.</w:t>
      </w:r>
    </w:p>
    <w:p>
      <w:pPr>
        <w:spacing w:after="0" w:line="164" w:lineRule="exact"/>
        <w:rPr>
          <w:sz w:val="20"/>
          <w:szCs w:val="20"/>
          <w:color w:val="auto"/>
        </w:rPr>
      </w:pPr>
    </w:p>
    <w:p>
      <w:pPr>
        <w:ind w:right="240" w:firstLine="434"/>
        <w:spacing w:after="0" w:line="254" w:lineRule="auto"/>
        <w:rPr>
          <w:sz w:val="20"/>
          <w:szCs w:val="20"/>
          <w:color w:val="auto"/>
        </w:rPr>
      </w:pPr>
      <w:r>
        <w:rPr>
          <w:rFonts w:ascii="Arial" w:cs="Arial" w:eastAsia="Arial" w:hAnsi="Arial"/>
          <w:sz w:val="14"/>
          <w:szCs w:val="14"/>
          <w:color w:val="auto"/>
        </w:rPr>
        <w:t>Projects may be awarded based solely upon price, but often take into account other factors, such as technical qualifications, proposed project team, schedule and past performance on similar projects. We compete with larger companies that have greater name recognition, financial resources and larger technical staffs and with smaller, more specialized companies that are able to concentrate their resources on particular areas. Additionally, we may compete with a government’s own capabilities. Technology-focused companies may also develop products and services that could disrupt our business or compete with our services. To remain competitive, we must consistently provide superior service, technology and performance on a cost-effective basis to our customers and there is no assurance that we will do so.</w:t>
      </w:r>
    </w:p>
    <w:p>
      <w:pPr>
        <w:spacing w:after="0" w:line="139"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Risks Related to Acquisitions and Joint Ventures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b w:val="1"/>
          <w:bCs w:val="1"/>
          <w:i w:val="1"/>
          <w:iCs w:val="1"/>
          <w:color w:val="auto"/>
        </w:rPr>
        <w:t>We may make acquisitions, investments, joint ventures and divestitures in the future that involve numerous risks, which if realized, may adversely affect our business and our future results.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2" w:name="page33"/>
    <w:bookmarkEnd w:id="32"/>
    <w:p>
      <w:pPr>
        <w:ind w:right="80" w:firstLine="434"/>
        <w:spacing w:after="0" w:line="235" w:lineRule="auto"/>
        <w:rPr>
          <w:sz w:val="20"/>
          <w:szCs w:val="20"/>
          <w:color w:val="auto"/>
        </w:rPr>
      </w:pPr>
      <w:r>
        <w:rPr>
          <w:rFonts w:ascii="Arial" w:cs="Arial" w:eastAsia="Arial" w:hAnsi="Arial"/>
          <w:sz w:val="15"/>
          <w:szCs w:val="15"/>
          <w:color w:val="auto"/>
        </w:rPr>
        <w:t>We may make strategic acquisitions, engage in joint ventures or divest existing businesses, which could cause us to incur unforeseen expenses and have disruptive effects on our business and may not yield the benefits we expect. Our Credit Agreement imposes limitations on our ability to make other acquisitions. Subject to those limitations, we may selectively pursue additional strategic acquisitions, investments and joint ventures in the future. Any future acquisitions, investments and joint ventures may pose many risks that could adversely affect our reputation, operations or financial results, including:</w:t>
      </w:r>
    </w:p>
    <w:p>
      <w:pPr>
        <w:spacing w:after="0" w:line="167" w:lineRule="exact"/>
        <w:rPr>
          <w:sz w:val="20"/>
          <w:szCs w:val="20"/>
          <w:color w:val="auto"/>
        </w:rPr>
      </w:pPr>
    </w:p>
    <w:p>
      <w:pPr>
        <w:ind w:left="1300" w:right="220" w:hanging="427"/>
        <w:spacing w:after="0" w:line="239" w:lineRule="auto"/>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not retain key employees (including those with needed security clearances), customers and business partners of an acquired business in the future;</w:t>
      </w:r>
    </w:p>
    <w:p>
      <w:pPr>
        <w:spacing w:after="0" w:line="166" w:lineRule="exact"/>
        <w:rPr>
          <w:rFonts w:ascii="Arial" w:cs="Arial" w:eastAsia="Arial" w:hAnsi="Arial"/>
          <w:sz w:val="15"/>
          <w:szCs w:val="15"/>
          <w:color w:val="auto"/>
        </w:rPr>
      </w:pPr>
    </w:p>
    <w:p>
      <w:pPr>
        <w:ind w:left="1300" w:right="300" w:hanging="427"/>
        <w:spacing w:after="0" w:line="239" w:lineRule="auto"/>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fail to successfully integrate acquired businesses, such as failing to successfully integrate information technology and other control systems relating to the operations of any acquired business;</w:t>
      </w:r>
    </w:p>
    <w:p>
      <w:pPr>
        <w:spacing w:after="0" w:line="166" w:lineRule="exact"/>
        <w:rPr>
          <w:rFonts w:ascii="Arial" w:cs="Arial" w:eastAsia="Arial" w:hAnsi="Arial"/>
          <w:sz w:val="15"/>
          <w:szCs w:val="15"/>
          <w:color w:val="auto"/>
        </w:rPr>
      </w:pPr>
    </w:p>
    <w:p>
      <w:pPr>
        <w:ind w:left="1300" w:right="200" w:hanging="427"/>
        <w:spacing w:after="0" w:line="239" w:lineRule="auto"/>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acquisitions normally require a significant investment of time and resources, which may disrupt our business and distract our management from other important responsibilities;</w:t>
      </w:r>
    </w:p>
    <w:p>
      <w:pPr>
        <w:spacing w:after="0" w:line="166" w:lineRule="exact"/>
        <w:rPr>
          <w:rFonts w:ascii="Arial" w:cs="Arial" w:eastAsia="Arial" w:hAnsi="Arial"/>
          <w:sz w:val="15"/>
          <w:szCs w:val="15"/>
          <w:color w:val="auto"/>
        </w:rPr>
      </w:pPr>
    </w:p>
    <w:p>
      <w:pPr>
        <w:ind w:left="1300" w:right="180" w:hanging="427"/>
        <w:spacing w:after="0" w:line="272" w:lineRule="auto"/>
        <w:tabs>
          <w:tab w:leader="none" w:pos="130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we may not be able to accurately estimate the financial effect of any acquisitions and investments on our business and we may not realize anticipated revenue opportunities, cost savings, or other synergies or benefits, or acquisitions may not result in improved operating performance; and</w:t>
      </w:r>
    </w:p>
    <w:p>
      <w:pPr>
        <w:spacing w:after="0" w:line="144" w:lineRule="exact"/>
        <w:rPr>
          <w:rFonts w:ascii="Arial" w:cs="Arial" w:eastAsia="Arial" w:hAnsi="Arial"/>
          <w:sz w:val="14"/>
          <w:szCs w:val="14"/>
          <w:color w:val="auto"/>
        </w:rPr>
      </w:pPr>
    </w:p>
    <w:p>
      <w:pPr>
        <w:ind w:left="1300" w:right="140" w:hanging="427"/>
        <w:spacing w:after="0" w:line="239" w:lineRule="auto"/>
        <w:tabs>
          <w:tab w:leader="none" w:pos="13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may assume known as well as unknown material liabilities, legal or regulatory risks that were not identified as part of our due diligence or for which we are unable to receive a purchase price adjustment or reimbursement through indemnification.</w:t>
      </w:r>
    </w:p>
    <w:p>
      <w:pPr>
        <w:spacing w:after="0" w:line="166" w:lineRule="exact"/>
        <w:rPr>
          <w:sz w:val="20"/>
          <w:szCs w:val="20"/>
          <w:color w:val="auto"/>
        </w:rPr>
      </w:pPr>
    </w:p>
    <w:p>
      <w:pPr>
        <w:ind w:right="180" w:firstLine="434"/>
        <w:spacing w:after="0" w:line="239" w:lineRule="auto"/>
        <w:rPr>
          <w:sz w:val="20"/>
          <w:szCs w:val="20"/>
          <w:color w:val="auto"/>
        </w:rPr>
      </w:pPr>
      <w:r>
        <w:rPr>
          <w:rFonts w:ascii="Arial" w:cs="Arial" w:eastAsia="Arial" w:hAnsi="Arial"/>
          <w:sz w:val="15"/>
          <w:szCs w:val="15"/>
          <w:color w:val="auto"/>
        </w:rPr>
        <w:t>If any acquisitions, investments or joint ventures fail, perform poorly or their value is otherwise impaired for any reason, including contractions in credit markets and global economic conditions, our business, financial condition and results of operations could be adversely affected.</w:t>
      </w:r>
    </w:p>
    <w:p>
      <w:pPr>
        <w:spacing w:after="0" w:line="166" w:lineRule="exact"/>
        <w:rPr>
          <w:sz w:val="20"/>
          <w:szCs w:val="20"/>
          <w:color w:val="auto"/>
        </w:rPr>
      </w:pPr>
    </w:p>
    <w:p>
      <w:pPr>
        <w:ind w:right="60" w:firstLine="434"/>
        <w:spacing w:after="0" w:line="234" w:lineRule="auto"/>
        <w:rPr>
          <w:sz w:val="20"/>
          <w:szCs w:val="20"/>
          <w:color w:val="auto"/>
        </w:rPr>
      </w:pPr>
      <w:r>
        <w:rPr>
          <w:rFonts w:ascii="Arial" w:cs="Arial" w:eastAsia="Arial" w:hAnsi="Arial"/>
          <w:sz w:val="15"/>
          <w:szCs w:val="15"/>
          <w:color w:val="auto"/>
        </w:rPr>
        <w:t>In addition, we may periodically divest or plan to divest businesses, including businesses that are no longer a part of our ongoing strategic plan. These divestitures similarly require significant investment of time and resources and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could adversely affect our business, financial condition or results of operations. When we determine that we would like to divest a business, we may not be able to divest that business on attractive terms or at all.</w:t>
      </w:r>
    </w:p>
    <w:p>
      <w:pPr>
        <w:spacing w:after="0" w:line="150" w:lineRule="exact"/>
        <w:rPr>
          <w:sz w:val="20"/>
          <w:szCs w:val="20"/>
          <w:color w:val="auto"/>
        </w:rPr>
      </w:pPr>
    </w:p>
    <w:p>
      <w:pPr>
        <w:spacing w:after="0" w:line="263" w:lineRule="auto"/>
        <w:rPr>
          <w:sz w:val="20"/>
          <w:szCs w:val="20"/>
          <w:color w:val="auto"/>
        </w:rPr>
      </w:pPr>
      <w:r>
        <w:rPr>
          <w:rFonts w:ascii="Arial" w:cs="Arial" w:eastAsia="Arial" w:hAnsi="Arial"/>
          <w:sz w:val="15"/>
          <w:szCs w:val="15"/>
          <w:b w:val="1"/>
          <w:bCs w:val="1"/>
          <w:i w:val="1"/>
          <w:iCs w:val="1"/>
          <w:color w:val="auto"/>
        </w:rPr>
        <w:t>We conduct a portion of our work through joint venture entities, some of which we do not have management control over, and with which we typically have joint and several liability with our joint venture partners.</w:t>
      </w:r>
    </w:p>
    <w:p>
      <w:pPr>
        <w:spacing w:after="0" w:line="150" w:lineRule="exact"/>
        <w:rPr>
          <w:sz w:val="20"/>
          <w:szCs w:val="20"/>
          <w:color w:val="auto"/>
        </w:rPr>
      </w:pPr>
    </w:p>
    <w:p>
      <w:pPr>
        <w:ind w:right="60" w:firstLine="434"/>
        <w:spacing w:after="0" w:line="233" w:lineRule="auto"/>
        <w:rPr>
          <w:sz w:val="20"/>
          <w:szCs w:val="20"/>
          <w:color w:val="auto"/>
        </w:rPr>
      </w:pPr>
      <w:r>
        <w:rPr>
          <w:rFonts w:ascii="Arial" w:cs="Arial" w:eastAsia="Arial" w:hAnsi="Arial"/>
          <w:sz w:val="15"/>
          <w:szCs w:val="15"/>
          <w:color w:val="auto"/>
        </w:rPr>
        <w:t>11.5% of our revenue during fiscal 2020, 12.0% of our revenue during fiscal 2019 and 15.2% of our revenue during fiscal 2018 was derived from our operations through consolidated joint ventures. In addition, 4.4% of our revenue during fiscal 2020, 4.0% of our revenue during fiscal 2019 and 4.1% of our revenues in fiscal 2018 related to services we provided to our unconsolidated joint ventures, where control resides with unaffiliated third parties, and 16.9% of our operating income during fiscal 2020, 45.3% of our operating income during fiscal 2019 and 18.0% of our operating income during fiscal 2018 was derived from equity in our unconsolidated joint ventures. As with most joint venture arrangements, differences in views among the joint venture participants may result in delayed decisions or disputes. We also cannot control the actions of our joint venture partners and we typically have joint and several liability with our joint venture partners under the applicable contracts for joint venture projects. These factors could potentially adversely impact the business and operations of a joint venture and, in turn, our business and operations.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3" w:right="359" w:bottom="1440" w:gutter="0" w:footer="0" w:header="0"/>
        </w:sectPr>
      </w:pPr>
    </w:p>
    <w:bookmarkStart w:id="33" w:name="page34"/>
    <w:bookmarkEnd w:id="33"/>
    <w:p>
      <w:pPr>
        <w:ind w:right="100" w:firstLine="434"/>
        <w:spacing w:after="0" w:line="256" w:lineRule="auto"/>
        <w:rPr>
          <w:sz w:val="20"/>
          <w:szCs w:val="20"/>
          <w:color w:val="auto"/>
        </w:rPr>
      </w:pPr>
      <w:r>
        <w:rPr>
          <w:rFonts w:ascii="Arial" w:cs="Arial" w:eastAsia="Arial" w:hAnsi="Arial"/>
          <w:sz w:val="14"/>
          <w:szCs w:val="14"/>
          <w:color w:val="auto"/>
        </w:rPr>
        <w:t>Operating through joint ventures in which we are a minority holder results in us having limited control over many decisions made with respect to projects and internal controls relating to projects. We generally do not have control of these unconsolidated joint ventures. These joint ventures may not be subject to the same requirements regarding internal controls and internal control over financial reporting that we follow. As a result, internal control problems may arise with respect to these joint ventures, which could have a material adverse effect on our business, financial condition and results of operations and could also affect our reputation in the industries we serve.</w:t>
      </w:r>
    </w:p>
    <w:p>
      <w:pPr>
        <w:spacing w:after="0" w:line="137"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We participate in joint ventures where we provide guarantees and may be adversely impacted by the failure of such joint venture or its participants to fulfill their obligations.</w:t>
      </w:r>
    </w:p>
    <w:p>
      <w:pPr>
        <w:spacing w:after="0" w:line="150" w:lineRule="exact"/>
        <w:rPr>
          <w:sz w:val="20"/>
          <w:szCs w:val="20"/>
          <w:color w:val="auto"/>
        </w:rPr>
      </w:pPr>
    </w:p>
    <w:p>
      <w:pPr>
        <w:ind w:right="140" w:firstLine="434"/>
        <w:spacing w:after="0" w:line="235" w:lineRule="auto"/>
        <w:rPr>
          <w:sz w:val="20"/>
          <w:szCs w:val="20"/>
          <w:color w:val="auto"/>
        </w:rPr>
      </w:pPr>
      <w:r>
        <w:rPr>
          <w:rFonts w:ascii="Arial" w:cs="Arial" w:eastAsia="Arial" w:hAnsi="Arial"/>
          <w:sz w:val="15"/>
          <w:szCs w:val="15"/>
          <w:color w:val="auto"/>
        </w:rPr>
        <w:t>We have investments in and commitments to joint ventures with unrelated parties. These joint ventures from time to time may borrow money to help finance their activities and, in some circumstances, we may be required to provide guarantees of the obligations of our affiliated entities. At December 31, 2020, we had $ 59.3 million of letters of credit and guarantees that relate to joint ventures. If these entities are not able to honor their obligations under the guarantees, we may be required to expend additional resources or suffer losses, which could be significant.</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acquisitions may not achieve their full intended benefits or may disrupt our plans and operations.</w:t>
      </w:r>
    </w:p>
    <w:p>
      <w:pPr>
        <w:spacing w:after="0" w:line="189" w:lineRule="exact"/>
        <w:rPr>
          <w:sz w:val="20"/>
          <w:szCs w:val="20"/>
          <w:color w:val="auto"/>
        </w:rPr>
      </w:pPr>
    </w:p>
    <w:p>
      <w:pPr>
        <w:ind w:firstLine="434"/>
        <w:spacing w:after="0" w:line="234" w:lineRule="auto"/>
        <w:rPr>
          <w:sz w:val="20"/>
          <w:szCs w:val="20"/>
          <w:color w:val="auto"/>
        </w:rPr>
      </w:pPr>
      <w:r>
        <w:rPr>
          <w:rFonts w:ascii="Arial" w:cs="Arial" w:eastAsia="Arial" w:hAnsi="Arial"/>
          <w:sz w:val="15"/>
          <w:szCs w:val="15"/>
          <w:color w:val="auto"/>
        </w:rPr>
        <w:t>We cannot assure you that we will be able to successfully integrate acquired companies with our business or otherwise realize the expected benefits of our acquisitions. For example, in the last several years we have made four large acquisitions. The combination of multiple independent businesses will be a complex, costly, and time-consuming process. Our business may be negatively impacted following acquisitions if we are unable to effectively manage our expanded operations. The integration process will require significant time and focus from our management team and may divert attention from the day-to-day operations of the combined business. Additionally, consummation of acquisitions could disrupt our current plans and operations, which could delay the achievement of our strategic objectives.</w:t>
      </w:r>
    </w:p>
    <w:p>
      <w:pPr>
        <w:spacing w:after="0" w:line="168" w:lineRule="exact"/>
        <w:rPr>
          <w:sz w:val="20"/>
          <w:szCs w:val="20"/>
          <w:color w:val="auto"/>
        </w:rPr>
      </w:pPr>
    </w:p>
    <w:p>
      <w:pPr>
        <w:ind w:right="300" w:firstLine="434"/>
        <w:spacing w:after="0" w:line="235" w:lineRule="auto"/>
        <w:rPr>
          <w:sz w:val="20"/>
          <w:szCs w:val="20"/>
          <w:color w:val="auto"/>
        </w:rPr>
      </w:pPr>
      <w:r>
        <w:rPr>
          <w:rFonts w:ascii="Arial" w:cs="Arial" w:eastAsia="Arial" w:hAnsi="Arial"/>
          <w:sz w:val="15"/>
          <w:szCs w:val="15"/>
          <w:color w:val="auto"/>
        </w:rPr>
        <w:t>The expected synergies and operating efficiencies of the acquisitions may not be fully realized, which could result in increased costs and have a material adverse effect on our business, financial condition and results of operations. In addition, the overall integration of the businesses may result in material unanticipated problems, expenses, liabilities, competitive responses, loss of customer relationships and diversion of management’s attention, among other potential adverse consequences. The risks of combining our operations of the businesses include, among others:</w:t>
      </w:r>
    </w:p>
    <w:p>
      <w:pPr>
        <w:spacing w:after="0" w:line="167" w:lineRule="exact"/>
        <w:rPr>
          <w:sz w:val="20"/>
          <w:szCs w:val="20"/>
          <w:color w:val="auto"/>
        </w:rPr>
      </w:pPr>
    </w:p>
    <w:p>
      <w:pPr>
        <w:ind w:left="1300" w:hanging="427"/>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may have underestimated the costs to integrate the information systems of acquired companies with ours;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may face difficulties in integrating employees, integrating different corporate cultures and in attracting and retaining key personnel;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we may face challenges in keeping existing contracts and customers.</w:t>
      </w:r>
    </w:p>
    <w:p>
      <w:pPr>
        <w:spacing w:after="0" w:line="182" w:lineRule="exact"/>
        <w:rPr>
          <w:sz w:val="20"/>
          <w:szCs w:val="20"/>
          <w:color w:val="auto"/>
        </w:rPr>
      </w:pPr>
    </w:p>
    <w:p>
      <w:pPr>
        <w:ind w:right="20" w:firstLine="434"/>
        <w:spacing w:after="0" w:line="235" w:lineRule="auto"/>
        <w:rPr>
          <w:sz w:val="20"/>
          <w:szCs w:val="20"/>
          <w:color w:val="auto"/>
        </w:rPr>
      </w:pPr>
      <w:r>
        <w:rPr>
          <w:rFonts w:ascii="Arial" w:cs="Arial" w:eastAsia="Arial" w:hAnsi="Arial"/>
          <w:sz w:val="15"/>
          <w:szCs w:val="15"/>
          <w:color w:val="auto"/>
        </w:rPr>
        <w:t>Many of these risks will be outside of our control and any one of them could result in increased costs, decreases in the amount of expected revenue, and diversion of our management’s time and energy, which could have a material adverse effect on our business, financial condition and results of operations. In addition, even if our operations are integrated successfully, we may not realize the full benefits of the acquisitions, including the synergies, operating efficiencies, or sales or growth opportunities that are expected. These benefits may not be achieved within the anticipated time frame or at all.</w:t>
      </w:r>
    </w:p>
    <w:p>
      <w:pPr>
        <w:spacing w:after="0" w:line="149"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b w:val="1"/>
          <w:bCs w:val="1"/>
          <w:i w:val="1"/>
          <w:iCs w:val="1"/>
          <w:color w:val="auto"/>
        </w:rPr>
        <w:t>We depend on our teaming arrangements and relationships with other contractors and subcontractors. If we are not able to maintain these relationships, of if these parties fail to satisfy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34" w:name="page35"/>
    <w:bookmarkEnd w:id="34"/>
    <w:p>
      <w:pPr>
        <w:spacing w:after="0"/>
        <w:rPr>
          <w:sz w:val="20"/>
          <w:szCs w:val="20"/>
          <w:color w:val="auto"/>
        </w:rPr>
      </w:pPr>
      <w:r>
        <w:rPr>
          <w:rFonts w:ascii="Arial" w:cs="Arial" w:eastAsia="Arial" w:hAnsi="Arial"/>
          <w:sz w:val="15"/>
          <w:szCs w:val="15"/>
          <w:b w:val="1"/>
          <w:bCs w:val="1"/>
          <w:i w:val="1"/>
          <w:iCs w:val="1"/>
          <w:color w:val="auto"/>
        </w:rPr>
        <w:t>their obligations to us or the customer, our revenues, profitability and growth prospects could be adversely affected.</w:t>
      </w:r>
    </w:p>
    <w:p>
      <w:pPr>
        <w:spacing w:after="0" w:line="189" w:lineRule="exact"/>
        <w:rPr>
          <w:sz w:val="20"/>
          <w:szCs w:val="20"/>
          <w:color w:val="auto"/>
        </w:rPr>
      </w:pPr>
    </w:p>
    <w:p>
      <w:pPr>
        <w:ind w:right="60" w:firstLine="246"/>
        <w:spacing w:after="0" w:line="252" w:lineRule="auto"/>
        <w:rPr>
          <w:sz w:val="20"/>
          <w:szCs w:val="20"/>
          <w:color w:val="auto"/>
        </w:rPr>
      </w:pPr>
      <w:r>
        <w:rPr>
          <w:rFonts w:ascii="Arial" w:cs="Arial" w:eastAsia="Arial" w:hAnsi="Arial"/>
          <w:sz w:val="14"/>
          <w:szCs w:val="14"/>
          <w:color w:val="auto"/>
        </w:rPr>
        <w:t>We rely on teaming relationships with other prime contractors and subcontractors in order to submit bids for large procurements or other opportunities where we believe the combination of services, products, and solutions provided by us and our teammates will help us to win and perform the contract. Our future revenues and growth prospects could be adversely affected if the other contractors eliminate or reduce their contract relationships with us, of if our government clients terminate or reduce these other contractors’ programs, do not award them new contracts or refuse to pay under a contract. Companies that do not have access to government contracts or experience with our customers may perform services as our subcontractor that we cannot otherwise provide ourselves, and that exposure could enhance such companies’ prospects of securing a future position as a prime government contractor which could increase competition for future contracts and impair our ability to win these contracts.</w:t>
      </w:r>
    </w:p>
    <w:p>
      <w:pPr>
        <w:spacing w:after="0" w:line="160" w:lineRule="exact"/>
        <w:rPr>
          <w:sz w:val="20"/>
          <w:szCs w:val="20"/>
          <w:color w:val="auto"/>
        </w:rPr>
      </w:pPr>
    </w:p>
    <w:p>
      <w:pPr>
        <w:ind w:firstLine="246"/>
        <w:spacing w:after="0" w:line="235" w:lineRule="auto"/>
        <w:rPr>
          <w:sz w:val="20"/>
          <w:szCs w:val="20"/>
          <w:color w:val="auto"/>
        </w:rPr>
      </w:pPr>
      <w:r>
        <w:rPr>
          <w:rFonts w:ascii="Arial" w:cs="Arial" w:eastAsia="Arial" w:hAnsi="Arial"/>
          <w:sz w:val="15"/>
          <w:szCs w:val="15"/>
          <w:color w:val="auto"/>
        </w:rPr>
        <w:t>Whenever our subcontractors fail to timely meet their contractual obligations, have regulatory compliance or other problems, our ability to fulfill our obligations as a prime contractor or higher tier subcontractor may be jeopardized. Subcontractor performance deficiencies under subcontracts with us as the prime contractor could lead to significant losses in future periods and could result in our termination for default as the prime contractor even though it was the subcontractor that failed to perform and not our personnel.</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Risks Related to Estimates and Accounting</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b w:val="1"/>
          <w:bCs w:val="1"/>
          <w:i w:val="1"/>
          <w:iCs w:val="1"/>
          <w:color w:val="auto"/>
        </w:rPr>
        <w:t>Our earnings and profitability may vary based on the mix of our contracts and may be adversely affected by our failure to accurately estimate and manage costs, time and resources.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generate revenue under various types of contracts, which include time-and-materials, cost-plus and fixed-price contracts. Our earnings and profitability may vary materially depending on changes in the proportionate amount of revenues derived from each type of contract, the nature of services or solutions provided, as well as the achievement of performance objectives and the stage of performance at which the right to receive fees, particularly under incentive fee contracts, is finally determined. Cost-plus and time-and-materials contracts generally have lower profitability than fixed-price contracts. To varying degrees, each of our contract types involves some risk that we could underestimate the costs and resources necessary to fulfill the contract. Our profitability is adversely affected when we incur costs on cost-plus and time-and-materials contracts that we cannot bill to our customers. While fixed-price contracts allow us to benefit from cost savings, these contracts also increase our exposure to the risk of cost overruns.</w:t>
      </w:r>
    </w:p>
    <w:p>
      <w:pPr>
        <w:spacing w:after="0" w:line="169"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Revenue derived from fixed-price contracts represented 32% of our total revenue during fiscal 2020, 30% of our total revenue during fiscal 2019, and 32% of our total revenue during fiscal 2018. When making proposals on fixed-price contracts, we rely heavily on our estimates of costs, scope and timing for completing the associated projects, as well as assumptions regarding technical issues. In particular, contracts in our Critical Infrastructure segment are often won in a hard-bid process, in which clients primarily select the lowest price from a qualified bidder with the understanding that they will not pay above the bid amount, even if we perform work beyond the initial scope of our contract. In each case, our failure to accurately estimate costs, scope or the resources and technology needed to perform our contracts or to effectively manage and control our costs during the performance of work could result, and in some instances has resulted, in reduced profits or in losses. More generally, any increased or unexpected costs or unanticipated delays in connection with the performance of our contracts, including costs and delays caused by contractual disputes or other factors outside of our control, such as performance failures of our subcontractors, natural disasters or other force majeure events, could make our contracts less profitable than expected or unprofitable.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75" w:right="339" w:bottom="1440" w:gutter="0" w:footer="0" w:header="0"/>
        </w:sectPr>
      </w:pPr>
    </w:p>
    <w:bookmarkStart w:id="35" w:name="page36"/>
    <w:bookmarkEnd w:id="35"/>
    <w:p>
      <w:pPr>
        <w:spacing w:after="0"/>
        <w:rPr>
          <w:sz w:val="20"/>
          <w:szCs w:val="20"/>
          <w:color w:val="auto"/>
        </w:rPr>
      </w:pPr>
      <w:r>
        <w:rPr>
          <w:rFonts w:ascii="Arial" w:cs="Arial" w:eastAsia="Arial" w:hAnsi="Arial"/>
          <w:sz w:val="15"/>
          <w:szCs w:val="15"/>
          <w:b w:val="1"/>
          <w:bCs w:val="1"/>
          <w:i w:val="1"/>
          <w:iCs w:val="1"/>
          <w:color w:val="auto"/>
        </w:rPr>
        <w:t>We use estimates in recognizing revenues and, if we make changes to estimates used in recognizing revenues, our profitability may be adversely affected.</w:t>
      </w:r>
    </w:p>
    <w:p>
      <w:pPr>
        <w:spacing w:after="0" w:line="189" w:lineRule="exact"/>
        <w:rPr>
          <w:sz w:val="20"/>
          <w:szCs w:val="20"/>
          <w:color w:val="auto"/>
        </w:rPr>
      </w:pPr>
    </w:p>
    <w:p>
      <w:pPr>
        <w:ind w:right="100" w:firstLine="434"/>
        <w:spacing w:after="0" w:line="233" w:lineRule="auto"/>
        <w:rPr>
          <w:sz w:val="20"/>
          <w:szCs w:val="20"/>
          <w:color w:val="auto"/>
        </w:rPr>
      </w:pPr>
      <w:r>
        <w:rPr>
          <w:rFonts w:ascii="Arial" w:cs="Arial" w:eastAsia="Arial" w:hAnsi="Arial"/>
          <w:sz w:val="15"/>
          <w:szCs w:val="15"/>
          <w:color w:val="auto"/>
        </w:rPr>
        <w:t>A significant portion of our contract revenues are recognized using the cost-to-cost measure of progress method. This method requires estimates of total costs at completion or measurement of progress towards completion. Particularly due to the technical nature of the services being performed and the length of the contracts, this estimation process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immediately. Changes in the underlying assumptions, circumstances or estimates could result in adjustments that may adversely affect our financial results of operations.</w:t>
      </w:r>
    </w:p>
    <w:p>
      <w:pPr>
        <w:spacing w:after="0" w:line="152"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b w:val="1"/>
          <w:bCs w:val="1"/>
          <w:i w:val="1"/>
          <w:iCs w:val="1"/>
          <w:color w:val="auto"/>
        </w:rPr>
        <w:t>Goodwill and intangible assets represent a significant amount of our total assets and any impairment of these assets would negatively impact our results of operations.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As of December 31, 2020, we had goodwill and intangible assets of $1.5 billion. Goodwill is tested for impairment annually, or more often if indicators of potential impairment exist, and intangible assets are tested for impairment whenever events or changes in circumstances indicate that the carrying value may not be recoverable. Examples of events or changes in circumstances indicating that the carrying value of goodwill may not be recoverable could include a significant adverse change in legal factors or in the business climate, an adverse action or assessment by a regulator, unanticipated competition, loss of key contracts, customer relationships, or personnel that affect current and future operating cash flows of the reporting unit. Any future impairment of goodwill or other intangible assets would have a negative impact on our profitability and financial results.</w:t>
      </w:r>
    </w:p>
    <w:p>
      <w:pPr>
        <w:spacing w:after="0" w:line="152"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Risks Related to Technology Systems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150"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We develop, integrate, maintain, or otherwise support systems and provide services that include managing and protecting information involved in intelligence, national security and other sensitive or classified government functions. Our systems also store and process sensitive information for commercial clients.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government or commercial clients. Work for non-government and commercial clients involving the protection of information systems or that store clients’ information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business, financial condition and results of operations.</w:t>
      </w:r>
    </w:p>
    <w:p>
      <w:pPr>
        <w:spacing w:after="0" w:line="151"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Services we provide and technologies we develop are designed to detect and monitor threats to our clients, the failure of which may lead to reputational harm or liability against us by our clients or third parties and may subject our staff to potential threats, risk of loss or harm.</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help our clients detect, monitor and mitigate threats to their people, information and facilities. These threats may originate from nation states, terrorist or criminal actors, activist hackers or others who seek to harm our clients. There are many factors, some of which are beyond our control, which could result in the failure of our products to detect, monitor or mitigate these threats. Successful attacks on our clients may cause physical or reputational harm to us and our clients, as well as lead to liability claims against us by our clients or third parties, particularly if such attacks are a result of a failure or perceived failure of our services or technologies. In addition, as a result of our involvement with some clients or projects, our staff, information and facilities may be targeted by these or other threat actors and may be at risk for loss, or physical or reputational harm.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36" w:name="page37"/>
    <w:bookmarkEnd w:id="36"/>
    <w:p>
      <w:pPr>
        <w:ind w:right="20"/>
        <w:spacing w:after="0" w:line="247" w:lineRule="auto"/>
        <w:rPr>
          <w:sz w:val="20"/>
          <w:szCs w:val="20"/>
          <w:color w:val="auto"/>
        </w:rPr>
      </w:pPr>
      <w:r>
        <w:rPr>
          <w:rFonts w:ascii="Arial" w:cs="Arial" w:eastAsia="Arial" w:hAnsi="Arial"/>
          <w:sz w:val="15"/>
          <w:szCs w:val="15"/>
          <w:b w:val="1"/>
          <w:bCs w:val="1"/>
          <w:i w:val="1"/>
          <w:iCs w:val="1"/>
          <w:color w:val="auto"/>
        </w:rPr>
        <w:t>Internal system or service failures affecting us or our vendors, including as a result of cyber or other security threats, could disrupt our business and impair our ability to effectively provide our services to our clients, which could damage our reputation and have a material adverse effect on our business, financial condition and results of operations.</w:t>
      </w:r>
    </w:p>
    <w:p>
      <w:pPr>
        <w:spacing w:after="0" w:line="161" w:lineRule="exact"/>
        <w:rPr>
          <w:sz w:val="20"/>
          <w:szCs w:val="20"/>
          <w:color w:val="auto"/>
        </w:rPr>
      </w:pPr>
    </w:p>
    <w:p>
      <w:pPr>
        <w:ind w:firstLine="434"/>
        <w:spacing w:after="0" w:line="249" w:lineRule="auto"/>
        <w:rPr>
          <w:sz w:val="20"/>
          <w:szCs w:val="20"/>
          <w:color w:val="auto"/>
        </w:rPr>
      </w:pPr>
      <w:r>
        <w:rPr>
          <w:rFonts w:ascii="Arial" w:cs="Arial" w:eastAsia="Arial" w:hAnsi="Arial"/>
          <w:sz w:val="14"/>
          <w:szCs w:val="14"/>
          <w:color w:val="auto"/>
        </w:rPr>
        <w:t>We create, implement, and maintain information technology and engineering systems and also use vendors to provide services that are often critical to our clients’ operations, some of which involve sensitive information and may be conducted in war zones or other hazardous environments, or include information whose confidentiality is protected by law. As a result, we may be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and malware,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controlled unclassified and other sensitive information. As a result, we and our vendors face a heightened risk of a security breach or disruption resulting from an attack by computer hackers, foreign governments, and cyber terrorists. While we put in place policies, controls and technologies to help detect and protect against such attacks, we cannot guarantee that future incidents will not occur, and if an incident does occur, we may not be able to successfully mitigate the impact. We have been the target of these types of attacks in the past and future attacks are likely to occur. If successful, these types of attacks on our network or other systems or service failures could have a material adverse effect on our business, financial condition and results of operations, due to, among other things, the loss of client or proprietary data, interruptions or delays in our clients’ businesses and damage to our reputation. In addition, the failure or disruption of our systems, communications, vendors, or utilities could cause us to interrupt or suspend our operations, which could have a material adverse effect on our business, financial condition and results of operations. In addition, if our employees inadvertently do not adhere to appropriate information security protocols, our protocols are inadequate, or our employees intentionally avoid these protocols, our or our clients’ sensitive information may be released thereby causing significant negative impacts to our reputation and exposing us or our clients to liability.</w:t>
      </w:r>
    </w:p>
    <w:p>
      <w:pPr>
        <w:spacing w:after="0" w:line="165" w:lineRule="exact"/>
        <w:rPr>
          <w:sz w:val="20"/>
          <w:szCs w:val="20"/>
          <w:color w:val="auto"/>
        </w:rPr>
      </w:pPr>
    </w:p>
    <w:p>
      <w:pPr>
        <w:ind w:right="240" w:firstLine="434"/>
        <w:spacing w:after="0" w:line="239" w:lineRule="auto"/>
        <w:rPr>
          <w:sz w:val="20"/>
          <w:szCs w:val="20"/>
          <w:color w:val="auto"/>
        </w:rPr>
      </w:pPr>
      <w:r>
        <w:rPr>
          <w:rFonts w:ascii="Arial" w:cs="Arial" w:eastAsia="Arial" w:hAnsi="Arial"/>
          <w:sz w:val="15"/>
          <w:szCs w:val="15"/>
          <w:color w:val="auto"/>
        </w:rPr>
        <w:t>If our or our vendors’ systems, services or other applications have significant defects or errors, are successfully attacked by cyber and other security threats, suffer delivery delays or otherwise fail to meet our clients’ expectations, we may:</w:t>
      </w:r>
    </w:p>
    <w:p>
      <w:pPr>
        <w:spacing w:after="0" w:line="166" w:lineRule="exact"/>
        <w:rPr>
          <w:sz w:val="20"/>
          <w:szCs w:val="20"/>
          <w:color w:val="auto"/>
        </w:rPr>
      </w:pPr>
    </w:p>
    <w:p>
      <w:pPr>
        <w:ind w:left="880" w:hanging="439"/>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lose revenue due to adverse client reaction;</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be required to provide additional services to a client at no charge;</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incur additional costs related to remediation, monitoring and increasing our cybersecurity;</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lose revenue due to the deployment of internal staff for remediation efforts instead of client assignments;</w:t>
      </w:r>
    </w:p>
    <w:p>
      <w:pPr>
        <w:spacing w:after="0" w:line="182" w:lineRule="exact"/>
        <w:rPr>
          <w:rFonts w:ascii="Arial" w:cs="Arial" w:eastAsia="Arial" w:hAnsi="Arial"/>
          <w:sz w:val="15"/>
          <w:szCs w:val="15"/>
          <w:color w:val="auto"/>
        </w:rPr>
      </w:pPr>
    </w:p>
    <w:p>
      <w:pPr>
        <w:ind w:left="880" w:hanging="439"/>
        <w:spacing w:after="0"/>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receive negative publicity, which could damage our reputation and adversely affect our ability to attract or retain clients;</w:t>
      </w:r>
    </w:p>
    <w:p>
      <w:pPr>
        <w:spacing w:after="0" w:line="182" w:lineRule="exact"/>
        <w:rPr>
          <w:rFonts w:ascii="Arial" w:cs="Arial" w:eastAsia="Arial" w:hAnsi="Arial"/>
          <w:sz w:val="15"/>
          <w:szCs w:val="15"/>
          <w:color w:val="auto"/>
        </w:rPr>
      </w:pPr>
    </w:p>
    <w:p>
      <w:pPr>
        <w:ind w:left="880" w:right="560" w:hanging="439"/>
        <w:spacing w:after="0" w:line="239" w:lineRule="auto"/>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be unable to successfully market services that are reliant on the creation and maintaining of secure information technology systems to government and commercial clients;</w:t>
      </w:r>
    </w:p>
    <w:p>
      <w:pPr>
        <w:spacing w:after="0" w:line="166" w:lineRule="exact"/>
        <w:rPr>
          <w:rFonts w:ascii="Arial" w:cs="Arial" w:eastAsia="Arial" w:hAnsi="Arial"/>
          <w:sz w:val="15"/>
          <w:szCs w:val="15"/>
          <w:color w:val="auto"/>
        </w:rPr>
      </w:pPr>
    </w:p>
    <w:p>
      <w:pPr>
        <w:ind w:left="880" w:right="20" w:hanging="439"/>
        <w:spacing w:after="0" w:line="239" w:lineRule="auto"/>
        <w:tabs>
          <w:tab w:leader="none" w:pos="88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suffer claims by clients or impacted third parties for substantial damages, particularly as a result of any successful network or systems breach and exfiltration of client and/or third-party information; or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75" w:right="319" w:bottom="1440" w:gutter="0" w:footer="0" w:header="0"/>
        </w:sectPr>
      </w:pPr>
    </w:p>
    <w:bookmarkStart w:id="37" w:name="page38"/>
    <w:bookmarkEnd w:id="37"/>
    <w:p>
      <w:pPr>
        <w:ind w:left="880" w:right="380" w:hanging="439"/>
        <w:spacing w:after="0" w:line="239" w:lineRule="auto"/>
        <w:tabs>
          <w:tab w:leader="none" w:pos="8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incur significant costs, including fines from government regulators related to complying with applicable federal or state law, including laws pertaining to the security and protection of personal information.</w:t>
      </w:r>
    </w:p>
    <w:p>
      <w:pPr>
        <w:spacing w:after="0" w:line="166" w:lineRule="exact"/>
        <w:rPr>
          <w:sz w:val="20"/>
          <w:szCs w:val="20"/>
          <w:color w:val="auto"/>
        </w:rPr>
      </w:pPr>
    </w:p>
    <w:p>
      <w:pPr>
        <w:jc w:val="both"/>
        <w:ind w:right="120" w:firstLine="434"/>
        <w:spacing w:after="0" w:line="239" w:lineRule="auto"/>
        <w:rPr>
          <w:sz w:val="20"/>
          <w:szCs w:val="20"/>
          <w:color w:val="auto"/>
        </w:rPr>
      </w:pPr>
      <w:r>
        <w:rPr>
          <w:rFonts w:ascii="Arial" w:cs="Arial" w:eastAsia="Arial" w:hAnsi="Arial"/>
          <w:sz w:val="15"/>
          <w:szCs w:val="15"/>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166" w:lineRule="exact"/>
        <w:rPr>
          <w:sz w:val="20"/>
          <w:szCs w:val="20"/>
          <w:color w:val="auto"/>
        </w:rPr>
      </w:pPr>
    </w:p>
    <w:p>
      <w:pPr>
        <w:jc w:val="both"/>
        <w:ind w:right="120" w:firstLine="434"/>
        <w:spacing w:after="0" w:line="247" w:lineRule="auto"/>
        <w:rPr>
          <w:sz w:val="20"/>
          <w:szCs w:val="20"/>
          <w:color w:val="auto"/>
        </w:rPr>
      </w:pPr>
      <w:r>
        <w:rPr>
          <w:rFonts w:ascii="Arial" w:cs="Arial" w:eastAsia="Arial" w:hAnsi="Arial"/>
          <w:sz w:val="14"/>
          <w:szCs w:val="14"/>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We may not be able to obtain and maintain insurance coverage on reasonable terms or in sufficient amounts to cover one or more large claims, or the insurer may disclaim coverage as to some types of future claims. The successful assertion of any large claim against us could seriously harm our business.</w:t>
      </w:r>
    </w:p>
    <w:p>
      <w:pPr>
        <w:spacing w:after="0" w:line="2"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Even if not successful, these claims could result in significant legal and other costs, may be a distraction to our management, and may harm our client relationships. In some new business areas, we may not be able to obtain sufficient insurance and may decide not to accept or solicit business in these areas.</w:t>
      </w:r>
    </w:p>
    <w:p>
      <w:pPr>
        <w:spacing w:after="0" w:line="166" w:lineRule="exact"/>
        <w:rPr>
          <w:sz w:val="20"/>
          <w:szCs w:val="20"/>
          <w:color w:val="auto"/>
        </w:rPr>
      </w:pPr>
    </w:p>
    <w:p>
      <w:pPr>
        <w:ind w:right="240" w:firstLine="434"/>
        <w:spacing w:after="0" w:line="234" w:lineRule="auto"/>
        <w:rPr>
          <w:sz w:val="20"/>
          <w:szCs w:val="20"/>
          <w:color w:val="auto"/>
        </w:rPr>
      </w:pPr>
      <w:r>
        <w:rPr>
          <w:rFonts w:ascii="Arial" w:cs="Arial" w:eastAsia="Arial" w:hAnsi="Arial"/>
          <w:sz w:val="15"/>
          <w:szCs w:val="15"/>
          <w:color w:val="auto"/>
        </w:rPr>
        <w:t>As a contractor supporting defense and national security clients, we are also subject to regulatory compliance requirements under the Defense Federal Acquisition Regulation Supplement and other federal regulations requiring that our networks and information technology systems comply with the security and privacy controls in National Institute of Standards and Technology Special Publications. To the extent that we do not comply with the applicable security and control requirements, whether imposed by regulation or contract, unauthorized access or disclosure of sensitive information could potentially result in a contract termination that has a material adverse effect on our business, financial condition and results of operations and reputational harm.</w:t>
      </w:r>
    </w:p>
    <w:p>
      <w:pPr>
        <w:spacing w:after="0" w:line="15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 Related to Legal Matters and Insurance</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5"/>
          <w:szCs w:val="15"/>
          <w:b w:val="1"/>
          <w:bCs w:val="1"/>
          <w:i w:val="1"/>
          <w:iCs w:val="1"/>
          <w:color w:val="auto"/>
        </w:rPr>
        <w:t>Unavailability or cancellation of third-party insurance coverage would increase our overall risk exposure as well as disrupt the management of our business operations.</w:t>
      </w:r>
    </w:p>
    <w:p>
      <w:pPr>
        <w:spacing w:after="0" w:line="150" w:lineRule="exact"/>
        <w:rPr>
          <w:sz w:val="20"/>
          <w:szCs w:val="20"/>
          <w:color w:val="auto"/>
        </w:rPr>
      </w:pPr>
    </w:p>
    <w:p>
      <w:pPr>
        <w:ind w:firstLine="434"/>
        <w:spacing w:after="0" w:line="234" w:lineRule="auto"/>
        <w:rPr>
          <w:sz w:val="20"/>
          <w:szCs w:val="20"/>
          <w:color w:val="auto"/>
        </w:rPr>
      </w:pPr>
      <w:r>
        <w:rPr>
          <w:rFonts w:ascii="Arial" w:cs="Arial" w:eastAsia="Arial" w:hAnsi="Arial"/>
          <w:sz w:val="15"/>
          <w:szCs w:val="15"/>
          <w:color w:val="auto"/>
        </w:rPr>
        <w:t>We maintain insurance coverage from third-party insurers as part of our overall risk management strategy and because some of our contracts require us to maintain specific insurance coverage limits. If any of our third-party insurers fail, suddenly cancel our coverage or otherwise are unable to provide us with adequate insurance coverage, then our overall risk exposure and our operational expenses would increase, and the management of our business operations would be disrupted. In addition, there can be no assurance that any of our existing insurance coverage will be renewable upon the expiration of the coverage period or that future coverage will be affordable at the required limits.</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Adverse judgments or settlements in legal disputes could result in materially adverse monetary damages or injunctive relief and damage our reputation.</w:t>
      </w:r>
    </w:p>
    <w:p>
      <w:pPr>
        <w:spacing w:after="0" w:line="189" w:lineRule="exact"/>
        <w:rPr>
          <w:sz w:val="20"/>
          <w:szCs w:val="20"/>
          <w:color w:val="auto"/>
        </w:rPr>
      </w:pPr>
    </w:p>
    <w:p>
      <w:pPr>
        <w:ind w:right="40" w:firstLine="434"/>
        <w:spacing w:after="0" w:line="236" w:lineRule="auto"/>
        <w:rPr>
          <w:sz w:val="20"/>
          <w:szCs w:val="20"/>
          <w:color w:val="auto"/>
        </w:rPr>
      </w:pPr>
      <w:r>
        <w:rPr>
          <w:rFonts w:ascii="Arial" w:cs="Arial" w:eastAsia="Arial" w:hAnsi="Arial"/>
          <w:sz w:val="15"/>
          <w:szCs w:val="15"/>
          <w:color w:val="auto"/>
        </w:rPr>
        <w:t>We are subject to, and may become a party to, a variety of litigation or other claims and suits that arise from time to time in the ordinary course of our business. For example, 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w:t>
      </w:r>
    </w:p>
    <w:p>
      <w:pPr>
        <w:spacing w:after="0" w:line="167" w:lineRule="exact"/>
        <w:rPr>
          <w:sz w:val="20"/>
          <w:szCs w:val="20"/>
          <w:color w:val="auto"/>
        </w:rPr>
      </w:pPr>
    </w:p>
    <w:p>
      <w:pPr>
        <w:ind w:right="60" w:firstLine="434"/>
        <w:spacing w:after="0" w:line="260" w:lineRule="auto"/>
        <w:rPr>
          <w:sz w:val="20"/>
          <w:szCs w:val="20"/>
          <w:color w:val="auto"/>
        </w:rPr>
      </w:pPr>
      <w:r>
        <w:rPr>
          <w:rFonts w:ascii="Arial" w:cs="Arial" w:eastAsia="Arial" w:hAnsi="Arial"/>
          <w:sz w:val="14"/>
          <w:szCs w:val="14"/>
          <w:color w:val="auto"/>
        </w:rPr>
        <w:t>The results of litigation and other legal proceedings, including the claims described under “Business—Legal Proceedings”, are inherently uncertain and adverse judgments or settlements in some or all of these legal disputes may result in materially adverse monetary damages or injunctive relief against us. Additionally, our insurance policies may not protect us against potential liability due to various exclusions in the policies and self-insured retention amounts. Partially or completely uninsured claims, if</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38" w:name="page39"/>
    <w:bookmarkEnd w:id="38"/>
    <w:p>
      <w:pPr>
        <w:ind w:right="380"/>
        <w:spacing w:after="0" w:line="272" w:lineRule="auto"/>
        <w:rPr>
          <w:sz w:val="20"/>
          <w:szCs w:val="20"/>
          <w:color w:val="auto"/>
        </w:rPr>
      </w:pPr>
      <w:r>
        <w:rPr>
          <w:rFonts w:ascii="Arial" w:cs="Arial" w:eastAsia="Arial" w:hAnsi="Arial"/>
          <w:sz w:val="14"/>
          <w:szCs w:val="14"/>
          <w:color w:val="auto"/>
        </w:rPr>
        <w:t>successful and of significant magnitude, could have a material adverse effect on our business, financial condition and results of operations. Furthermore, any claims or litigation, even if fully indemnified or insured, could damage our reputation and make it more difficult to compete effectively or obtain adequate insurance in the future.</w:t>
      </w:r>
    </w:p>
    <w:p>
      <w:pPr>
        <w:spacing w:after="0" w:line="127" w:lineRule="exact"/>
        <w:rPr>
          <w:sz w:val="20"/>
          <w:szCs w:val="20"/>
          <w:color w:val="auto"/>
        </w:rPr>
      </w:pPr>
    </w:p>
    <w:p>
      <w:pPr>
        <w:ind w:right="700"/>
        <w:spacing w:after="0" w:line="263" w:lineRule="auto"/>
        <w:rPr>
          <w:sz w:val="20"/>
          <w:szCs w:val="20"/>
          <w:color w:val="auto"/>
        </w:rPr>
      </w:pPr>
      <w:r>
        <w:rPr>
          <w:rFonts w:ascii="Arial" w:cs="Arial" w:eastAsia="Arial" w:hAnsi="Arial"/>
          <w:sz w:val="15"/>
          <w:szCs w:val="15"/>
          <w:b w:val="1"/>
          <w:bCs w:val="1"/>
          <w:i w:val="1"/>
          <w:iCs w:val="1"/>
          <w:color w:val="auto"/>
        </w:rPr>
        <w:t>Our business is subject to numerous legal and regulatory requirements and any violation of these requirements or any misconduct by our employees, subcontractors, agents or business partners could harm our business and reputation.</w:t>
      </w:r>
    </w:p>
    <w:p>
      <w:pPr>
        <w:spacing w:after="0" w:line="150" w:lineRule="exact"/>
        <w:rPr>
          <w:sz w:val="20"/>
          <w:szCs w:val="20"/>
          <w:color w:val="auto"/>
        </w:rPr>
      </w:pPr>
    </w:p>
    <w:p>
      <w:pPr>
        <w:ind w:right="140" w:firstLine="434"/>
        <w:spacing w:after="0" w:line="233" w:lineRule="auto"/>
        <w:rPr>
          <w:sz w:val="20"/>
          <w:szCs w:val="20"/>
          <w:color w:val="auto"/>
        </w:rPr>
      </w:pPr>
      <w:r>
        <w:rPr>
          <w:rFonts w:ascii="Arial" w:cs="Arial" w:eastAsia="Arial" w:hAnsi="Arial"/>
          <w:sz w:val="15"/>
          <w:szCs w:val="15"/>
          <w:color w:val="auto"/>
        </w:rPr>
        <w:t>In addition to government contract procurement laws and regulations, we are subject to numerous other federal, state and foreign legal requirements on matters as diverse as data privacy and protection, employment and labor relations, immigration, taxation, anti-corruption, import/export controls, trade restrictions, internal and disclosure control obligations, securities regulation and anti-competition. Compliance with diverse and changing legal requirements is costly, time-consuming and requires significant resources. Violations of one or more of these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reputational damage, restrictions on our ability to compete for work and allegations by our customers that we have not performed our contractual obligations.</w:t>
      </w:r>
    </w:p>
    <w:p>
      <w:pPr>
        <w:spacing w:after="0" w:line="168"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Misconduct by our employees, subcontractors, agents or business partners could subject us to fines and penalties, restitution or other damages, loss of security clearance, loss of current and future customer contracts and suspension or debarment from contracting with federal, state or local government agencies, any of which could adversely affect our business, financial condition and results of operations. Such misconduct could include fraud or other improper activities such as falsifying time or other records, failure to comply with our policies and procedures or violations of applicable laws and regulations.</w:t>
      </w:r>
    </w:p>
    <w:p>
      <w:pPr>
        <w:spacing w:after="0" w:line="149" w:lineRule="exact"/>
        <w:rPr>
          <w:sz w:val="20"/>
          <w:szCs w:val="20"/>
          <w:color w:val="auto"/>
        </w:rPr>
      </w:pPr>
    </w:p>
    <w:p>
      <w:pPr>
        <w:ind w:right="180"/>
        <w:spacing w:after="0" w:line="263" w:lineRule="auto"/>
        <w:rPr>
          <w:sz w:val="20"/>
          <w:szCs w:val="20"/>
          <w:color w:val="auto"/>
        </w:rPr>
      </w:pPr>
      <w:r>
        <w:rPr>
          <w:rFonts w:ascii="Arial" w:cs="Arial" w:eastAsia="Arial" w:hAnsi="Arial"/>
          <w:sz w:val="15"/>
          <w:szCs w:val="15"/>
          <w:b w:val="1"/>
          <w:bCs w:val="1"/>
          <w:i w:val="1"/>
          <w:iCs w:val="1"/>
          <w:color w:val="auto"/>
        </w:rPr>
        <w:t>Our services and operations sometimes involve handling or disposing of hazardous substances or dangerous materials, and we are subject to environmental requirements and risks which could result in significant costs, liabilities and obligations.</w:t>
      </w:r>
    </w:p>
    <w:p>
      <w:pPr>
        <w:spacing w:after="0" w:line="150"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Our operations are subject to stringent and complex federal, state and local laws and regulations governing the discharge of materials into the environment, the health and safety aspects of our operations, or otherwise relating to environmental protection. Some of our services and operations involve the handling or disposal of hazardous substances or dangerous materials, including explosive, chemical, biological, radiological or nuclear materials. These activities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or dangerous materials. Numerous governmental authorities, such as the U.S. Environmental Protection Agency, or the EPA, and analogous state agencies, have the power to enforce compliance with these laws and regulations and the permits issued under them. Such enforcement actions often involve difficult and costly compliance measures or corrective actions. Furthermore, failure to comply with these environmental protection and health and safety laws and regulations could result in civil, criminal, regulatory, administrative or contractual sanctions, including fines, penalties or suspension or debarment from contracting with the U.S. government, and could also result in investigations, the imposition of corrective action or remedial obligations, and the issuance of orders limiting or prohibiting some or all of our operations. In certain instances, citizen groups also have the ability to bring legal proceedings against us if we are not in compliance with environmental laws. In addition, claims for damages to persons or property, including natural resources, may result from the environmental, health and safety impacts of our operations. We, like other businesses, can never completely eliminate the risk of contamination or injury from certain materials that we use in our business. If we have any violations of, or incur liabilities pursuant to, these laws or regulations, it may result in a material adverse effect on our business, financial condition or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39" w:name="page40"/>
    <w:bookmarkEnd w:id="39"/>
    <w:p>
      <w:pPr>
        <w:ind w:right="80" w:firstLine="434"/>
        <w:spacing w:after="0" w:line="235" w:lineRule="auto"/>
        <w:rPr>
          <w:sz w:val="20"/>
          <w:szCs w:val="20"/>
          <w:color w:val="auto"/>
        </w:rPr>
      </w:pPr>
      <w:r>
        <w:rPr>
          <w:rFonts w:ascii="Arial" w:cs="Arial" w:eastAsia="Arial" w:hAnsi="Arial"/>
          <w:sz w:val="15"/>
          <w:szCs w:val="15"/>
          <w:color w:val="auto"/>
        </w:rPr>
        <w:t>Certain environmental laws impose strict liability (i.e., no showing of “fault” is required)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the consequences of our own actions that were in compliance with all applicable laws at the time those actions were taken.</w:t>
      </w:r>
    </w:p>
    <w:p>
      <w:pPr>
        <w:spacing w:after="0" w:line="167" w:lineRule="exact"/>
        <w:rPr>
          <w:sz w:val="20"/>
          <w:szCs w:val="20"/>
          <w:color w:val="auto"/>
        </w:rPr>
      </w:pPr>
    </w:p>
    <w:p>
      <w:pPr>
        <w:ind w:right="180" w:firstLine="434"/>
        <w:spacing w:after="0" w:line="272" w:lineRule="auto"/>
        <w:rPr>
          <w:sz w:val="20"/>
          <w:szCs w:val="20"/>
          <w:color w:val="auto"/>
        </w:rPr>
      </w:pPr>
      <w:r>
        <w:rPr>
          <w:rFonts w:ascii="Arial" w:cs="Arial" w:eastAsia="Arial" w:hAnsi="Arial"/>
          <w:sz w:val="14"/>
          <w:szCs w:val="14"/>
          <w:color w:val="auto"/>
        </w:rPr>
        <w:t>We have limited, and potentially insufficient, insurance coverage for expenses and losses that may arise in connection with environmental contamination. Finally, in connection with certain acquisitions, we could acquire, or be required to provide indemnification against, environmental liabilities that could expose us to material losses.</w:t>
      </w:r>
    </w:p>
    <w:p>
      <w:pPr>
        <w:spacing w:after="0" w:line="127" w:lineRule="exact"/>
        <w:rPr>
          <w:sz w:val="20"/>
          <w:szCs w:val="20"/>
          <w:color w:val="auto"/>
        </w:rPr>
      </w:pPr>
    </w:p>
    <w:p>
      <w:pPr>
        <w:ind w:right="580"/>
        <w:spacing w:after="0" w:line="263" w:lineRule="auto"/>
        <w:rPr>
          <w:sz w:val="20"/>
          <w:szCs w:val="20"/>
          <w:color w:val="auto"/>
        </w:rPr>
      </w:pPr>
      <w:r>
        <w:rPr>
          <w:rFonts w:ascii="Arial" w:cs="Arial" w:eastAsia="Arial" w:hAnsi="Arial"/>
          <w:sz w:val="15"/>
          <w:szCs w:val="15"/>
          <w:b w:val="1"/>
          <w:bCs w:val="1"/>
          <w:i w:val="1"/>
          <w:iCs w:val="1"/>
          <w:color w:val="auto"/>
        </w:rPr>
        <w:t>Our failure to meet contractual schedule requirements, meet a required performance standard, meet our internal contractual performance projections or otherwise perform adequately on a project could adversely affect our business, financial condition or results of operations.</w:t>
      </w:r>
    </w:p>
    <w:p>
      <w:pPr>
        <w:spacing w:after="0" w:line="150" w:lineRule="exact"/>
        <w:rPr>
          <w:sz w:val="20"/>
          <w:szCs w:val="20"/>
          <w:color w:val="auto"/>
        </w:rPr>
      </w:pPr>
    </w:p>
    <w:p>
      <w:pPr>
        <w:ind w:right="120" w:firstLine="434"/>
        <w:spacing w:after="0" w:line="233" w:lineRule="auto"/>
        <w:rPr>
          <w:sz w:val="20"/>
          <w:szCs w:val="20"/>
          <w:color w:val="auto"/>
        </w:rPr>
      </w:pPr>
      <w:r>
        <w:rPr>
          <w:rFonts w:ascii="Arial" w:cs="Arial" w:eastAsia="Arial" w:hAnsi="Arial"/>
          <w:sz w:val="15"/>
          <w:szCs w:val="15"/>
          <w:color w:val="auto"/>
        </w:rPr>
        <w:t>Under some of our contracts, we can incur liquidated or other damages if we do not achieve project completion by a scheduled date. In addition, our costs generally increase from schedule delays and/or could exceed our projections for a particular project. Project performance can be affected by a number of factors beyond our control, including unavoidable delays from governmental inaction, public opposition, inability to obtain financing, weather conditions, unavailability of vendor materials, changes in the project scope of services requested by our clients, industrial accidents, environmental hazards, labor disruptions and other factors. Any defects or errors, or failures to meet our clients’ expectations, in our projects or services could result in claims for damages against us and could adversely affect our reputation. Material performance problems for existing and future contracts could cause actual results of operations to differ from those anticipated by us and also could cause us to suffer damage to our reputation within our industries and client base.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to adequately protect, maintain, or enforce our rights in our intellectual property may adversely limit our competitive position.</w:t>
      </w:r>
    </w:p>
    <w:p>
      <w:pPr>
        <w:spacing w:after="0" w:line="189" w:lineRule="exact"/>
        <w:rPr>
          <w:sz w:val="20"/>
          <w:szCs w:val="20"/>
          <w:color w:val="auto"/>
        </w:rPr>
      </w:pPr>
    </w:p>
    <w:p>
      <w:pPr>
        <w:ind w:right="40" w:firstLine="434"/>
        <w:spacing w:after="0" w:line="252" w:lineRule="auto"/>
        <w:rPr>
          <w:sz w:val="20"/>
          <w:szCs w:val="20"/>
          <w:color w:val="auto"/>
        </w:rPr>
      </w:pPr>
      <w:r>
        <w:rPr>
          <w:rFonts w:ascii="Arial" w:cs="Arial" w:eastAsia="Arial" w:hAnsi="Arial"/>
          <w:sz w:val="14"/>
          <w:szCs w:val="14"/>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142"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b w:val="1"/>
          <w:bCs w:val="1"/>
          <w:i w:val="1"/>
          <w:iCs w:val="1"/>
          <w:color w:val="auto"/>
        </w:rPr>
        <w:t>Assertions by third parties of infringement, misappropriation or other violations by us of their intellectual property rights could result in significant costs and substantially harm our business, financial condition and operation results.</w:t>
      </w:r>
    </w:p>
    <w:p>
      <w:pPr>
        <w:spacing w:after="0" w:line="150"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financial condition or results of operations may be adversely affected.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3" w:right="339" w:bottom="1440" w:gutter="0" w:footer="0" w:header="0"/>
        </w:sectPr>
      </w:pPr>
    </w:p>
    <w:bookmarkStart w:id="40" w:name="page41"/>
    <w:bookmarkEnd w:id="40"/>
    <w:p>
      <w:pPr>
        <w:ind w:right="100" w:firstLine="434"/>
        <w:spacing w:after="0" w:line="236" w:lineRule="auto"/>
        <w:rPr>
          <w:sz w:val="20"/>
          <w:szCs w:val="20"/>
          <w:color w:val="auto"/>
        </w:rPr>
      </w:pPr>
      <w:r>
        <w:rPr>
          <w:rFonts w:ascii="Arial" w:cs="Arial" w:eastAsia="Arial" w:hAnsi="Arial"/>
          <w:sz w:val="15"/>
          <w:szCs w:val="15"/>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products or services, or take other actions to resolve the claims. These actions, if required, may be costly or unavailable on terms acceptable to us.</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Risks Related to International Operations</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5"/>
          <w:szCs w:val="15"/>
          <w:b w:val="1"/>
          <w:bCs w:val="1"/>
          <w:i w:val="1"/>
          <w:iCs w:val="1"/>
          <w:color w:val="auto"/>
        </w:rPr>
        <w:t>Our operations outside the United States expose us to legal, political and economic risks in different countries as well as currency exchange rate fluctuations that could harm our business and financial results.</w:t>
      </w:r>
    </w:p>
    <w:p>
      <w:pPr>
        <w:spacing w:after="0" w:line="150" w:lineRule="exact"/>
        <w:rPr>
          <w:sz w:val="20"/>
          <w:szCs w:val="20"/>
          <w:color w:val="auto"/>
        </w:rPr>
      </w:pPr>
    </w:p>
    <w:p>
      <w:pPr>
        <w:ind w:right="340" w:firstLine="434"/>
        <w:spacing w:after="0" w:line="239" w:lineRule="auto"/>
        <w:rPr>
          <w:sz w:val="20"/>
          <w:szCs w:val="20"/>
          <w:color w:val="auto"/>
        </w:rPr>
      </w:pPr>
      <w:r>
        <w:rPr>
          <w:rFonts w:ascii="Arial" w:cs="Arial" w:eastAsia="Arial" w:hAnsi="Arial"/>
          <w:sz w:val="15"/>
          <w:szCs w:val="15"/>
          <w:color w:val="auto"/>
        </w:rPr>
        <w:t>Revenue attributable to our services provided outside of the United States as a percentage of our total revenue was 24.5% in 2020, 24.8% in 2019 and 29.8% in 2018. There are risks inherent in doing business internationally, including:</w:t>
      </w:r>
    </w:p>
    <w:p>
      <w:pPr>
        <w:spacing w:after="0" w:line="166" w:lineRule="exact"/>
        <w:rPr>
          <w:sz w:val="20"/>
          <w:szCs w:val="20"/>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imposition of governmental controls and changes in laws, regulations or policies;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political and economic instability, such as in the Middle East;</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civil unrest, acts of terrorism, force majeure, war, or other armed conflict;</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greater physical security risks;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U.S. and other national government trade policies affecting the markets for our services;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regulatory practices, tariffs and taxes;</w:t>
      </w:r>
    </w:p>
    <w:p>
      <w:pPr>
        <w:spacing w:after="0" w:line="182" w:lineRule="exact"/>
        <w:rPr>
          <w:rFonts w:ascii="Arial" w:cs="Arial" w:eastAsia="Arial" w:hAnsi="Arial"/>
          <w:sz w:val="15"/>
          <w:szCs w:val="15"/>
          <w:color w:val="auto"/>
        </w:rPr>
      </w:pPr>
    </w:p>
    <w:p>
      <w:pPr>
        <w:ind w:left="1300" w:right="140" w:hanging="427"/>
        <w:spacing w:after="0" w:line="239" w:lineRule="auto"/>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potential non-compliance with a wide variety of laws and regulations, including anti-corruption, U.S. export controls and economic and trade sanctions, and anti-boycott laws and similar non-U.S. laws and regulations;</w:t>
      </w:r>
    </w:p>
    <w:p>
      <w:pPr>
        <w:spacing w:after="0" w:line="166"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labor conditions;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logistical and communication challenges;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currency exchange rate fluctuations, devaluations and other conversion restrictions;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health and safety concerns, including those related to the COVID-19 pandemic and other potential epidemics.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Any of these factors could have a material adverse effect on our business, financial condition or results of operations.</w:t>
      </w:r>
    </w:p>
    <w:p>
      <w:pPr>
        <w:spacing w:after="0" w:line="153" w:lineRule="exact"/>
        <w:rPr>
          <w:sz w:val="20"/>
          <w:szCs w:val="20"/>
          <w:color w:val="auto"/>
        </w:rPr>
      </w:pPr>
    </w:p>
    <w:p>
      <w:pPr>
        <w:ind w:right="620"/>
        <w:spacing w:after="0" w:line="263" w:lineRule="auto"/>
        <w:rPr>
          <w:sz w:val="20"/>
          <w:szCs w:val="20"/>
          <w:color w:val="auto"/>
        </w:rPr>
      </w:pPr>
      <w:r>
        <w:rPr>
          <w:rFonts w:ascii="Arial" w:cs="Arial" w:eastAsia="Arial" w:hAnsi="Arial"/>
          <w:sz w:val="15"/>
          <w:szCs w:val="15"/>
          <w:b w:val="1"/>
          <w:bCs w:val="1"/>
          <w:i w:val="1"/>
          <w:iCs w:val="1"/>
          <w:color w:val="auto"/>
        </w:rPr>
        <w:t>We have operations in the Middle East and neighboring regions, and these regions may experience turmoil that may impact our current projects, future business and financial stability.</w:t>
      </w:r>
    </w:p>
    <w:p>
      <w:pPr>
        <w:spacing w:after="0" w:line="150"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We currently have operations in the Middle East, including in Oman, Qatar, Saudi Arabia and the United Arab Emirates. These countries experience frequent political turmoil such as the tensions among Qatar and several of its neighbors, including Saudi Arabia and the United Arab Emirates. This uncertainty may affect our ability to continue our projects in these regions due to lack of resources, local support, and safety for our workers. If we are unable to finish these projects, it is likely that our finances will be impacted. Furthermore, we may experience liability regarding our employees and their safety and security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4" w:right="359" w:bottom="1440" w:gutter="0" w:footer="0" w:header="0"/>
        </w:sectPr>
      </w:pPr>
    </w:p>
    <w:bookmarkStart w:id="41" w:name="page42"/>
    <w:bookmarkEnd w:id="41"/>
    <w:p>
      <w:pPr>
        <w:ind w:right="200"/>
        <w:spacing w:after="0" w:line="236" w:lineRule="auto"/>
        <w:rPr>
          <w:sz w:val="20"/>
          <w:szCs w:val="20"/>
          <w:color w:val="auto"/>
        </w:rPr>
      </w:pPr>
      <w:r>
        <w:rPr>
          <w:rFonts w:ascii="Arial" w:cs="Arial" w:eastAsia="Arial" w:hAnsi="Arial"/>
          <w:sz w:val="15"/>
          <w:szCs w:val="15"/>
          <w:color w:val="auto"/>
        </w:rPr>
        <w:t>in these locations. We also may incur material costs to maintain the safety of our personnel. Despite these precautions, the safety of our personnel in these locations may continue to be at risk. Acts of terrorism and threats of armed conflicts in or around various areas in which we operate could limit or disrupt markets and our operations, including disruptions resulting from the evacuation of personnel, cancellation of contracts, or the loss of key employees, contractors or assets.</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b w:val="1"/>
          <w:bCs w:val="1"/>
          <w:i w:val="1"/>
          <w:iCs w:val="1"/>
          <w:color w:val="auto"/>
        </w:rPr>
        <w:t>We operate in many different jurisdictions and we could be adversely affected by violations of the U.S. Foreign Corrupt Practices Act and similar worldwide anti-corruption laws.</w:t>
      </w:r>
    </w:p>
    <w:p>
      <w:pPr>
        <w:spacing w:after="0" w:line="150" w:lineRule="exact"/>
        <w:rPr>
          <w:sz w:val="20"/>
          <w:szCs w:val="20"/>
          <w:color w:val="auto"/>
        </w:rPr>
      </w:pPr>
    </w:p>
    <w:p>
      <w:pPr>
        <w:ind w:right="40" w:firstLine="434"/>
        <w:spacing w:after="0" w:line="233" w:lineRule="auto"/>
        <w:rPr>
          <w:sz w:val="20"/>
          <w:szCs w:val="20"/>
          <w:color w:val="auto"/>
        </w:rPr>
      </w:pPr>
      <w:r>
        <w:rPr>
          <w:rFonts w:ascii="Arial" w:cs="Arial" w:eastAsia="Arial" w:hAnsi="Arial"/>
          <w:sz w:val="15"/>
          <w:szCs w:val="15"/>
          <w:color w:val="auto"/>
        </w:rPr>
        <w:t>The FCPA and similar worldwide anti-corruption laws, including the U.K. Bribery Act of 2010, generally prohibit companies and their intermediaries from making improper payments to non-U.S. officials for the purpose of obtaining or retaining business. Our internal policies mandate compliance with these anti-corruption laws, including the requirements to maintain accurate information and internal controls which may fall within the purview of the FCPA, its books and records provisions or its anti-bribery provisions. We operate in many parts of the world that have experienced governmental corruption to some degree; and, in some circumstances, strict compliance with anticorruption laws may conflict with local customs and practices. Despite our training and compliance programs, we cannot assure that our internal control policies and procedures always will protect us from reckless or criminal acts committed by our employees or agents. In addition, from time to time, government investigations of corruption in industries we operate in may affect us and our peers. Violations of these laws, or allegations of such violations, could disrupt our business and result in a material adverse effect on our business, financial condition or results of operations.</w:t>
      </w:r>
    </w:p>
    <w:p>
      <w:pPr>
        <w:spacing w:after="0" w:line="150" w:lineRule="exact"/>
        <w:rPr>
          <w:sz w:val="20"/>
          <w:szCs w:val="20"/>
          <w:color w:val="auto"/>
        </w:rPr>
      </w:pPr>
    </w:p>
    <w:p>
      <w:pPr>
        <w:ind w:left="1400"/>
        <w:spacing w:after="0"/>
        <w:rPr>
          <w:sz w:val="20"/>
          <w:szCs w:val="20"/>
          <w:color w:val="auto"/>
        </w:rPr>
      </w:pPr>
      <w:r>
        <w:rPr>
          <w:rFonts w:ascii="Arial" w:cs="Arial" w:eastAsia="Arial" w:hAnsi="Arial"/>
          <w:sz w:val="15"/>
          <w:szCs w:val="15"/>
          <w:b w:val="1"/>
          <w:bCs w:val="1"/>
          <w:color w:val="auto"/>
        </w:rPr>
        <w:t>Risks Related to Debt and Backlog</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realize the full value of our backlog, which may result in lower than expected revenue.</w:t>
      </w:r>
    </w:p>
    <w:p>
      <w:pPr>
        <w:spacing w:after="0" w:line="189" w:lineRule="exact"/>
        <w:rPr>
          <w:sz w:val="20"/>
          <w:szCs w:val="20"/>
          <w:color w:val="auto"/>
        </w:rPr>
      </w:pPr>
    </w:p>
    <w:p>
      <w:pPr>
        <w:ind w:firstLine="434"/>
        <w:spacing w:after="0" w:line="232" w:lineRule="auto"/>
        <w:rPr>
          <w:sz w:val="20"/>
          <w:szCs w:val="20"/>
          <w:color w:val="auto"/>
        </w:rPr>
      </w:pPr>
      <w:r>
        <w:rPr>
          <w:rFonts w:ascii="Arial" w:cs="Arial" w:eastAsia="Arial" w:hAnsi="Arial"/>
          <w:sz w:val="15"/>
          <w:szCs w:val="15"/>
          <w:color w:val="auto"/>
        </w:rPr>
        <w:t>As of December 31, 2020, our total backlog was $8.1 billion, of which $ 4.0 billion was funded. Our backlog includes orders under contracts that can extend for several years, and in some cases, contracts that extend for more than 10 to 15 years. We historically have not realized all of the revenue included in our total backlog, and we may not realize all of the revenue included in our total backlog in the future. There is a somewhat higher degree of risk in this regard with respect to unfunded backlog and backlog related to unexercised options years and IDIQ contracts for which task orders have not yet been issued.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government spending; in the case of funded backlog, the period of performance for the contract has expired; in the case of unfunded backlog, funding may not be available; in the case of backlog related to unexercised option years, the contract option is not yet exercised or may ever be exercised; and, in the case of backlog related to IDIQ contracts where task orders have not been issued, no further task orders may be issued. In addition, headcount growth is the primary means by which we are able to achieve revenue growth. Any inability to hire additional appropriately qualified personnel or failure to timely and effectively deploy such additional personnel against funded backlog could negatively affect our ability to grow our revenue. We may also not recognize revenue on funded backlog due to, among other reasons, the tardy submissions of invoices by our subcontractors and the expiration of the relevant appropriated funding in accordance with a predetermined expiration date such as the end of the U.S. government’s fiscal year. The amount of our funded backlog is also subject to change, due to, among other factors: changes in appropriations that reflect changes in government policies or priorities resulting from various military, political, economic or international developments; changes in the use of government contracting vehicles, and the provisions therein used to procure our services; and</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42" w:name="page43"/>
    <w:bookmarkEnd w:id="42"/>
    <w:p>
      <w:pPr>
        <w:ind w:right="120"/>
        <w:spacing w:after="0" w:line="239" w:lineRule="auto"/>
        <w:rPr>
          <w:sz w:val="20"/>
          <w:szCs w:val="20"/>
          <w:color w:val="auto"/>
        </w:rPr>
      </w:pPr>
      <w:r>
        <w:rPr>
          <w:rFonts w:ascii="Arial" w:cs="Arial" w:eastAsia="Arial" w:hAnsi="Arial"/>
          <w:sz w:val="15"/>
          <w:szCs w:val="15"/>
          <w:color w:val="auto"/>
        </w:rPr>
        <w:t>adjustments to the scope of services under, or cancellation of contracts, by the applicable government at any time. Furthermore, even if our backlog results in revenue, the contracts may not be profitable.</w:t>
      </w:r>
    </w:p>
    <w:p>
      <w:pPr>
        <w:spacing w:after="0" w:line="148" w:lineRule="exact"/>
        <w:rPr>
          <w:sz w:val="20"/>
          <w:szCs w:val="20"/>
          <w:color w:val="auto"/>
        </w:rPr>
      </w:pPr>
    </w:p>
    <w:p>
      <w:pPr>
        <w:ind w:right="300"/>
        <w:spacing w:after="0" w:line="263" w:lineRule="auto"/>
        <w:rPr>
          <w:sz w:val="20"/>
          <w:szCs w:val="20"/>
          <w:color w:val="auto"/>
        </w:rPr>
      </w:pPr>
      <w:r>
        <w:rPr>
          <w:rFonts w:ascii="Arial" w:cs="Arial" w:eastAsia="Arial" w:hAnsi="Arial"/>
          <w:sz w:val="15"/>
          <w:szCs w:val="15"/>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As of December 31, 2020, our accounts receivable, net was $698.6 million. We depend on the timely collection of our receivables to generate cash flow, provide working capital and continue our business operations. If our customers fail to pay or delay the payment of invoices for any reason, our business and financial condition may be materially and adversely affected. Our customers have in the past and may in the future delay or fail to pay invoices for a number of reasons, including lack of appropriated funds, lack of an approved budget or as a result of audit findings by government regulatory agencies. We also experience longer payment cycles in the Middle East. We cannot assure you that we will collect all our accounts receivable in excess of our allowance for doubtful accounts in a timely manner, which would impact our cash flows.</w:t>
      </w:r>
    </w:p>
    <w:p>
      <w:pPr>
        <w:spacing w:after="0" w:line="152" w:lineRule="exact"/>
        <w:rPr>
          <w:sz w:val="20"/>
          <w:szCs w:val="20"/>
          <w:color w:val="auto"/>
        </w:rPr>
      </w:pPr>
    </w:p>
    <w:p>
      <w:pPr>
        <w:ind w:right="240"/>
        <w:spacing w:after="0" w:line="263" w:lineRule="auto"/>
        <w:rPr>
          <w:sz w:val="20"/>
          <w:szCs w:val="20"/>
          <w:color w:val="auto"/>
        </w:rPr>
      </w:pPr>
      <w:r>
        <w:rPr>
          <w:rFonts w:ascii="Arial" w:cs="Arial" w:eastAsia="Arial" w:hAnsi="Arial"/>
          <w:sz w:val="15"/>
          <w:szCs w:val="15"/>
          <w:b w:val="1"/>
          <w:bCs w:val="1"/>
          <w:i w:val="1"/>
          <w:iCs w:val="1"/>
          <w:color w:val="auto"/>
        </w:rPr>
        <w:t>The agreements governing our debt contain a number of restrictive covenants which may limit our ability to finance future operations, acquisitions or capital needs or engage in other business activities that may be in our interest.</w:t>
      </w:r>
    </w:p>
    <w:p>
      <w:pPr>
        <w:spacing w:after="0" w:line="150" w:lineRule="exact"/>
        <w:rPr>
          <w:sz w:val="20"/>
          <w:szCs w:val="20"/>
          <w:color w:val="auto"/>
        </w:rPr>
      </w:pPr>
    </w:p>
    <w:p>
      <w:pPr>
        <w:ind w:right="100" w:firstLine="434"/>
        <w:spacing w:after="0" w:line="236" w:lineRule="auto"/>
        <w:rPr>
          <w:sz w:val="20"/>
          <w:szCs w:val="20"/>
          <w:color w:val="auto"/>
        </w:rPr>
      </w:pPr>
      <w:r>
        <w:rPr>
          <w:rFonts w:ascii="Arial" w:cs="Arial" w:eastAsia="Arial" w:hAnsi="Arial"/>
          <w:sz w:val="15"/>
          <w:szCs w:val="15"/>
          <w:color w:val="auto"/>
        </w:rPr>
        <w:t>As of December 31, 2020, our total indebtedness was $590 million. Our Credit Agreement and the agreements governing our Senior Notes contain a number of covenants that impose operating and other restrictions on us and our subsidiaries. Such restrictions affect or will affect, and in many respects limit or prohibit our ability and the ability of our subsidiaries to, among other things:</w:t>
      </w:r>
    </w:p>
    <w:p>
      <w:pPr>
        <w:spacing w:after="0" w:line="167" w:lineRule="exact"/>
        <w:rPr>
          <w:sz w:val="20"/>
          <w:szCs w:val="20"/>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incur additional indebtedness;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create liens;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pay dividends and make other distributions in respect of our equity securities;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redeem our equity securities;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make loans, advances, investments or other restricted payments;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sell assets or receivables;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engage in certain business activities;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amend our ESOP’s plan documents;</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enter into transactions with affiliates; and</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effect mergers or consolidations.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addition, our Credit Agreement also requires us to comply with certain financial ratio covenants, including a debt leverage ratio and a fixed charge coverage ratio.</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Our ability to comply with these ratios may be affected by events beyond our control.</w:t>
      </w:r>
    </w:p>
    <w:p>
      <w:pPr>
        <w:spacing w:after="0" w:line="171" w:lineRule="exact"/>
        <w:rPr>
          <w:sz w:val="20"/>
          <w:szCs w:val="20"/>
          <w:color w:val="auto"/>
        </w:rPr>
      </w:pPr>
    </w:p>
    <w:p>
      <w:pPr>
        <w:ind w:right="160" w:firstLine="434"/>
        <w:spacing w:after="0" w:line="236" w:lineRule="auto"/>
        <w:rPr>
          <w:sz w:val="20"/>
          <w:szCs w:val="20"/>
          <w:color w:val="auto"/>
        </w:rPr>
      </w:pPr>
      <w:r>
        <w:rPr>
          <w:rFonts w:ascii="Arial" w:cs="Arial" w:eastAsia="Arial" w:hAnsi="Arial"/>
          <w:sz w:val="15"/>
          <w:szCs w:val="15"/>
          <w:color w:val="auto"/>
        </w:rPr>
        <w:t>These restrictions could limit our ability to plan for or react to market or economic conditions or meet capital needs or otherwise restrict our activities or business plans, and could adversely affect our ability to finance our operations, acquisitions, investments or strategic alliances or other capital needs or to engage in other business activities that would be in our interest.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94" w:right="339" w:bottom="1440" w:gutter="0" w:footer="0" w:header="0"/>
        </w:sectPr>
      </w:pPr>
    </w:p>
    <w:bookmarkStart w:id="43" w:name="page44"/>
    <w:bookmarkEnd w:id="43"/>
    <w:p>
      <w:pPr>
        <w:ind w:right="420" w:firstLine="434"/>
        <w:spacing w:after="0" w:line="239" w:lineRule="auto"/>
        <w:rPr>
          <w:sz w:val="20"/>
          <w:szCs w:val="20"/>
          <w:color w:val="auto"/>
        </w:rPr>
      </w:pPr>
      <w:r>
        <w:rPr>
          <w:rFonts w:ascii="Arial" w:cs="Arial" w:eastAsia="Arial" w:hAnsi="Arial"/>
          <w:sz w:val="15"/>
          <w:szCs w:val="15"/>
          <w:color w:val="auto"/>
        </w:rPr>
        <w:t>A breach of any of these covenants or our inability to comply with the required financial ratios could result in a default under our debt instruments. If an event of default occurs, our creditors could elect to:</w:t>
      </w:r>
    </w:p>
    <w:p>
      <w:pPr>
        <w:spacing w:after="0" w:line="166" w:lineRule="exact"/>
        <w:rPr>
          <w:sz w:val="20"/>
          <w:szCs w:val="20"/>
          <w:color w:val="auto"/>
        </w:rPr>
      </w:pPr>
    </w:p>
    <w:p>
      <w:pPr>
        <w:ind w:left="1300" w:hanging="427"/>
        <w:spacing w:after="0"/>
        <w:tabs>
          <w:tab w:leader="none" w:pos="1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declare all borrowings outstanding, together with accrued and unpaid interest, to be immediately due and payable;</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require us to apply all of our available cash to repay the borrowings; or</w:t>
      </w:r>
    </w:p>
    <w:p>
      <w:pPr>
        <w:spacing w:after="0" w:line="182" w:lineRule="exact"/>
        <w:rPr>
          <w:rFonts w:ascii="Arial" w:cs="Arial" w:eastAsia="Arial" w:hAnsi="Arial"/>
          <w:sz w:val="15"/>
          <w:szCs w:val="15"/>
          <w:color w:val="auto"/>
        </w:rPr>
      </w:pPr>
    </w:p>
    <w:p>
      <w:pPr>
        <w:ind w:left="1300" w:hanging="427"/>
        <w:spacing w:after="0"/>
        <w:tabs>
          <w:tab w:leader="none" w:pos="13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prevent us from making debt service payments on some of our borrowings.</w:t>
      </w:r>
    </w:p>
    <w:p>
      <w:pPr>
        <w:spacing w:after="0" w:line="182" w:lineRule="exact"/>
        <w:rPr>
          <w:sz w:val="20"/>
          <w:szCs w:val="20"/>
          <w:color w:val="auto"/>
        </w:rPr>
      </w:pPr>
    </w:p>
    <w:p>
      <w:pPr>
        <w:ind w:right="420" w:firstLine="434"/>
        <w:spacing w:after="0" w:line="239" w:lineRule="auto"/>
        <w:rPr>
          <w:sz w:val="20"/>
          <w:szCs w:val="20"/>
          <w:color w:val="auto"/>
        </w:rPr>
      </w:pPr>
      <w:r>
        <w:rPr>
          <w:rFonts w:ascii="Arial" w:cs="Arial" w:eastAsia="Arial" w:hAnsi="Arial"/>
          <w:sz w:val="15"/>
          <w:szCs w:val="15"/>
          <w:color w:val="auto"/>
        </w:rPr>
        <w:t>If we were unable to repay or otherwise refinance these borrowings when due, the lenders under our Credit Agreement could demand payment from subsidiary guarantors, as provided under our Credit Agreement. These guarantors constitute substantially all of our domestic, wholly owned subsidiaries’ assets.</w:t>
      </w:r>
    </w:p>
    <w:p>
      <w:pPr>
        <w:spacing w:after="0" w:line="148" w:lineRule="exact"/>
        <w:rPr>
          <w:sz w:val="20"/>
          <w:szCs w:val="20"/>
          <w:color w:val="auto"/>
        </w:rPr>
      </w:pPr>
    </w:p>
    <w:p>
      <w:pPr>
        <w:ind w:right="360"/>
        <w:spacing w:after="0" w:line="263" w:lineRule="auto"/>
        <w:rPr>
          <w:sz w:val="20"/>
          <w:szCs w:val="20"/>
          <w:color w:val="auto"/>
        </w:rPr>
      </w:pPr>
      <w:r>
        <w:rPr>
          <w:rFonts w:ascii="Arial" w:cs="Arial" w:eastAsia="Arial" w:hAnsi="Arial"/>
          <w:sz w:val="15"/>
          <w:szCs w:val="15"/>
          <w:b w:val="1"/>
          <w:bCs w:val="1"/>
          <w:i w:val="1"/>
          <w:iCs w:val="1"/>
          <w:color w:val="auto"/>
        </w:rPr>
        <w:t>Prior to our initial public offering, we were 100% owned by the ESOP, which is a retirement plan that is intended to be qualified under the Code. If the ESOP failed to meet the requirements of a tax qualified retirement plan, we could be subject to substantial penalties.</w:t>
      </w:r>
    </w:p>
    <w:p>
      <w:pPr>
        <w:spacing w:after="0" w:line="150" w:lineRule="exact"/>
        <w:rPr>
          <w:sz w:val="20"/>
          <w:szCs w:val="20"/>
          <w:color w:val="auto"/>
        </w:rPr>
      </w:pPr>
    </w:p>
    <w:p>
      <w:pPr>
        <w:ind w:right="20" w:firstLine="434"/>
        <w:spacing w:after="0" w:line="234" w:lineRule="auto"/>
        <w:rPr>
          <w:sz w:val="20"/>
          <w:szCs w:val="20"/>
          <w:color w:val="auto"/>
        </w:rPr>
      </w:pPr>
      <w:r>
        <w:rPr>
          <w:rFonts w:ascii="Arial" w:cs="Arial" w:eastAsia="Arial" w:hAnsi="Arial"/>
          <w:sz w:val="15"/>
          <w:szCs w:val="15"/>
          <w:color w:val="auto"/>
        </w:rPr>
        <w:t>The ESOP is a defined contribution retirement plan subject to the requirements of the Code and ERISA. The ESOP has received a determination letter, dated January 31, 2012, from the Internal Revenue Service (IRS) that it meets the requirements of a tax qualified retirement plan in form and we endeavor to maintain and administer the ESOP in compliance with all requirements of the Code and ERISA. However, the rules regarding tax qualified plans, and especially ESOPs, are complex and change frequently. Accordingly, it is possible that the ESOP may not have been administered in full compliance with all applicable rules under the Code or ERISA at all times.</w:t>
      </w:r>
    </w:p>
    <w:p>
      <w:pPr>
        <w:spacing w:after="0" w:line="168" w:lineRule="exact"/>
        <w:rPr>
          <w:sz w:val="20"/>
          <w:szCs w:val="20"/>
          <w:color w:val="auto"/>
        </w:rPr>
      </w:pPr>
    </w:p>
    <w:p>
      <w:pPr>
        <w:ind w:right="20" w:firstLine="434"/>
        <w:spacing w:after="0" w:line="236" w:lineRule="auto"/>
        <w:rPr>
          <w:sz w:val="20"/>
          <w:szCs w:val="20"/>
          <w:color w:val="auto"/>
        </w:rPr>
      </w:pPr>
      <w:r>
        <w:rPr>
          <w:rFonts w:ascii="Arial" w:cs="Arial" w:eastAsia="Arial" w:hAnsi="Arial"/>
          <w:sz w:val="15"/>
          <w:szCs w:val="15"/>
          <w:color w:val="auto"/>
        </w:rPr>
        <w:t>If the ESOP were determined not to be in material compliance with the Code or ERISA, then the ESOP could lose its tax qualified status and we could be subject to substantial penalties under the Code and ERISA which could have a material adverse effect on our business, financial condition or results of operations. Additionally, loss of the ESOP’s tax-qualified status would adversely impact our prior treatment as an S Corporation.</w:t>
      </w:r>
    </w:p>
    <w:p>
      <w:pPr>
        <w:spacing w:after="0" w:line="149" w:lineRule="exact"/>
        <w:rPr>
          <w:sz w:val="20"/>
          <w:szCs w:val="20"/>
          <w:color w:val="auto"/>
        </w:rPr>
      </w:pPr>
    </w:p>
    <w:p>
      <w:pPr>
        <w:ind w:left="1400"/>
        <w:spacing w:after="0"/>
        <w:rPr>
          <w:sz w:val="20"/>
          <w:szCs w:val="20"/>
          <w:color w:val="auto"/>
        </w:rPr>
      </w:pPr>
      <w:r>
        <w:rPr>
          <w:rFonts w:ascii="Arial" w:cs="Arial" w:eastAsia="Arial" w:hAnsi="Arial"/>
          <w:sz w:val="15"/>
          <w:szCs w:val="15"/>
          <w:b w:val="1"/>
          <w:bCs w:val="1"/>
          <w:i w:val="1"/>
          <w:iCs w:val="1"/>
          <w:color w:val="auto"/>
        </w:rPr>
        <w:t>Risks Related to our Employees</w:t>
      </w:r>
    </w:p>
    <w:p>
      <w:pPr>
        <w:spacing w:after="0" w:line="171" w:lineRule="exact"/>
        <w:rPr>
          <w:sz w:val="20"/>
          <w:szCs w:val="20"/>
          <w:color w:val="auto"/>
        </w:rPr>
      </w:pPr>
    </w:p>
    <w:p>
      <w:pPr>
        <w:ind w:right="440"/>
        <w:spacing w:after="0" w:line="263" w:lineRule="auto"/>
        <w:rPr>
          <w:sz w:val="20"/>
          <w:szCs w:val="20"/>
          <w:color w:val="auto"/>
        </w:rPr>
      </w:pPr>
      <w:r>
        <w:rPr>
          <w:rFonts w:ascii="Arial" w:cs="Arial" w:eastAsia="Arial" w:hAnsi="Arial"/>
          <w:sz w:val="15"/>
          <w:szCs w:val="15"/>
          <w:b w:val="1"/>
          <w:bCs w:val="1"/>
          <w:i w:val="1"/>
          <w:iCs w:val="1"/>
          <w:color w:val="auto"/>
        </w:rPr>
        <w:t>A failure to attract, train and retain skilled employees and our senior management team would adversely affect our ability to execute our strategy and may disrupt our operations.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Our business relies heavily upon the expertise and services of our employees. Our continued success depends on our ability to recruit and retain highly trained and skilled engineering, technical and professional personnel. Competition for skilled personnel is intense and competitors aggressively recruit key employees. In addition, many U.S. government programs require contractors to have security clearances. Depending on the level of required clearance, security clearances can be difficult and time-consuming to obtain and personnel with security clearances are in great demand. Particularly in highly specialized areas, it has become more difficult to retain employees and meet all of our needs for employees in a timely manner, which may affect our growth in the current and future fiscal years. Although we intend to continue to devote significant resources to recruiting, training and retaining qualified employees, we may not be able to attract, effectively train and retain these employees. Any failure to do so could impair our ability to efficiently perform our contractual obligations, timely meet our customers’ needs and ultimately win new business, all of which could adversely affect our business, financial condition and results of operations.</w:t>
      </w:r>
    </w:p>
    <w:p>
      <w:pPr>
        <w:spacing w:after="0" w:line="168" w:lineRule="exact"/>
        <w:rPr>
          <w:sz w:val="20"/>
          <w:szCs w:val="20"/>
          <w:color w:val="auto"/>
        </w:rPr>
      </w:pPr>
    </w:p>
    <w:p>
      <w:pPr>
        <w:ind w:right="260" w:firstLine="434"/>
        <w:spacing w:after="0" w:line="239" w:lineRule="auto"/>
        <w:rPr>
          <w:sz w:val="20"/>
          <w:szCs w:val="20"/>
          <w:color w:val="auto"/>
        </w:rPr>
      </w:pPr>
      <w:r>
        <w:rPr>
          <w:rFonts w:ascii="Arial" w:cs="Arial" w:eastAsia="Arial" w:hAnsi="Arial"/>
          <w:sz w:val="15"/>
          <w:szCs w:val="15"/>
          <w:color w:val="auto"/>
        </w:rPr>
        <w:t>We believe that our success also depends on the continued employment of a highly qualified and experienced senior management team and that team’s ability to retain existing business and generate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3" w:right="359" w:bottom="1440" w:gutter="0" w:footer="0" w:header="0"/>
        </w:sectPr>
      </w:pPr>
    </w:p>
    <w:bookmarkStart w:id="44" w:name="page45"/>
    <w:bookmarkEnd w:id="44"/>
    <w:p>
      <w:pPr>
        <w:ind w:right="540"/>
        <w:spacing w:after="0" w:line="239" w:lineRule="auto"/>
        <w:rPr>
          <w:sz w:val="20"/>
          <w:szCs w:val="20"/>
          <w:color w:val="auto"/>
        </w:rPr>
      </w:pPr>
      <w:r>
        <w:rPr>
          <w:rFonts w:ascii="Arial" w:cs="Arial" w:eastAsia="Arial" w:hAnsi="Arial"/>
          <w:sz w:val="15"/>
          <w:szCs w:val="15"/>
          <w:color w:val="auto"/>
        </w:rPr>
        <w:t>new business. The loss of key personnel in critical functions could lead to lack of business continuity or disruptions in our business until we are able to hire and train replacement personnel.</w:t>
      </w:r>
    </w:p>
    <w:p>
      <w:pPr>
        <w:spacing w:after="0" w:line="148"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b w:val="1"/>
          <w:bCs w:val="1"/>
          <w:i w:val="1"/>
          <w:iCs w:val="1"/>
          <w:color w:val="auto"/>
        </w:rPr>
        <w:t>We may lose one or more members of our senior management team or fail to develop new leaders, which could cause a disruption in the management of our business.</w:t>
      </w:r>
    </w:p>
    <w:p>
      <w:pPr>
        <w:spacing w:after="0" w:line="150" w:lineRule="exact"/>
        <w:rPr>
          <w:sz w:val="20"/>
          <w:szCs w:val="20"/>
          <w:color w:val="auto"/>
        </w:rPr>
      </w:pPr>
    </w:p>
    <w:p>
      <w:pPr>
        <w:ind w:right="100" w:firstLine="434"/>
        <w:spacing w:after="0" w:line="233" w:lineRule="auto"/>
        <w:rPr>
          <w:sz w:val="20"/>
          <w:szCs w:val="20"/>
          <w:color w:val="auto"/>
        </w:rPr>
      </w:pPr>
      <w:r>
        <w:rPr>
          <w:rFonts w:ascii="Arial" w:cs="Arial" w:eastAsia="Arial" w:hAnsi="Arial"/>
          <w:sz w:val="15"/>
          <w:szCs w:val="15"/>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do not have any employment agreements providing for a specific term of employment with any members of our senior management. The loss of any member of our senior management or our failure to continue to develop new members could impair our ability to identify and secure new contracts, to maintain good client relations, and to otherwise manage our business, and could have a material adverse effect on our business, financial condition and results of operations.</w:t>
      </w:r>
    </w:p>
    <w:p>
      <w:pPr>
        <w:spacing w:after="0" w:line="151" w:lineRule="exact"/>
        <w:rPr>
          <w:sz w:val="20"/>
          <w:szCs w:val="20"/>
          <w:color w:val="auto"/>
        </w:rPr>
      </w:pPr>
    </w:p>
    <w:p>
      <w:pPr>
        <w:ind w:right="340"/>
        <w:spacing w:after="0" w:line="263" w:lineRule="auto"/>
        <w:rPr>
          <w:sz w:val="20"/>
          <w:szCs w:val="20"/>
          <w:color w:val="auto"/>
        </w:rPr>
      </w:pPr>
      <w:r>
        <w:rPr>
          <w:rFonts w:ascii="Arial" w:cs="Arial" w:eastAsia="Arial" w:hAnsi="Arial"/>
          <w:sz w:val="15"/>
          <w:szCs w:val="15"/>
          <w:b w:val="1"/>
          <w:bCs w:val="1"/>
          <w:i w:val="1"/>
          <w:iCs w:val="1"/>
          <w:color w:val="auto"/>
        </w:rPr>
        <w:t>Negotiations with labor unions and possible work actions could divert management attention and disrupt operations. In addition, new collective bargaining agreements or amendments to existing agreements could increase our labor costs and operating expenses.</w:t>
      </w:r>
    </w:p>
    <w:p>
      <w:pPr>
        <w:spacing w:after="0" w:line="15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have entered into twenty-four union labor or collective bargaining agreements as of December 31, 2020. The outcome of any future negotiations relating to union representation or collective bargaining agreements for these or other employees in the future may not be favorable to us. We may reach agreements in collective bargaining that increase our operating expenses and lower our net income as a result of higher wages or benefit expenses. In addition, negotiations with unions could divert management attention and disrupt operations, which may adversely affect our results of operations. If we are unable to negotiate acceptable collective bargaining agreements, we may have to address the threat of union-initiated work actions, including strikes. Depending on the nature of the threat or the type and duration of any work action, these actions could disrupt our operations and adversely affect our operating results.</w:t>
      </w:r>
    </w:p>
    <w:p>
      <w:pPr>
        <w:spacing w:after="0" w:line="152" w:lineRule="exact"/>
        <w:rPr>
          <w:sz w:val="20"/>
          <w:szCs w:val="20"/>
          <w:color w:val="auto"/>
        </w:rPr>
      </w:pPr>
    </w:p>
    <w:p>
      <w:pPr>
        <w:ind w:right="220"/>
        <w:spacing w:after="0" w:line="263" w:lineRule="auto"/>
        <w:rPr>
          <w:sz w:val="20"/>
          <w:szCs w:val="20"/>
          <w:color w:val="auto"/>
        </w:rPr>
      </w:pPr>
      <w:r>
        <w:rPr>
          <w:rFonts w:ascii="Arial" w:cs="Arial" w:eastAsia="Arial" w:hAnsi="Arial"/>
          <w:sz w:val="15"/>
          <w:szCs w:val="15"/>
          <w:b w:val="1"/>
          <w:bCs w:val="1"/>
          <w:i w:val="1"/>
          <w:iCs w:val="1"/>
          <w:color w:val="auto"/>
        </w:rPr>
        <w:t>Many of our field project sites and facilities are inherently dangerous workplaces. Failure to manage our field project sites and facilities safely could result in environmental disasters, employee deaths or injuries, reduced profitability, the loss of projects or clients and possible exposure to litigation.</w:t>
      </w:r>
    </w:p>
    <w:p>
      <w:pPr>
        <w:spacing w:after="0" w:line="150" w:lineRule="exact"/>
        <w:rPr>
          <w:sz w:val="20"/>
          <w:szCs w:val="20"/>
          <w:color w:val="auto"/>
        </w:rPr>
      </w:pPr>
    </w:p>
    <w:p>
      <w:pPr>
        <w:ind w:right="100" w:firstLine="434"/>
        <w:spacing w:after="0" w:line="233" w:lineRule="auto"/>
        <w:rPr>
          <w:sz w:val="20"/>
          <w:szCs w:val="20"/>
          <w:color w:val="auto"/>
        </w:rPr>
      </w:pPr>
      <w:r>
        <w:rPr>
          <w:rFonts w:ascii="Arial" w:cs="Arial" w:eastAsia="Arial" w:hAnsi="Arial"/>
          <w:sz w:val="15"/>
          <w:szCs w:val="15"/>
          <w:color w:val="auto"/>
        </w:rPr>
        <w:t>Our field project sites and facilities, particularly in our Critical Infrastructure business, often put our employees and others in close proximity with mechanized equipment, moving vehicles, chemical and manufacturing processes, and highly regulated materials. On some field project sites and in some of our facilities, we may be responsible for safety and, accordingly, we have an obligation to implement effective safety procedures. If these procedures are not appropriately implemented or are ineffective, our employees could be injured or killed, and we could be exposed to possible litigation. As a result, our failure to maintain adequate safety standards and equipment could result in reduced profitability or the loss of projects or clients and could have a material adverse impact on our business, financial condition, and results of operations.</w:t>
      </w:r>
    </w:p>
    <w:p>
      <w:pPr>
        <w:spacing w:after="0" w:line="200" w:lineRule="exact"/>
        <w:rPr>
          <w:sz w:val="20"/>
          <w:szCs w:val="20"/>
          <w:color w:val="auto"/>
        </w:rPr>
      </w:pP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3" w:right="359" w:bottom="1440" w:gutter="0" w:footer="0" w:header="0"/>
        </w:sectPr>
      </w:pPr>
    </w:p>
    <w:bookmarkStart w:id="45" w:name="page46"/>
    <w:bookmarkEnd w:id="45"/>
    <w:p>
      <w:pPr>
        <w:ind w:left="3280"/>
        <w:spacing w:after="0"/>
        <w:rPr>
          <w:sz w:val="20"/>
          <w:szCs w:val="20"/>
          <w:color w:val="auto"/>
        </w:rPr>
      </w:pPr>
      <w:r>
        <w:rPr>
          <w:rFonts w:ascii="Arial" w:cs="Arial" w:eastAsia="Arial" w:hAnsi="Arial"/>
          <w:sz w:val="15"/>
          <w:szCs w:val="15"/>
          <w:b w:val="1"/>
          <w:bCs w:val="1"/>
          <w:color w:val="auto"/>
        </w:rPr>
        <w:t>Risk Related to Our Common Stock</w:t>
      </w:r>
    </w:p>
    <w:p>
      <w:pPr>
        <w:spacing w:after="0" w:line="260" w:lineRule="exact"/>
        <w:rPr>
          <w:sz w:val="20"/>
          <w:szCs w:val="20"/>
          <w:color w:val="auto"/>
        </w:rPr>
      </w:pPr>
    </w:p>
    <w:p>
      <w:pPr>
        <w:ind w:right="260"/>
        <w:spacing w:after="0" w:line="263" w:lineRule="auto"/>
        <w:rPr>
          <w:sz w:val="20"/>
          <w:szCs w:val="20"/>
          <w:color w:val="auto"/>
        </w:rPr>
      </w:pPr>
      <w:r>
        <w:rPr>
          <w:rFonts w:ascii="Arial" w:cs="Arial" w:eastAsia="Arial" w:hAnsi="Arial"/>
          <w:sz w:val="15"/>
          <w:szCs w:val="15"/>
          <w:b w:val="1"/>
          <w:bCs w:val="1"/>
          <w:i w:val="1"/>
          <w:iCs w:val="1"/>
          <w:color w:val="auto"/>
        </w:rPr>
        <w:t>If we are unable to implement and maintain effective internal control over financial reporting in the future, investors may lose confidence in the accuracy and completeness of our financial reports and the market price of our common stock may be negatively affected.</w:t>
      </w:r>
    </w:p>
    <w:p>
      <w:pPr>
        <w:spacing w:after="0" w:line="61" w:lineRule="exact"/>
        <w:rPr>
          <w:sz w:val="20"/>
          <w:szCs w:val="20"/>
          <w:color w:val="auto"/>
        </w:rPr>
      </w:pPr>
    </w:p>
    <w:p>
      <w:pPr>
        <w:ind w:firstLine="434"/>
        <w:spacing w:after="0" w:line="235" w:lineRule="auto"/>
        <w:rPr>
          <w:sz w:val="20"/>
          <w:szCs w:val="20"/>
          <w:color w:val="auto"/>
        </w:rPr>
      </w:pPr>
      <w:r>
        <w:rPr>
          <w:rFonts w:ascii="Arial" w:cs="Arial" w:eastAsia="Arial" w:hAnsi="Arial"/>
          <w:sz w:val="15"/>
          <w:szCs w:val="15"/>
          <w:color w:val="auto"/>
        </w:rPr>
        <w:t>As a public company, we are required to maintain internal control over financial reporting and to report any material weaknesses in such internal control. In addition, beginning with our second annual report on Form 10-K, we will be required to furnish a report by management on the effectiveness of our internal control over financial reporting, pursuant to Section 404 of the Sarbanes-Oxley Act. At such time, our independent registered public accounting firm may issue a report that is adverse in the event it is not satisfied with the level at which our internal control over financial reporting is documented, designed or operating.</w:t>
      </w:r>
    </w:p>
    <w:p>
      <w:pPr>
        <w:spacing w:after="0" w:line="167" w:lineRule="exact"/>
        <w:rPr>
          <w:sz w:val="20"/>
          <w:szCs w:val="20"/>
          <w:color w:val="auto"/>
        </w:rPr>
      </w:pPr>
    </w:p>
    <w:p>
      <w:pPr>
        <w:ind w:right="160" w:firstLine="434"/>
        <w:spacing w:after="0" w:line="233" w:lineRule="auto"/>
        <w:rPr>
          <w:sz w:val="20"/>
          <w:szCs w:val="20"/>
          <w:color w:val="auto"/>
        </w:rPr>
      </w:pPr>
      <w:r>
        <w:rPr>
          <w:rFonts w:ascii="Arial" w:cs="Arial" w:eastAsia="Arial" w:hAnsi="Arial"/>
          <w:sz w:val="15"/>
          <w:szCs w:val="15"/>
          <w:color w:val="auto"/>
        </w:rPr>
        <w:t>The process of designing, implementing and testing the internal control over financial reporting required to comply with this obligation is time-consuming, costly and complicated. If we identify material weaknesses in our internal control over financial reporting, or if we are unable to comply with the requirements of Section 404 of the Sarbanes-Oxley Act in a timely manner or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the market price of our common stock could be negatively affected, and we could become subject to investigations by our stock exchange, the SEC or other regulatory authorities, which could require additional financial and management resources.</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stock price fluctuates, you could lose a significant part of your investment.</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market price of our stock may be influenced by many factors, some of which are beyond our control, including the following:</w:t>
      </w:r>
    </w:p>
    <w:p>
      <w:pPr>
        <w:spacing w:after="0" w:line="82" w:lineRule="exact"/>
        <w:rPr>
          <w:sz w:val="20"/>
          <w:szCs w:val="20"/>
          <w:color w:val="auto"/>
        </w:rPr>
      </w:pPr>
    </w:p>
    <w:p>
      <w:pPr>
        <w:ind w:left="2020" w:hanging="586"/>
        <w:spacing w:after="0"/>
        <w:tabs>
          <w:tab w:leader="none" w:pos="2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opinions and estimates of any securities analysts who publish research about us;</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contracts, acquisitions or capital commitments;</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variations in quarterly operating results;</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changes in general economic or market conditions or trends in our industry or the economy as a whole;</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future sales of our common stock; and</w:t>
      </w:r>
    </w:p>
    <w:p>
      <w:pPr>
        <w:spacing w:after="0" w:line="82" w:lineRule="exact"/>
        <w:rPr>
          <w:rFonts w:ascii="Arial" w:cs="Arial" w:eastAsia="Arial" w:hAnsi="Arial"/>
          <w:sz w:val="15"/>
          <w:szCs w:val="15"/>
          <w:color w:val="auto"/>
        </w:rPr>
      </w:pPr>
    </w:p>
    <w:p>
      <w:pPr>
        <w:ind w:left="2020" w:hanging="586"/>
        <w:spacing w:after="0"/>
        <w:tabs>
          <w:tab w:leader="none" w:pos="20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investor perception of us and the industries we operate in.</w:t>
      </w:r>
    </w:p>
    <w:p>
      <w:pPr>
        <w:spacing w:after="0" w:line="171" w:lineRule="exact"/>
        <w:rPr>
          <w:sz w:val="20"/>
          <w:szCs w:val="20"/>
          <w:color w:val="auto"/>
        </w:rPr>
      </w:pPr>
    </w:p>
    <w:p>
      <w:pPr>
        <w:ind w:right="440" w:firstLine="434"/>
        <w:spacing w:after="0" w:line="239" w:lineRule="auto"/>
        <w:rPr>
          <w:sz w:val="20"/>
          <w:szCs w:val="20"/>
          <w:color w:val="auto"/>
        </w:rPr>
      </w:pPr>
      <w:r>
        <w:rPr>
          <w:rFonts w:ascii="Arial" w:cs="Arial" w:eastAsia="Arial" w:hAnsi="Arial"/>
          <w:sz w:val="15"/>
          <w:szCs w:val="15"/>
          <w:color w:val="auto"/>
        </w:rPr>
        <w:t>As a result of these factors, investors in our common stock may not be able to resell their shares at or above the initial purchase price. These broad market and industry factors may materially reduce the market price of our common stock, regardless of our operating performance.</w:t>
      </w:r>
    </w:p>
    <w:p>
      <w:pPr>
        <w:spacing w:after="0" w:line="166" w:lineRule="exact"/>
        <w:rPr>
          <w:sz w:val="20"/>
          <w:szCs w:val="20"/>
          <w:color w:val="auto"/>
        </w:rPr>
      </w:pPr>
    </w:p>
    <w:p>
      <w:pPr>
        <w:jc w:val="both"/>
        <w:ind w:right="80" w:firstLine="434"/>
        <w:spacing w:after="0" w:line="236" w:lineRule="auto"/>
        <w:rPr>
          <w:sz w:val="20"/>
          <w:szCs w:val="20"/>
          <w:color w:val="auto"/>
        </w:rPr>
      </w:pPr>
      <w:r>
        <w:rPr>
          <w:rFonts w:ascii="Arial" w:cs="Arial" w:eastAsia="Arial" w:hAnsi="Arial"/>
          <w:sz w:val="15"/>
          <w:szCs w:val="15"/>
          <w:color w:val="auto"/>
        </w:rPr>
        <w:t>In addition, the stock markets have experienced extreme price and volume fluctuations that have affected and continue to affect the market prices of equity securities of many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46" w:name="page47"/>
    <w:bookmarkEnd w:id="46"/>
    <w:p>
      <w:pPr>
        <w:spacing w:after="0"/>
        <w:rPr>
          <w:sz w:val="20"/>
          <w:szCs w:val="20"/>
          <w:color w:val="auto"/>
        </w:rPr>
      </w:pPr>
      <w:r>
        <w:rPr>
          <w:rFonts w:ascii="Arial" w:cs="Arial" w:eastAsia="Arial" w:hAnsi="Arial"/>
          <w:sz w:val="15"/>
          <w:szCs w:val="15"/>
          <w:b w:val="1"/>
          <w:bCs w:val="1"/>
          <w:i w:val="1"/>
          <w:iCs w:val="1"/>
          <w:color w:val="auto"/>
        </w:rPr>
        <w:t>Our operating results and share price may be volatile, and the market price of our common stock may drop.</w:t>
      </w:r>
    </w:p>
    <w:p>
      <w:pPr>
        <w:spacing w:after="0" w:line="189" w:lineRule="exact"/>
        <w:rPr>
          <w:sz w:val="20"/>
          <w:szCs w:val="20"/>
          <w:color w:val="auto"/>
        </w:rPr>
      </w:pPr>
    </w:p>
    <w:p>
      <w:pPr>
        <w:ind w:right="60" w:firstLine="434"/>
        <w:spacing w:after="0" w:line="235" w:lineRule="auto"/>
        <w:rPr>
          <w:sz w:val="20"/>
          <w:szCs w:val="20"/>
          <w:color w:val="auto"/>
        </w:rPr>
      </w:pPr>
      <w:r>
        <w:rPr>
          <w:rFonts w:ascii="Arial" w:cs="Arial" w:eastAsia="Arial" w:hAnsi="Arial"/>
          <w:sz w:val="15"/>
          <w:szCs w:val="15"/>
          <w:color w:val="auto"/>
        </w:rPr>
        <w:t>Our quarterly operating results are likely to fluctuate in the future as a publicly traded company. In addition, securities markets worldwide have experienced, and are likely to continue to experience, significant price and volume fluctuations. This market volatility, as well as general economic, market or political conditions, could subject the market price of our shares to wide price fluctuations regardless of our operating performance. Our operating results and the trading price of our shares may fluctuate in response to various factors, including:</w:t>
      </w:r>
    </w:p>
    <w:p>
      <w:pPr>
        <w:spacing w:after="0" w:line="78" w:lineRule="exact"/>
        <w:rPr>
          <w:sz w:val="20"/>
          <w:szCs w:val="20"/>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market conditions in the broader stock market;</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actual or anticipated fluctuations in our quarterly financial and operating results;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introduction of new products or services by us or our competitors;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our awards, backlog and book-to-bill ratios in a given period;</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issuance of new or changed securities analysts’ reports or recommendations;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results of operations that vary from expectations of securities analysis and investors;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guidance, if any, that we provide to the public, any changes in this guidance or our failure to meet this guidance;</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strategic actions by us or our competitors;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announcement by us, our competitors or our acquisition targets;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sales, or anticipated sales, of large blocks of our stock;</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additions or departures of key personnel;</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regulatory, legal or political developments;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public response to press releases or other public announcements by us or third parties, including our filings with the SEC;</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litigation and governmental investigations;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seasonality associated with U.S. federal, state, regional and local government funding and spending;</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changing economic conditions;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changes in accounting principles;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default under agreements governing our indebtedness;</w:t>
      </w:r>
    </w:p>
    <w:p>
      <w:pPr>
        <w:spacing w:after="0" w:line="82" w:lineRule="exact"/>
        <w:rPr>
          <w:rFonts w:ascii="Arial" w:cs="Arial" w:eastAsia="Arial" w:hAnsi="Arial"/>
          <w:sz w:val="15"/>
          <w:szCs w:val="15"/>
          <w:color w:val="auto"/>
        </w:rPr>
      </w:pPr>
    </w:p>
    <w:p>
      <w:pPr>
        <w:ind w:left="1740" w:hanging="435"/>
        <w:spacing w:after="0"/>
        <w:tabs>
          <w:tab w:leader="none" w:pos="17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exchange rate fluctuations; and</w:t>
      </w:r>
    </w:p>
    <w:p>
      <w:pPr>
        <w:spacing w:after="0" w:line="82" w:lineRule="exact"/>
        <w:rPr>
          <w:rFonts w:ascii="Arial" w:cs="Arial" w:eastAsia="Arial" w:hAnsi="Arial"/>
          <w:sz w:val="15"/>
          <w:szCs w:val="15"/>
          <w:color w:val="auto"/>
        </w:rPr>
      </w:pPr>
    </w:p>
    <w:p>
      <w:pPr>
        <w:ind w:left="1040" w:right="80" w:firstLine="394"/>
        <w:spacing w:after="0" w:line="239" w:lineRule="auto"/>
        <w:tabs>
          <w:tab w:leader="none" w:pos="2018" w:val="left"/>
        </w:tabs>
        <w:numPr>
          <w:ilvl w:val="1"/>
          <w:numId w:val="32"/>
        </w:numPr>
        <w:rPr>
          <w:rFonts w:ascii="Arial" w:cs="Arial" w:eastAsia="Arial" w:hAnsi="Arial"/>
          <w:sz w:val="15"/>
          <w:szCs w:val="15"/>
          <w:color w:val="auto"/>
        </w:rPr>
      </w:pPr>
      <w:r>
        <w:rPr>
          <w:rFonts w:ascii="Arial" w:cs="Arial" w:eastAsia="Arial" w:hAnsi="Arial"/>
          <w:sz w:val="15"/>
          <w:szCs w:val="15"/>
          <w:color w:val="auto"/>
        </w:rPr>
        <w:t>other events or factors, including those from natural disasters, war, actors of terrorism or responses to these events and pandemics, such as the COVID-19 pandemic.</w:t>
      </w:r>
    </w:p>
    <w:p>
      <w:pPr>
        <w:spacing w:after="0" w:line="166"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These and other factors, many of which are beyond our control, may cause our operating results and the market price and demand for our shares to fluctuate substantially. While we believe that operating results for any particular quarter are not necessarily a meaningful indication of future results, fluctuations in our quarterly operating results could limit or prevent investors from readily selling their shares and may otherwise negatively affect the market price and liquidity of our shares. In addition, in the past, when the market price of a stock has been volatile, holders of that stock have sometimes instituted securities class action litigation against the company that issued the stock. If any of our stockholders brought a lawsuit against us, we could incur substantial costs defending the lawsuit. Such a lawsuit could also divert the time and attention of our management from our business, which could significantly harm our profitability and reputation.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564" w:right="339" w:bottom="1440" w:gutter="0" w:footer="0" w:header="0"/>
        </w:sectPr>
      </w:pPr>
    </w:p>
    <w:bookmarkStart w:id="47" w:name="page48"/>
    <w:bookmarkEnd w:id="47"/>
    <w:p>
      <w:pPr>
        <w:ind w:right="120"/>
        <w:spacing w:after="0" w:line="263" w:lineRule="auto"/>
        <w:rPr>
          <w:sz w:val="20"/>
          <w:szCs w:val="20"/>
          <w:color w:val="auto"/>
        </w:rPr>
      </w:pPr>
      <w:r>
        <w:rPr>
          <w:rFonts w:ascii="Arial" w:cs="Arial" w:eastAsia="Arial" w:hAnsi="Arial"/>
          <w:sz w:val="15"/>
          <w:szCs w:val="15"/>
          <w:b w:val="1"/>
          <w:bCs w:val="1"/>
          <w:i w:val="1"/>
          <w:iCs w:val="1"/>
          <w:color w:val="auto"/>
        </w:rPr>
        <w:t>Sales of outstanding shares of our common stock into the market in the future could cause the market price of our common stock to drop significantly, even if our business is doing well.</w:t>
      </w:r>
    </w:p>
    <w:p>
      <w:pPr>
        <w:spacing w:after="0" w:line="150" w:lineRule="exact"/>
        <w:rPr>
          <w:sz w:val="20"/>
          <w:szCs w:val="20"/>
          <w:color w:val="auto"/>
        </w:rPr>
      </w:pPr>
    </w:p>
    <w:p>
      <w:pPr>
        <w:ind w:firstLine="434"/>
        <w:spacing w:after="0" w:line="234" w:lineRule="auto"/>
        <w:rPr>
          <w:sz w:val="20"/>
          <w:szCs w:val="20"/>
          <w:color w:val="auto"/>
        </w:rPr>
      </w:pPr>
      <w:r>
        <w:rPr>
          <w:rFonts w:ascii="Arial" w:cs="Arial" w:eastAsia="Arial" w:hAnsi="Arial"/>
          <w:sz w:val="15"/>
          <w:szCs w:val="15"/>
          <w:color w:val="auto"/>
        </w:rPr>
        <w:t>At December 31, 2020, we had 146,609,288 shares of our common stock issued and 102,360,662 outstanding. Of these shares, 76,641,312 shares are owned by the ESOP, 25,719,350 shares are publicly owned, and 44,248,626 shares are Treasury stock. We are party to a registration rights agreement with the ESOP Trustee, providing the ESOP with certain demand registration rights related to shares held by the ESOP in the event the ESOP Trustee determines in good faith, in exercising its fiduciary duties under ERISA, that the ESOP is required to sell its shares, which we believe is only likely to occur if our business, financial condition or results of operations have materially and adversely deteriorated.</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Qualifying ESOP participants have the right to receive distributions of shares of our common stock from the ESOP and can sell such shares in the market.</w:t>
      </w:r>
    </w:p>
    <w:p>
      <w:pPr>
        <w:spacing w:after="0" w:line="278" w:lineRule="exact"/>
        <w:rPr>
          <w:sz w:val="20"/>
          <w:szCs w:val="20"/>
          <w:color w:val="auto"/>
        </w:rPr>
      </w:pPr>
    </w:p>
    <w:p>
      <w:pPr>
        <w:ind w:right="60" w:firstLine="434"/>
        <w:spacing w:after="0" w:line="233" w:lineRule="auto"/>
        <w:rPr>
          <w:sz w:val="20"/>
          <w:szCs w:val="20"/>
          <w:color w:val="auto"/>
        </w:rPr>
      </w:pPr>
      <w:r>
        <w:rPr>
          <w:rFonts w:ascii="Arial" w:cs="Arial" w:eastAsia="Arial" w:hAnsi="Arial"/>
          <w:sz w:val="15"/>
          <w:szCs w:val="15"/>
          <w:color w:val="auto"/>
        </w:rPr>
        <w:t>As of December 31, 2020, there were 76,641,312 shares of common stock held in the ESOP. Shares held in the ESOP are eligible for sale in the public market, subject to applicable Rule 144 limitations, vesting restrictions and any applicable market standoff agreements and lock-up agreements. Participants are generally entitled to distributions from the ESOP only following termination of employment or upon death and in order to diversify their accounts upon attaining a specified age and completing a specified number of years of service. As previously noted in the section of Part 1, Item 1 entitled “Employee Stock Ownership Plan”, in December 2020, the board of directors approved an amendment to the Employee Stock Ownership Plan to provide more flexible diversification rights for participants, and in January 2021, the board of directors approved the modification of the thresholds for distributions to participants in the ESOP effective March 1, 2021.</w:t>
      </w:r>
    </w:p>
    <w:p>
      <w:pPr>
        <w:spacing w:after="0" w:line="259" w:lineRule="exact"/>
        <w:rPr>
          <w:sz w:val="20"/>
          <w:szCs w:val="20"/>
          <w:color w:val="auto"/>
        </w:rPr>
      </w:pPr>
    </w:p>
    <w:p>
      <w:pPr>
        <w:ind w:right="120" w:firstLine="434"/>
        <w:spacing w:after="0" w:line="235" w:lineRule="auto"/>
        <w:rPr>
          <w:sz w:val="20"/>
          <w:szCs w:val="20"/>
          <w:color w:val="auto"/>
        </w:rPr>
      </w:pPr>
      <w:r>
        <w:rPr>
          <w:rFonts w:ascii="Arial" w:cs="Arial" w:eastAsia="Arial" w:hAnsi="Arial"/>
          <w:sz w:val="15"/>
          <w:szCs w:val="15"/>
          <w:color w:val="auto"/>
        </w:rPr>
        <w:t>ESOP distributions are made in the form of shares of our common stock (other than distributions in respect of fractional shares, which will be made in cash). Upon receiving a distribution of our common stock from the ESOP, a participant will be able to sell such shares in the market. As a result, we cannot predict the effect, if any, that these distributions and the corresponding sales of shares by the participants may have on the market price of our common stock. Distribution of substantial amounts of our common stock to participants may cause the market price of our common stock to decline.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of additional stock, not reserved for issuance under our equity incentive plans or otherwise, will dilute all other stockholdings.</w:t>
      </w:r>
    </w:p>
    <w:p>
      <w:pPr>
        <w:spacing w:after="0" w:line="100"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We have an aggregate of 853,390,712 shares of common stock authorized but not outstanding and not reserved for issuance under our 2020 Plan, under our existing Incentive Plans or otherwise. We may issue all of these shares without any action or approval by our stockholders. The issuance of additional shares could be dilutive to existing holders. We historically have made annual contributions of our common stock to the ESOP. We made contributions of 1,522,381 shares in fiscal 2020, 1,345,198 shares in fiscal 2019, and 1,874,988 shares in fiscal 2018 of our common stock to the ESOP and intend to continue to make annual contributions in shares of our common stock to the ESOP. In fiscal 2020, 2019 and 2018, we made annual contributions to the ESOP in shares of our common stock in the amount of 8% of the participants’ cash compensation for the applicable year (net of shares forfeited by participants in the applicable year). For future fiscal years, the annual contribution to the ESOP shall be in amounts as determined by the board of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76" w:right="339" w:bottom="1440" w:gutter="0" w:footer="0" w:header="0"/>
        </w:sectPr>
      </w:pPr>
    </w:p>
    <w:bookmarkStart w:id="48" w:name="page49"/>
    <w:bookmarkEnd w:id="48"/>
    <w:p>
      <w:pPr>
        <w:ind w:right="60"/>
        <w:spacing w:after="0" w:line="247" w:lineRule="auto"/>
        <w:rPr>
          <w:sz w:val="20"/>
          <w:szCs w:val="20"/>
          <w:color w:val="auto"/>
        </w:rPr>
      </w:pPr>
      <w:r>
        <w:rPr>
          <w:rFonts w:ascii="Arial" w:cs="Arial" w:eastAsia="Arial" w:hAnsi="Arial"/>
          <w:sz w:val="15"/>
          <w:szCs w:val="15"/>
          <w:b w:val="1"/>
          <w:bCs w:val="1"/>
          <w:i w:val="1"/>
          <w:iCs w:val="1"/>
          <w:color w:val="auto"/>
        </w:rPr>
        <w:t>Your ability to influence corporate matters may be limited because the ESOP beneficially owns a majority of our stock and therefore our participants, voting the shares allocated to them under the ESOP, or the ESOP Trustee, who will have the right to vote shares for which no voting instructions are provided by employees, could have substantial control over us.</w:t>
      </w:r>
    </w:p>
    <w:p>
      <w:pPr>
        <w:spacing w:after="0" w:line="73" w:lineRule="exact"/>
        <w:rPr>
          <w:sz w:val="20"/>
          <w:szCs w:val="20"/>
          <w:color w:val="auto"/>
        </w:rPr>
      </w:pPr>
    </w:p>
    <w:p>
      <w:pPr>
        <w:ind w:right="160" w:firstLine="434"/>
        <w:spacing w:after="0" w:line="234" w:lineRule="auto"/>
        <w:rPr>
          <w:sz w:val="20"/>
          <w:szCs w:val="20"/>
          <w:color w:val="auto"/>
        </w:rPr>
      </w:pPr>
      <w:r>
        <w:rPr>
          <w:rFonts w:ascii="Arial" w:cs="Arial" w:eastAsia="Arial" w:hAnsi="Arial"/>
          <w:sz w:val="15"/>
          <w:szCs w:val="15"/>
          <w:color w:val="auto"/>
        </w:rPr>
        <w:t>Our common stock has one vote per share. The ESOP beneficially owns approximately 75% of our outstanding common stock. Under the terms of the ESOP, each participant has the ability to direct the ESOP Trustee on the voting of the shares allocated to his or her account under the ESOP. However, the ESOP Trustee will vote any shares that a participant does not direct the voting, or any shares that are held by the ESOP which are not allocated to participants’ accounts. As such, the ESOP Trustee may be able to exercise a greater influence than otherwise over matters requiring stockholder approval, including the election of directors and approval of significant corporate transactions.</w:t>
      </w:r>
    </w:p>
    <w:p>
      <w:pPr>
        <w:spacing w:after="0" w:line="168" w:lineRule="exact"/>
        <w:rPr>
          <w:sz w:val="20"/>
          <w:szCs w:val="20"/>
          <w:color w:val="auto"/>
        </w:rPr>
      </w:pPr>
    </w:p>
    <w:p>
      <w:pPr>
        <w:ind w:right="300" w:firstLine="434"/>
        <w:spacing w:after="0" w:line="239" w:lineRule="auto"/>
        <w:rPr>
          <w:sz w:val="20"/>
          <w:szCs w:val="20"/>
          <w:color w:val="auto"/>
        </w:rPr>
      </w:pPr>
      <w:r>
        <w:rPr>
          <w:rFonts w:ascii="Arial" w:cs="Arial" w:eastAsia="Arial" w:hAnsi="Arial"/>
          <w:sz w:val="15"/>
          <w:szCs w:val="15"/>
          <w:color w:val="auto"/>
        </w:rPr>
        <w:t>The purpose of the ESOP is to provide retirement income to employees and their beneficiaries. Accordingly, the interests of the ESOP and the ESOP participants may be contrary to yours as an outside investor.</w:t>
      </w:r>
    </w:p>
    <w:p>
      <w:pPr>
        <w:spacing w:after="0" w:line="166" w:lineRule="exact"/>
        <w:rPr>
          <w:sz w:val="20"/>
          <w:szCs w:val="20"/>
          <w:color w:val="auto"/>
        </w:rPr>
      </w:pPr>
    </w:p>
    <w:p>
      <w:pPr>
        <w:ind w:right="20" w:firstLine="434"/>
        <w:spacing w:after="0" w:line="233" w:lineRule="auto"/>
        <w:rPr>
          <w:sz w:val="20"/>
          <w:szCs w:val="20"/>
          <w:color w:val="auto"/>
        </w:rPr>
      </w:pPr>
      <w:r>
        <w:rPr>
          <w:rFonts w:ascii="Arial" w:cs="Arial" w:eastAsia="Arial" w:hAnsi="Arial"/>
          <w:sz w:val="15"/>
          <w:szCs w:val="15"/>
          <w:color w:val="auto"/>
        </w:rPr>
        <w:t>ERISA sets forth certain fiduciary requirements that require an ERISA fiduciary, like the ESOP Trustee, to act solely in the interests of plan participants and their beneficiaries for the purpose of providing retirement benefits. The Department of Labor, which is the agency with the authority to interpret and enforce the fiduciary sections of ERISA, has indicated in its interpretative guidance that voting is an ERISA fiduciary act. The ESOP Trustee’s fiduciary duties under ERISA to the ESOP and its participants may cause the ESOP Trustee to override participants’ voting directions to the extent that following such directions would violate ERISA. In such case, the ESOP Trustee will be able to exercise voting control over all of the ESOP’s shares. Further, the interests of the minority stockholders may not be aligned with those of the ESOP as the majority stockholder, because the ESOP Trustee is required under ERISA to act in the best interest of the ESOP participants and beneficiaries, this may present a conflict.</w:t>
      </w:r>
    </w:p>
    <w:p>
      <w:pPr>
        <w:spacing w:after="0" w:line="169" w:lineRule="exact"/>
        <w:rPr>
          <w:sz w:val="20"/>
          <w:szCs w:val="20"/>
          <w:color w:val="auto"/>
        </w:rPr>
      </w:pPr>
    </w:p>
    <w:p>
      <w:pPr>
        <w:ind w:right="500" w:firstLine="434"/>
        <w:spacing w:after="0" w:line="239" w:lineRule="auto"/>
        <w:rPr>
          <w:sz w:val="20"/>
          <w:szCs w:val="20"/>
          <w:color w:val="auto"/>
        </w:rPr>
      </w:pPr>
      <w:r>
        <w:rPr>
          <w:rFonts w:ascii="Arial" w:cs="Arial" w:eastAsia="Arial" w:hAnsi="Arial"/>
          <w:sz w:val="15"/>
          <w:szCs w:val="15"/>
          <w:color w:val="auto"/>
        </w:rPr>
        <w:t>As a result, the concentration of ownership in our company by the ESOP could delay or prevent a change in control of our company or otherwise discourage a potential acquirer from attempting to obtain control of our company, which in turn could reduce the price of our common stock.</w:t>
      </w:r>
    </w:p>
    <w:p>
      <w:pPr>
        <w:spacing w:after="0" w:line="237" w:lineRule="exact"/>
        <w:rPr>
          <w:sz w:val="20"/>
          <w:szCs w:val="20"/>
          <w:color w:val="auto"/>
        </w:rPr>
      </w:pPr>
    </w:p>
    <w:p>
      <w:pPr>
        <w:ind w:right="380"/>
        <w:spacing w:after="0" w:line="299" w:lineRule="auto"/>
        <w:rPr>
          <w:sz w:val="20"/>
          <w:szCs w:val="20"/>
          <w:color w:val="auto"/>
        </w:rPr>
      </w:pPr>
      <w:r>
        <w:rPr>
          <w:rFonts w:ascii="Arial" w:cs="Arial" w:eastAsia="Arial" w:hAnsi="Arial"/>
          <w:sz w:val="14"/>
          <w:szCs w:val="14"/>
          <w:b w:val="1"/>
          <w:bCs w:val="1"/>
          <w:i w:val="1"/>
          <w:iCs w:val="1"/>
          <w:color w:val="auto"/>
        </w:rPr>
        <w:t>We are a “controlled company” within the meaning of the New York Stock Exchange listing standards and, as a result, qualify for exemptions from certain corporate governance requirements. You may not have the same protections afforded to stockholders of companies that are subject to such requirements.</w:t>
      </w:r>
    </w:p>
    <w:p>
      <w:pPr>
        <w:spacing w:after="0" w:line="38" w:lineRule="exact"/>
        <w:rPr>
          <w:sz w:val="20"/>
          <w:szCs w:val="20"/>
          <w:color w:val="auto"/>
        </w:rPr>
      </w:pPr>
    </w:p>
    <w:p>
      <w:pPr>
        <w:ind w:firstLine="434"/>
        <w:spacing w:after="0" w:line="233" w:lineRule="auto"/>
        <w:rPr>
          <w:sz w:val="20"/>
          <w:szCs w:val="20"/>
          <w:color w:val="auto"/>
        </w:rPr>
      </w:pPr>
      <w:r>
        <w:rPr>
          <w:rFonts w:ascii="Arial" w:cs="Arial" w:eastAsia="Arial" w:hAnsi="Arial"/>
          <w:sz w:val="15"/>
          <w:szCs w:val="15"/>
          <w:color w:val="auto"/>
        </w:rPr>
        <w:t>The ESOP holds common stock representing approximately 75% of the voting power of our common stock as of December 31, 2020. As a result, we are considered a “controlled company” for the purposes of New York Stock Exchange (“NYSE”) rules and corporate governance standards. As a controlled company, we are exempt from certain NYSE corporate governance requirements, including those that would otherwise require our board of directors to have a majority of independent directors and require that we either establish compensation and nominating and corporate governance board committees, each comprised entirely of independent directors, or otherwise ensure that the compensation of our executive officers and nominees for directors are determined or recommended to the board of directors by the independent members of the board of directors. While we intend to have a majority of independent directors, and our compensation and nominating and corporate governance committees to consist entirely of independent directors, we may decide at a later time to rely on one of the “controlled company” exemptions. Accordingly, our common stock may not have the same protections afforded to stockholders of companies that are subject to all of the NYSE corporate governance requirements.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raise capital in the future may be limited, which could limit our business plan or adversely affect your investment.</w:t>
      </w:r>
    </w:p>
    <w:p>
      <w:pPr>
        <w:spacing w:after="0" w:line="100" w:lineRule="exact"/>
        <w:rPr>
          <w:sz w:val="20"/>
          <w:szCs w:val="20"/>
          <w:color w:val="auto"/>
        </w:rPr>
      </w:pPr>
    </w:p>
    <w:p>
      <w:pPr>
        <w:ind w:right="60" w:firstLine="434"/>
        <w:spacing w:after="0" w:line="239" w:lineRule="auto"/>
        <w:rPr>
          <w:sz w:val="20"/>
          <w:szCs w:val="20"/>
          <w:color w:val="auto"/>
        </w:rPr>
      </w:pPr>
      <w:r>
        <w:rPr>
          <w:rFonts w:ascii="Arial" w:cs="Arial" w:eastAsia="Arial" w:hAnsi="Arial"/>
          <w:sz w:val="15"/>
          <w:szCs w:val="15"/>
          <w:color w:val="auto"/>
        </w:rPr>
        <w:t>Our business and strategic plans may consume resources faster than we anticipate. In the future, we may need to raise additional funds through the issuance of new equity securities, debt or a combination of</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564" w:right="339" w:bottom="1440" w:gutter="0" w:footer="0" w:header="0"/>
        </w:sectPr>
      </w:pPr>
    </w:p>
    <w:bookmarkStart w:id="49" w:name="page50"/>
    <w:bookmarkEnd w:id="49"/>
    <w:p>
      <w:pPr>
        <w:spacing w:after="0" w:line="233" w:lineRule="auto"/>
        <w:rPr>
          <w:sz w:val="20"/>
          <w:szCs w:val="20"/>
          <w:color w:val="auto"/>
        </w:rPr>
      </w:pPr>
      <w:r>
        <w:rPr>
          <w:rFonts w:ascii="Arial" w:cs="Arial" w:eastAsia="Arial" w:hAnsi="Arial"/>
          <w:sz w:val="15"/>
          <w:szCs w:val="15"/>
          <w:color w:val="auto"/>
        </w:rPr>
        <w:t>both. However, any decline in the market price of our common stock could impair our ability to raise capital. Separately, additional financing may not be available on favorable terms, or at all. If adequate funds are not available on acceptable terms, we may be unable to fund our operations or new investments. If we issue new debt securities, the debt holders would have rights senior to common stockholders to make claims on our assets, and the terms of any debt could restrict our operations, including our ability to pay dividends on our common stock. If we issue additional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our stockholders bear the risk of our future securities offerings reducing the market price of our common stock and diluting their interest.</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in our organizational documents could delay a change in management and limit our share price.</w:t>
      </w:r>
    </w:p>
    <w:p>
      <w:pPr>
        <w:spacing w:after="0" w:line="100" w:lineRule="exact"/>
        <w:rPr>
          <w:sz w:val="20"/>
          <w:szCs w:val="20"/>
          <w:color w:val="auto"/>
        </w:rPr>
      </w:pPr>
    </w:p>
    <w:p>
      <w:pPr>
        <w:ind w:right="200" w:firstLine="434"/>
        <w:spacing w:after="0" w:line="239" w:lineRule="auto"/>
        <w:rPr>
          <w:sz w:val="20"/>
          <w:szCs w:val="20"/>
          <w:color w:val="auto"/>
        </w:rPr>
      </w:pPr>
      <w:r>
        <w:rPr>
          <w:rFonts w:ascii="Arial" w:cs="Arial" w:eastAsia="Arial" w:hAnsi="Arial"/>
          <w:sz w:val="15"/>
          <w:szCs w:val="15"/>
          <w:color w:val="auto"/>
        </w:rPr>
        <w:t>Provisions of our certificate of incorporation and bylaws could make it more difficult for a third party to acquire control of us even if such a change in control would increase the value of our common stock and prevent attempts by our stockholders to replace or remove our current board of directors or management.</w:t>
      </w:r>
    </w:p>
    <w:p>
      <w:pPr>
        <w:spacing w:after="0" w:line="166" w:lineRule="exact"/>
        <w:rPr>
          <w:sz w:val="20"/>
          <w:szCs w:val="20"/>
          <w:color w:val="auto"/>
        </w:rPr>
      </w:pPr>
    </w:p>
    <w:p>
      <w:pPr>
        <w:ind w:right="500" w:firstLine="434"/>
        <w:spacing w:after="0" w:line="239" w:lineRule="auto"/>
        <w:rPr>
          <w:sz w:val="20"/>
          <w:szCs w:val="20"/>
          <w:color w:val="auto"/>
        </w:rPr>
      </w:pPr>
      <w:r>
        <w:rPr>
          <w:rFonts w:ascii="Arial" w:cs="Arial" w:eastAsia="Arial" w:hAnsi="Arial"/>
          <w:sz w:val="15"/>
          <w:szCs w:val="15"/>
          <w:color w:val="auto"/>
        </w:rPr>
        <w:t>We have a number of anti-takeover devices that could hinder takeover attempts and could reduce the market value of our common stock or prevent sale at a premium. Our anti-takeover provisions:</w:t>
      </w:r>
    </w:p>
    <w:p>
      <w:pPr>
        <w:spacing w:after="0" w:line="78" w:lineRule="exact"/>
        <w:rPr>
          <w:sz w:val="20"/>
          <w:szCs w:val="20"/>
          <w:color w:val="auto"/>
        </w:rPr>
      </w:pPr>
    </w:p>
    <w:p>
      <w:pPr>
        <w:ind w:left="1740" w:hanging="435"/>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permit the board of directors to establish the number of directors and fill any vacancies and newly created directorships;</w:t>
      </w:r>
    </w:p>
    <w:p>
      <w:pPr>
        <w:spacing w:after="0" w:line="270" w:lineRule="exact"/>
        <w:rPr>
          <w:rFonts w:ascii="Arial" w:cs="Arial" w:eastAsia="Arial" w:hAnsi="Arial"/>
          <w:sz w:val="15"/>
          <w:szCs w:val="15"/>
          <w:color w:val="auto"/>
        </w:rPr>
      </w:pPr>
    </w:p>
    <w:p>
      <w:pPr>
        <w:ind w:left="1740" w:right="200" w:hanging="435"/>
        <w:spacing w:after="0" w:line="239" w:lineRule="auto"/>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provide that our board of directors is classified into three classes with staggered, three-year terms and that directors may only be removed for cause;</w:t>
      </w:r>
    </w:p>
    <w:p>
      <w:pPr>
        <w:spacing w:after="0" w:line="254" w:lineRule="exact"/>
        <w:rPr>
          <w:rFonts w:ascii="Arial" w:cs="Arial" w:eastAsia="Arial" w:hAnsi="Arial"/>
          <w:sz w:val="15"/>
          <w:szCs w:val="15"/>
          <w:color w:val="auto"/>
        </w:rPr>
      </w:pPr>
    </w:p>
    <w:p>
      <w:pPr>
        <w:jc w:val="both"/>
        <w:ind w:left="1740" w:right="320" w:hanging="435"/>
        <w:spacing w:after="0" w:line="272" w:lineRule="auto"/>
        <w:tabs>
          <w:tab w:leader="none" w:pos="17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 blank-check preferred stock, the preference, rights and other terms of which may be set by the board of directors and could delay or prevent a transaction or a change in control that might involve a premium price for our common stock or otherwise benefit our stockholders;</w:t>
      </w:r>
    </w:p>
    <w:p>
      <w:pPr>
        <w:spacing w:after="0" w:line="233" w:lineRule="exact"/>
        <w:rPr>
          <w:rFonts w:ascii="Arial" w:cs="Arial" w:eastAsia="Arial" w:hAnsi="Arial"/>
          <w:sz w:val="14"/>
          <w:szCs w:val="14"/>
          <w:color w:val="auto"/>
        </w:rPr>
      </w:pPr>
    </w:p>
    <w:p>
      <w:pPr>
        <w:ind w:left="1740" w:hanging="435"/>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eliminate the ability of our stockholders to call special meetings of stockholders;</w:t>
      </w:r>
    </w:p>
    <w:p>
      <w:pPr>
        <w:spacing w:after="0" w:line="270" w:lineRule="exact"/>
        <w:rPr>
          <w:rFonts w:ascii="Arial" w:cs="Arial" w:eastAsia="Arial" w:hAnsi="Arial"/>
          <w:sz w:val="15"/>
          <w:szCs w:val="15"/>
          <w:color w:val="auto"/>
        </w:rPr>
      </w:pPr>
    </w:p>
    <w:p>
      <w:pPr>
        <w:ind w:left="1740" w:right="60" w:hanging="435"/>
        <w:spacing w:after="0" w:line="239" w:lineRule="auto"/>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specify that special meetings of our stockholders can be called only by our board of directors or a board committee authorized with the power to call such meetings;</w:t>
      </w:r>
    </w:p>
    <w:p>
      <w:pPr>
        <w:spacing w:after="0" w:line="254" w:lineRule="exact"/>
        <w:rPr>
          <w:rFonts w:ascii="Arial" w:cs="Arial" w:eastAsia="Arial" w:hAnsi="Arial"/>
          <w:sz w:val="15"/>
          <w:szCs w:val="15"/>
          <w:color w:val="auto"/>
        </w:rPr>
      </w:pPr>
    </w:p>
    <w:p>
      <w:pPr>
        <w:ind w:left="1740" w:hanging="435"/>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270" w:lineRule="exact"/>
        <w:rPr>
          <w:rFonts w:ascii="Arial" w:cs="Arial" w:eastAsia="Arial" w:hAnsi="Arial"/>
          <w:sz w:val="15"/>
          <w:szCs w:val="15"/>
          <w:color w:val="auto"/>
        </w:rPr>
      </w:pPr>
    </w:p>
    <w:p>
      <w:pPr>
        <w:ind w:left="1740" w:hanging="435"/>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provide that vacancies on our board of directors may be filled only by a majority of directors then in office, even though less than a quorum;</w:t>
      </w:r>
    </w:p>
    <w:p>
      <w:pPr>
        <w:spacing w:after="0" w:line="270" w:lineRule="exact"/>
        <w:rPr>
          <w:rFonts w:ascii="Arial" w:cs="Arial" w:eastAsia="Arial" w:hAnsi="Arial"/>
          <w:sz w:val="15"/>
          <w:szCs w:val="15"/>
          <w:color w:val="auto"/>
        </w:rPr>
      </w:pPr>
    </w:p>
    <w:p>
      <w:pPr>
        <w:ind w:left="1740" w:hanging="435"/>
        <w:spacing w:after="0"/>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prohibit cumulative voting in the election of directors; and</w:t>
      </w:r>
    </w:p>
    <w:p>
      <w:pPr>
        <w:spacing w:after="0" w:line="182" w:lineRule="exact"/>
        <w:rPr>
          <w:rFonts w:ascii="Arial" w:cs="Arial" w:eastAsia="Arial" w:hAnsi="Arial"/>
          <w:sz w:val="15"/>
          <w:szCs w:val="15"/>
          <w:color w:val="auto"/>
        </w:rPr>
      </w:pPr>
    </w:p>
    <w:p>
      <w:pPr>
        <w:ind w:left="1740" w:right="120" w:hanging="435"/>
        <w:spacing w:after="0" w:line="239" w:lineRule="auto"/>
        <w:tabs>
          <w:tab w:leader="none" w:pos="17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 to our board of directors or for proposing matters that can be acted upon by stockholders at annual stockholders’ meetings.</w:t>
      </w:r>
    </w:p>
    <w:p>
      <w:pPr>
        <w:spacing w:after="0" w:line="344" w:lineRule="exact"/>
        <w:rPr>
          <w:sz w:val="20"/>
          <w:szCs w:val="20"/>
          <w:color w:val="auto"/>
        </w:rPr>
      </w:pPr>
    </w:p>
    <w:p>
      <w:pPr>
        <w:ind w:right="120" w:firstLine="434"/>
        <w:spacing w:after="0" w:line="239" w:lineRule="auto"/>
        <w:rPr>
          <w:sz w:val="20"/>
          <w:szCs w:val="20"/>
          <w:color w:val="auto"/>
        </w:rPr>
      </w:pPr>
      <w:r>
        <w:rPr>
          <w:rFonts w:ascii="Arial" w:cs="Arial" w:eastAsia="Arial" w:hAnsi="Arial"/>
          <w:sz w:val="15"/>
          <w:szCs w:val="15"/>
          <w:color w:val="auto"/>
        </w:rPr>
        <w:t>In addition, as a Delaware corporation, we are subject to Section 203 of the Delaware General Corporation Law, or the DGCL. These provisions may prohibit large stockholders, in particular those owning 15% or more of our outstanding voting stock, from merging or combining with us for a period of time.</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160"/>
          </w:cols>
          <w:pgMar w:left="300" w:top="405" w:right="439" w:bottom="1440" w:gutter="0" w:footer="0" w:header="0"/>
        </w:sectPr>
      </w:pPr>
    </w:p>
    <w:bookmarkStart w:id="50" w:name="page51"/>
    <w:bookmarkEnd w:id="50"/>
    <w:p>
      <w:pPr>
        <w:ind w:right="40"/>
        <w:spacing w:after="0" w:line="299" w:lineRule="auto"/>
        <w:rPr>
          <w:sz w:val="20"/>
          <w:szCs w:val="20"/>
          <w:color w:val="auto"/>
        </w:rPr>
      </w:pPr>
      <w:r>
        <w:rPr>
          <w:rFonts w:ascii="Arial" w:cs="Arial" w:eastAsia="Arial" w:hAnsi="Arial"/>
          <w:sz w:val="14"/>
          <w:szCs w:val="14"/>
          <w:b w:val="1"/>
          <w:bCs w:val="1"/>
          <w:i w:val="1"/>
          <w:iCs w:val="1"/>
          <w:color w:val="auto"/>
        </w:rPr>
        <w:t>Our certificate of incorporation provides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Our certificate of incorporation provides that the Court of Chancery of the State of Delaware is the exclusive forum for the following civil actions:</w:t>
      </w:r>
    </w:p>
    <w:p>
      <w:pPr>
        <w:spacing w:after="0" w:line="82" w:lineRule="exact"/>
        <w:rPr>
          <w:sz w:val="20"/>
          <w:szCs w:val="20"/>
          <w:color w:val="auto"/>
        </w:rPr>
      </w:pPr>
    </w:p>
    <w:p>
      <w:pPr>
        <w:ind w:left="1740" w:hanging="435"/>
        <w:spacing w:after="0"/>
        <w:tabs>
          <w:tab w:leader="none" w:pos="17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derivative action or proceeding brought on our behalf;</w:t>
      </w:r>
    </w:p>
    <w:p>
      <w:pPr>
        <w:spacing w:after="0" w:line="93" w:lineRule="exact"/>
        <w:rPr>
          <w:rFonts w:ascii="Arial" w:cs="Arial" w:eastAsia="Arial" w:hAnsi="Arial"/>
          <w:sz w:val="15"/>
          <w:szCs w:val="15"/>
          <w:color w:val="auto"/>
        </w:rPr>
      </w:pPr>
    </w:p>
    <w:p>
      <w:pPr>
        <w:ind w:left="1740" w:hanging="435"/>
        <w:spacing w:after="0"/>
        <w:tabs>
          <w:tab w:leader="none" w:pos="17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action asserting a claim of breach of a fiduciary duty by any of our directors, officers, employees or agents or our stockholders;</w:t>
      </w:r>
    </w:p>
    <w:p>
      <w:pPr>
        <w:spacing w:after="0" w:line="93" w:lineRule="exact"/>
        <w:rPr>
          <w:rFonts w:ascii="Arial" w:cs="Arial" w:eastAsia="Arial" w:hAnsi="Arial"/>
          <w:sz w:val="15"/>
          <w:szCs w:val="15"/>
          <w:color w:val="auto"/>
        </w:rPr>
      </w:pPr>
    </w:p>
    <w:p>
      <w:pPr>
        <w:ind w:left="1740" w:right="220" w:hanging="435"/>
        <w:spacing w:after="0" w:line="239" w:lineRule="auto"/>
        <w:tabs>
          <w:tab w:leader="none" w:pos="17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action asserting a claim arising pursuant to any provision of the DGCL or our certificate of incorporation or bylaws or as to which the DGCL confers jurisdiction on the Court of Chancery of the State of Delaware; or</w:t>
      </w:r>
    </w:p>
    <w:p>
      <w:pPr>
        <w:spacing w:after="0" w:line="77" w:lineRule="exact"/>
        <w:rPr>
          <w:rFonts w:ascii="Arial" w:cs="Arial" w:eastAsia="Arial" w:hAnsi="Arial"/>
          <w:sz w:val="15"/>
          <w:szCs w:val="15"/>
          <w:color w:val="auto"/>
        </w:rPr>
      </w:pPr>
    </w:p>
    <w:p>
      <w:pPr>
        <w:ind w:left="1740" w:hanging="435"/>
        <w:spacing w:after="0"/>
        <w:tabs>
          <w:tab w:leader="none" w:pos="17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any action asserting a claim governed by the internal affairs doctrine.</w:t>
      </w:r>
    </w:p>
    <w:p>
      <w:pPr>
        <w:spacing w:after="0" w:line="182" w:lineRule="exact"/>
        <w:rPr>
          <w:sz w:val="20"/>
          <w:szCs w:val="20"/>
          <w:color w:val="auto"/>
        </w:rPr>
      </w:pPr>
    </w:p>
    <w:p>
      <w:pPr>
        <w:ind w:right="220" w:firstLine="434"/>
        <w:spacing w:after="0" w:line="235"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the stockholder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do not expect to declare any dividends in the foreseeable future.</w:t>
      </w:r>
    </w:p>
    <w:p>
      <w:pPr>
        <w:spacing w:after="0" w:line="100" w:lineRule="exact"/>
        <w:rPr>
          <w:sz w:val="20"/>
          <w:szCs w:val="20"/>
          <w:color w:val="auto"/>
        </w:rPr>
      </w:pPr>
    </w:p>
    <w:p>
      <w:pPr>
        <w:ind w:firstLine="434"/>
        <w:spacing w:after="0" w:line="234" w:lineRule="auto"/>
        <w:rPr>
          <w:sz w:val="20"/>
          <w:szCs w:val="20"/>
          <w:color w:val="auto"/>
        </w:rPr>
      </w:pPr>
      <w:r>
        <w:rPr>
          <w:rFonts w:ascii="Arial" w:cs="Arial" w:eastAsia="Arial" w:hAnsi="Arial"/>
          <w:sz w:val="15"/>
          <w:szCs w:val="15"/>
          <w:color w:val="auto"/>
        </w:rPr>
        <w:t>We do not anticipate declaring any cash dividends to holders of our common stock in the foreseeable future.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Consequently, investors may need to sell all or part of their holdings of our common stock after price appreciation, which may never occur, as the only way to realize any future gains on their investment. Investors seeking cash dividends should not purchase our common stock.</w:t>
      </w:r>
    </w:p>
    <w:p>
      <w:pPr>
        <w:spacing w:after="0" w:line="238" w:lineRule="exact"/>
        <w:rPr>
          <w:sz w:val="20"/>
          <w:szCs w:val="20"/>
          <w:color w:val="auto"/>
        </w:rPr>
      </w:pPr>
    </w:p>
    <w:p>
      <w:pPr>
        <w:ind w:right="80"/>
        <w:spacing w:after="0" w:line="263" w:lineRule="auto"/>
        <w:rPr>
          <w:sz w:val="20"/>
          <w:szCs w:val="20"/>
          <w:color w:val="auto"/>
        </w:rPr>
      </w:pPr>
      <w:r>
        <w:rPr>
          <w:rFonts w:ascii="Arial" w:cs="Arial" w:eastAsia="Arial" w:hAnsi="Arial"/>
          <w:sz w:val="15"/>
          <w:szCs w:val="15"/>
          <w:b w:val="1"/>
          <w:bCs w:val="1"/>
          <w:i w:val="1"/>
          <w:iCs w:val="1"/>
          <w:color w:val="auto"/>
        </w:rPr>
        <w:t>If securities or industry analysts do not publish research or publish inaccurate or unfavorable research about our business, our stock price and trading volume could decline.</w:t>
      </w:r>
    </w:p>
    <w:p>
      <w:pPr>
        <w:spacing w:after="0" w:line="61" w:lineRule="exact"/>
        <w:rPr>
          <w:sz w:val="20"/>
          <w:szCs w:val="20"/>
          <w:color w:val="auto"/>
        </w:rPr>
      </w:pPr>
    </w:p>
    <w:p>
      <w:pPr>
        <w:ind w:right="200" w:firstLine="434"/>
        <w:spacing w:after="0" w:line="235" w:lineRule="auto"/>
        <w:rPr>
          <w:sz w:val="20"/>
          <w:szCs w:val="20"/>
          <w:color w:val="auto"/>
        </w:rPr>
      </w:pPr>
      <w:r>
        <w:rPr>
          <w:rFonts w:ascii="Arial" w:cs="Arial" w:eastAsia="Arial" w:hAnsi="Arial"/>
          <w:sz w:val="15"/>
          <w:szCs w:val="15"/>
          <w:color w:val="auto"/>
        </w:rPr>
        <w:t>The trading market for our common stock depends, in part, on the research and reports that securities or industry analysts publish about us or our business. If an analyst who covers us downgrades our common stock or publishes inaccurate or unfavorable research about our business, our stock price would likely decline. If one or more of these analysts ceases coverage of us or fails to publish reports on us regularly, demand for our common stock could decrease, which could cause our stock price and trading volume to decline.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89" w:lineRule="exact"/>
        <w:rPr>
          <w:sz w:val="20"/>
          <w:szCs w:val="20"/>
          <w:color w:val="auto"/>
        </w:rPr>
      </w:pPr>
    </w:p>
    <w:p>
      <w:pPr>
        <w:ind w:right="80" w:firstLine="737"/>
        <w:spacing w:after="0" w:line="236" w:lineRule="auto"/>
        <w:rPr>
          <w:sz w:val="20"/>
          <w:szCs w:val="20"/>
          <w:color w:val="auto"/>
        </w:rPr>
      </w:pPr>
      <w:r>
        <w:rPr>
          <w:rFonts w:ascii="Arial" w:cs="Arial" w:eastAsia="Arial" w:hAnsi="Arial"/>
          <w:sz w:val="15"/>
          <w:szCs w:val="15"/>
          <w:color w:val="auto"/>
        </w:rPr>
        <w:t>Our headquarters are located in Centreville, Virginia. As of December 31, 2020, we leased 238 commercial facilities (including our headquarters) with an aggregate of approximately 3.0 million square feet of space across 36 U.S. states and 16 countries used in connection with the various services rendered to our customers. Additionally, we operate at several customer-accredited Sensitive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51" w:name="page52"/>
    <w:bookmarkEnd w:id="51"/>
    <w:p>
      <w:pPr>
        <w:ind w:right="220"/>
        <w:spacing w:after="0" w:line="236" w:lineRule="auto"/>
        <w:rPr>
          <w:sz w:val="20"/>
          <w:szCs w:val="20"/>
          <w:color w:val="auto"/>
        </w:rPr>
      </w:pPr>
      <w:r>
        <w:rPr>
          <w:rFonts w:ascii="Arial" w:cs="Arial" w:eastAsia="Arial" w:hAnsi="Arial"/>
          <w:sz w:val="15"/>
          <w:szCs w:val="15"/>
          <w:color w:val="auto"/>
        </w:rPr>
        <w:t>Compartmented Information Facilities, which are highly specialized, secure facilities used to perform classified work for the United States intelligence community. We also have employees working at customer sites throughout the U.S. and in other countries. We believe our facilities are adequate for our current and presently foreseeable needs.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89" w:lineRule="exact"/>
        <w:rPr>
          <w:sz w:val="20"/>
          <w:szCs w:val="20"/>
          <w:color w:val="auto"/>
        </w:rPr>
      </w:pPr>
    </w:p>
    <w:p>
      <w:pPr>
        <w:ind w:firstLine="542"/>
        <w:spacing w:after="0" w:line="233" w:lineRule="auto"/>
        <w:rPr>
          <w:sz w:val="20"/>
          <w:szCs w:val="20"/>
          <w:color w:val="auto"/>
        </w:rPr>
      </w:pPr>
      <w:r>
        <w:rPr>
          <w:rFonts w:ascii="Arial" w:cs="Arial" w:eastAsia="Arial" w:hAnsi="Arial"/>
          <w:sz w:val="15"/>
          <w:szCs w:val="15"/>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environmental matters and other business matters. Although the outcome of any such matter is inherently uncertain and may be materially adverse, based on current information, except as noted below, we believe there are no pending lawsuits or claims that may have a material adverse effect on our business, financial condition or results of operations.</w:t>
      </w:r>
    </w:p>
    <w:p>
      <w:pPr>
        <w:spacing w:after="0" w:line="170" w:lineRule="exact"/>
        <w:rPr>
          <w:sz w:val="20"/>
          <w:szCs w:val="20"/>
          <w:color w:val="auto"/>
        </w:rPr>
      </w:pPr>
    </w:p>
    <w:p>
      <w:pPr>
        <w:ind w:firstLine="542"/>
        <w:spacing w:after="0" w:line="233" w:lineRule="auto"/>
        <w:rPr>
          <w:sz w:val="20"/>
          <w:szCs w:val="20"/>
          <w:color w:val="auto"/>
        </w:rPr>
      </w:pPr>
      <w:r>
        <w:rPr>
          <w:rFonts w:ascii="Arial" w:cs="Arial" w:eastAsia="Arial" w:hAnsi="Arial"/>
          <w:sz w:val="15"/>
          <w:szCs w:val="15"/>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we are currently disputing. In addition to filing our complaint for breach of contract and wrongful termination, we have denied the allegations raised by the JPB and, accordingly, filed affirmative defenses. We are currently defending against the JPB’s claims and the parties are still engaged in discovery. We also have a professional liability insurance policy to the extent the JPB proves any errors or omissions occurred. At this time, it is too soon to determine the outcome of the litigation or assess the potential range of exposure, if any. We have also filed a third-party claim against a subcontractor for indemnification in connection with this matter.</w:t>
      </w:r>
    </w:p>
    <w:p>
      <w:pPr>
        <w:spacing w:after="0" w:line="169" w:lineRule="exact"/>
        <w:rPr>
          <w:sz w:val="20"/>
          <w:szCs w:val="20"/>
          <w:color w:val="auto"/>
        </w:rPr>
      </w:pPr>
    </w:p>
    <w:p>
      <w:pPr>
        <w:ind w:firstLine="542"/>
        <w:spacing w:after="0" w:line="232" w:lineRule="auto"/>
        <w:rPr>
          <w:sz w:val="20"/>
          <w:szCs w:val="20"/>
          <w:color w:val="auto"/>
        </w:rPr>
      </w:pPr>
      <w:r>
        <w:rPr>
          <w:rFonts w:ascii="Arial" w:cs="Arial" w:eastAsia="Arial" w:hAnsi="Arial"/>
          <w:sz w:val="15"/>
          <w:szCs w:val="15"/>
          <w:color w:val="auto"/>
        </w:rPr>
        <w:t>In September 2015, a former Parsons employee filed an action in the United States District Court for the Northern District of Alabama against us as a qui tam relator on behalf of the United States (the “Relator”) alleging violation of the False Claims Act. The plaintiff alleges that, as a result of these actions, the United States paid in excess of $1 million per month between February and September 2006 that it should have paid to another contractor, plus $2.9 million to acquire vehicles for the contractor defendant to perform its security services. The lawsuit sought (i) that we cease and desist from violating the False Claims Act, (ii) monetary damages equal to three times the amount of damages that the United States has sustained because of our alleged violations, plus a civil penalty of not less than $5,500 and not more than $11,000 for each alleged violation of the False Claims Act, (iii) monetary damages equal to the maximum amount allowed pursuant to §3730(d) of the False Claims Act, and (iv) Relator’s costs for this action, including recovery of attorneys’ fees and costs incurred in the lawsuit. The United States government did not intervene in this matter as it is allowed to do so under the statute. We filed a motion to dismiss the lawsuit on the grounds that the Relator did not meet the applicable statute of limitations. The District Court granted our motion to dismiss. The Relator’s attorney appealed the decision to the United States Court of Appeals of the Eleventh Circuit, which ultimately ruled in favor of the Relator, and we petitioned the United States Supreme Court to review the decision. The Supreme Court upheld the Appellate Court ruling and remanded the case to the District Court. The parties are engaged in limited discovery and Parsons has filed a renewed motion to dismiss the case.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52" w:name="page53"/>
    <w:bookmarkEnd w:id="52"/>
    <w:p>
      <w:pPr>
        <w:ind w:firstLine="737"/>
        <w:spacing w:after="0" w:line="235" w:lineRule="auto"/>
        <w:rPr>
          <w:sz w:val="20"/>
          <w:szCs w:val="20"/>
          <w:color w:val="auto"/>
        </w:rPr>
      </w:pPr>
      <w:r>
        <w:rPr>
          <w:rFonts w:ascii="Arial" w:cs="Arial" w:eastAsia="Arial" w:hAnsi="Arial"/>
          <w:sz w:val="15"/>
          <w:szCs w:val="15"/>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00"/>
          </w:cols>
          <w:pgMar w:left="300" w:top="405" w:right="399" w:bottom="1440" w:gutter="0" w:footer="0" w:header="0"/>
        </w:sectPr>
      </w:pPr>
    </w:p>
    <w:bookmarkStart w:id="53" w:name="page54"/>
    <w:bookmarkEnd w:id="53"/>
    <w:p>
      <w:pPr>
        <w:jc w:val="center"/>
        <w:spacing w:after="0"/>
        <w:rPr>
          <w:sz w:val="20"/>
          <w:szCs w:val="20"/>
          <w:color w:val="auto"/>
        </w:rPr>
      </w:pPr>
      <w:r>
        <w:rPr>
          <w:rFonts w:ascii="Arial" w:cs="Arial" w:eastAsia="Arial" w:hAnsi="Arial"/>
          <w:sz w:val="15"/>
          <w:szCs w:val="15"/>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200" w:firstLine="737"/>
        <w:spacing w:after="0" w:line="236" w:lineRule="auto"/>
        <w:rPr>
          <w:sz w:val="20"/>
          <w:szCs w:val="20"/>
          <w:color w:val="auto"/>
        </w:rPr>
      </w:pPr>
      <w:r>
        <w:rPr>
          <w:rFonts w:ascii="Arial" w:cs="Arial" w:eastAsia="Arial" w:hAnsi="Arial"/>
          <w:sz w:val="15"/>
          <w:szCs w:val="15"/>
          <w:color w:val="auto"/>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w:t>
      </w:r>
    </w:p>
    <w:p>
      <w:pPr>
        <w:spacing w:after="0" w:line="167" w:lineRule="exact"/>
        <w:rPr>
          <w:sz w:val="20"/>
          <w:szCs w:val="20"/>
          <w:color w:val="auto"/>
        </w:rPr>
      </w:pPr>
    </w:p>
    <w:p>
      <w:pPr>
        <w:ind w:right="280" w:firstLine="737"/>
        <w:spacing w:after="0" w:line="239" w:lineRule="auto"/>
        <w:rPr>
          <w:sz w:val="20"/>
          <w:szCs w:val="20"/>
          <w:color w:val="auto"/>
        </w:rPr>
      </w:pPr>
      <w:r>
        <w:rPr>
          <w:rFonts w:ascii="Arial" w:cs="Arial" w:eastAsia="Arial" w:hAnsi="Arial"/>
          <w:sz w:val="15"/>
          <w:szCs w:val="15"/>
          <w:color w:val="auto"/>
        </w:rPr>
        <w:t>Our common stock is listed on the NYSE under the ticker symbol “PSN”. The following table presents the ranges of high and low sales prices of our common stock quoted on the NYSE for each quarter since the IPO on May 8, 2019.</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540" w:type="dxa"/>
            <w:vAlign w:val="bottom"/>
          </w:tcPr>
          <w:p>
            <w:pPr>
              <w:jc w:val="right"/>
              <w:ind w:right="1106"/>
              <w:spacing w:after="0"/>
              <w:rPr>
                <w:sz w:val="20"/>
                <w:szCs w:val="20"/>
                <w:color w:val="auto"/>
              </w:rPr>
            </w:pPr>
            <w:r>
              <w:rPr>
                <w:rFonts w:ascii="Arial" w:cs="Arial" w:eastAsia="Arial" w:hAnsi="Arial"/>
                <w:sz w:val="15"/>
                <w:szCs w:val="15"/>
                <w:color w:val="auto"/>
              </w:rPr>
              <w:t>Low Sale Price</w:t>
            </w:r>
          </w:p>
        </w:tc>
        <w:tc>
          <w:tcPr>
            <w:tcW w:w="780" w:type="dxa"/>
            <w:vAlign w:val="bottom"/>
          </w:tcPr>
          <w:p>
            <w:pPr>
              <w:spacing w:after="0"/>
              <w:rPr>
                <w:sz w:val="14"/>
                <w:szCs w:val="14"/>
                <w:color w:val="auto"/>
              </w:rPr>
            </w:pPr>
          </w:p>
        </w:tc>
        <w:tc>
          <w:tcPr>
            <w:tcW w:w="2360" w:type="dxa"/>
            <w:vAlign w:val="bottom"/>
          </w:tcPr>
          <w:p>
            <w:pPr>
              <w:jc w:val="right"/>
              <w:ind w:right="886"/>
              <w:spacing w:after="0"/>
              <w:rPr>
                <w:sz w:val="20"/>
                <w:szCs w:val="20"/>
                <w:color w:val="auto"/>
              </w:rPr>
            </w:pPr>
            <w:r>
              <w:rPr>
                <w:rFonts w:ascii="Arial" w:cs="Arial" w:eastAsia="Arial" w:hAnsi="Arial"/>
                <w:sz w:val="15"/>
                <w:szCs w:val="15"/>
                <w:color w:val="auto"/>
              </w:rPr>
              <w:t>High Sale Price</w:t>
            </w:r>
          </w:p>
        </w:tc>
      </w:tr>
      <w:tr>
        <w:trPr>
          <w:trHeight w:val="177"/>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Fiscal 2019:</w:t>
            </w:r>
          </w:p>
        </w:tc>
        <w:tc>
          <w:tcPr>
            <w:tcW w:w="2500" w:type="dxa"/>
            <w:vAlign w:val="bottom"/>
            <w:shd w:val="clear" w:color="auto" w:fill="CFF0FC"/>
          </w:tcPr>
          <w:p>
            <w:pPr>
              <w:spacing w:after="0"/>
              <w:rPr>
                <w:sz w:val="15"/>
                <w:szCs w:val="15"/>
                <w:color w:val="auto"/>
              </w:rPr>
            </w:pPr>
          </w:p>
        </w:tc>
        <w:tc>
          <w:tcPr>
            <w:tcW w:w="25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77"/>
        </w:trPr>
        <w:tc>
          <w:tcPr>
            <w:tcW w:w="3100" w:type="dxa"/>
            <w:vAlign w:val="bottom"/>
          </w:tcPr>
          <w:p>
            <w:pPr>
              <w:spacing w:after="0"/>
              <w:rPr>
                <w:sz w:val="20"/>
                <w:szCs w:val="20"/>
                <w:color w:val="auto"/>
              </w:rPr>
            </w:pPr>
            <w:r>
              <w:rPr>
                <w:rFonts w:ascii="Arial" w:cs="Arial" w:eastAsia="Arial" w:hAnsi="Arial"/>
                <w:sz w:val="15"/>
                <w:szCs w:val="15"/>
                <w:color w:val="auto"/>
              </w:rPr>
              <w:t>Second Quarter</w:t>
            </w:r>
          </w:p>
        </w:tc>
        <w:tc>
          <w:tcPr>
            <w:tcW w:w="25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tcPr>
          <w:p>
            <w:pPr>
              <w:jc w:val="right"/>
              <w:ind w:right="246"/>
              <w:spacing w:after="0"/>
              <w:rPr>
                <w:sz w:val="20"/>
                <w:szCs w:val="20"/>
                <w:color w:val="auto"/>
              </w:rPr>
            </w:pPr>
            <w:r>
              <w:rPr>
                <w:rFonts w:ascii="Arial" w:cs="Arial" w:eastAsia="Arial" w:hAnsi="Arial"/>
                <w:sz w:val="15"/>
                <w:szCs w:val="15"/>
                <w:color w:val="auto"/>
              </w:rPr>
              <w:t>29.03</w:t>
            </w:r>
          </w:p>
        </w:tc>
        <w:tc>
          <w:tcPr>
            <w:tcW w:w="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46"/>
              <w:spacing w:after="0"/>
              <w:rPr>
                <w:sz w:val="20"/>
                <w:szCs w:val="20"/>
                <w:color w:val="auto"/>
              </w:rPr>
            </w:pPr>
            <w:r>
              <w:rPr>
                <w:rFonts w:ascii="Arial" w:cs="Arial" w:eastAsia="Arial" w:hAnsi="Arial"/>
                <w:sz w:val="15"/>
                <w:szCs w:val="15"/>
                <w:color w:val="auto"/>
              </w:rPr>
              <w:t>38.33</w:t>
            </w:r>
          </w:p>
        </w:tc>
      </w:tr>
      <w:tr>
        <w:trPr>
          <w:trHeight w:val="177"/>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Third Quarter</w:t>
            </w:r>
          </w:p>
        </w:tc>
        <w:tc>
          <w:tcPr>
            <w:tcW w:w="250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rPr>
              <w:t>32.37</w:t>
            </w:r>
          </w:p>
        </w:tc>
        <w:tc>
          <w:tcPr>
            <w:tcW w:w="78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38.82</w:t>
            </w:r>
          </w:p>
        </w:tc>
      </w:tr>
      <w:tr>
        <w:trPr>
          <w:trHeight w:val="177"/>
        </w:trPr>
        <w:tc>
          <w:tcPr>
            <w:tcW w:w="3100" w:type="dxa"/>
            <w:vAlign w:val="bottom"/>
          </w:tcPr>
          <w:p>
            <w:pPr>
              <w:spacing w:after="0"/>
              <w:rPr>
                <w:sz w:val="20"/>
                <w:szCs w:val="20"/>
                <w:color w:val="auto"/>
              </w:rPr>
            </w:pPr>
            <w:r>
              <w:rPr>
                <w:rFonts w:ascii="Arial" w:cs="Arial" w:eastAsia="Arial" w:hAnsi="Arial"/>
                <w:sz w:val="15"/>
                <w:szCs w:val="15"/>
                <w:color w:val="auto"/>
              </w:rPr>
              <w:t>Fourth Quarter</w:t>
            </w:r>
          </w:p>
        </w:tc>
        <w:tc>
          <w:tcPr>
            <w:tcW w:w="25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tcPr>
          <w:p>
            <w:pPr>
              <w:jc w:val="right"/>
              <w:ind w:right="246"/>
              <w:spacing w:after="0"/>
              <w:rPr>
                <w:sz w:val="20"/>
                <w:szCs w:val="20"/>
                <w:color w:val="auto"/>
              </w:rPr>
            </w:pPr>
            <w:r>
              <w:rPr>
                <w:rFonts w:ascii="Arial" w:cs="Arial" w:eastAsia="Arial" w:hAnsi="Arial"/>
                <w:sz w:val="15"/>
                <w:szCs w:val="15"/>
                <w:color w:val="auto"/>
              </w:rPr>
              <w:t>31.69</w:t>
            </w:r>
          </w:p>
        </w:tc>
        <w:tc>
          <w:tcPr>
            <w:tcW w:w="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46"/>
              <w:spacing w:after="0"/>
              <w:rPr>
                <w:sz w:val="20"/>
                <w:szCs w:val="20"/>
                <w:color w:val="auto"/>
              </w:rPr>
            </w:pPr>
            <w:r>
              <w:rPr>
                <w:rFonts w:ascii="Arial" w:cs="Arial" w:eastAsia="Arial" w:hAnsi="Arial"/>
                <w:sz w:val="15"/>
                <w:szCs w:val="15"/>
                <w:color w:val="auto"/>
              </w:rPr>
              <w:t>42.65</w:t>
            </w:r>
          </w:p>
        </w:tc>
      </w:tr>
      <w:tr>
        <w:trPr>
          <w:trHeight w:val="177"/>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Fiscal 2020:</w:t>
            </w:r>
          </w:p>
        </w:tc>
        <w:tc>
          <w:tcPr>
            <w:tcW w:w="2500" w:type="dxa"/>
            <w:vAlign w:val="bottom"/>
            <w:shd w:val="clear" w:color="auto" w:fill="CFF0FC"/>
          </w:tcPr>
          <w:p>
            <w:pPr>
              <w:spacing w:after="0"/>
              <w:rPr>
                <w:sz w:val="15"/>
                <w:szCs w:val="15"/>
                <w:color w:val="auto"/>
              </w:rPr>
            </w:pPr>
          </w:p>
        </w:tc>
        <w:tc>
          <w:tcPr>
            <w:tcW w:w="25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360" w:type="dxa"/>
            <w:vAlign w:val="bottom"/>
            <w:shd w:val="clear" w:color="auto" w:fill="CFF0FC"/>
          </w:tcPr>
          <w:p>
            <w:pPr>
              <w:spacing w:after="0"/>
              <w:rPr>
                <w:sz w:val="15"/>
                <w:szCs w:val="15"/>
                <w:color w:val="auto"/>
              </w:rPr>
            </w:pPr>
          </w:p>
        </w:tc>
      </w:tr>
      <w:tr>
        <w:trPr>
          <w:trHeight w:val="177"/>
        </w:trPr>
        <w:tc>
          <w:tcPr>
            <w:tcW w:w="3100" w:type="dxa"/>
            <w:vAlign w:val="bottom"/>
          </w:tcPr>
          <w:p>
            <w:pPr>
              <w:spacing w:after="0"/>
              <w:rPr>
                <w:sz w:val="20"/>
                <w:szCs w:val="20"/>
                <w:color w:val="auto"/>
              </w:rPr>
            </w:pPr>
            <w:r>
              <w:rPr>
                <w:rFonts w:ascii="Arial" w:cs="Arial" w:eastAsia="Arial" w:hAnsi="Arial"/>
                <w:sz w:val="15"/>
                <w:szCs w:val="15"/>
                <w:color w:val="auto"/>
              </w:rPr>
              <w:t>First Quarter</w:t>
            </w:r>
          </w:p>
        </w:tc>
        <w:tc>
          <w:tcPr>
            <w:tcW w:w="25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tcPr>
          <w:p>
            <w:pPr>
              <w:jc w:val="right"/>
              <w:ind w:right="246"/>
              <w:spacing w:after="0"/>
              <w:rPr>
                <w:sz w:val="20"/>
                <w:szCs w:val="20"/>
                <w:color w:val="auto"/>
              </w:rPr>
            </w:pPr>
            <w:r>
              <w:rPr>
                <w:rFonts w:ascii="Arial" w:cs="Arial" w:eastAsia="Arial" w:hAnsi="Arial"/>
                <w:sz w:val="15"/>
                <w:szCs w:val="15"/>
                <w:color w:val="auto"/>
              </w:rPr>
              <w:t>24.67</w:t>
            </w:r>
          </w:p>
        </w:tc>
        <w:tc>
          <w:tcPr>
            <w:tcW w:w="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46"/>
              <w:spacing w:after="0"/>
              <w:rPr>
                <w:sz w:val="20"/>
                <w:szCs w:val="20"/>
                <w:color w:val="auto"/>
              </w:rPr>
            </w:pPr>
            <w:r>
              <w:rPr>
                <w:rFonts w:ascii="Arial" w:cs="Arial" w:eastAsia="Arial" w:hAnsi="Arial"/>
                <w:sz w:val="15"/>
                <w:szCs w:val="15"/>
                <w:color w:val="auto"/>
              </w:rPr>
              <w:t>45.40</w:t>
            </w:r>
          </w:p>
        </w:tc>
      </w:tr>
      <w:tr>
        <w:trPr>
          <w:trHeight w:val="177"/>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Second Quarter</w:t>
            </w:r>
          </w:p>
        </w:tc>
        <w:tc>
          <w:tcPr>
            <w:tcW w:w="250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rPr>
              <w:t>29.16</w:t>
            </w:r>
          </w:p>
        </w:tc>
        <w:tc>
          <w:tcPr>
            <w:tcW w:w="78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43.37</w:t>
            </w:r>
          </w:p>
        </w:tc>
      </w:tr>
      <w:tr>
        <w:trPr>
          <w:trHeight w:val="177"/>
        </w:trPr>
        <w:tc>
          <w:tcPr>
            <w:tcW w:w="3100" w:type="dxa"/>
            <w:vAlign w:val="bottom"/>
          </w:tcPr>
          <w:p>
            <w:pPr>
              <w:spacing w:after="0"/>
              <w:rPr>
                <w:sz w:val="20"/>
                <w:szCs w:val="20"/>
                <w:color w:val="auto"/>
              </w:rPr>
            </w:pPr>
            <w:r>
              <w:rPr>
                <w:rFonts w:ascii="Arial" w:cs="Arial" w:eastAsia="Arial" w:hAnsi="Arial"/>
                <w:sz w:val="15"/>
                <w:szCs w:val="15"/>
                <w:color w:val="auto"/>
              </w:rPr>
              <w:t>Third Quarter</w:t>
            </w:r>
          </w:p>
        </w:tc>
        <w:tc>
          <w:tcPr>
            <w:tcW w:w="250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tcPr>
          <w:p>
            <w:pPr>
              <w:jc w:val="right"/>
              <w:ind w:right="246"/>
              <w:spacing w:after="0"/>
              <w:rPr>
                <w:sz w:val="20"/>
                <w:szCs w:val="20"/>
                <w:color w:val="auto"/>
              </w:rPr>
            </w:pPr>
            <w:r>
              <w:rPr>
                <w:rFonts w:ascii="Arial" w:cs="Arial" w:eastAsia="Arial" w:hAnsi="Arial"/>
                <w:sz w:val="15"/>
                <w:szCs w:val="15"/>
                <w:color w:val="auto"/>
              </w:rPr>
              <w:t>31.69</w:t>
            </w:r>
          </w:p>
        </w:tc>
        <w:tc>
          <w:tcPr>
            <w:tcW w:w="780" w:type="dxa"/>
            <w:vAlign w:val="bottom"/>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tcPr>
          <w:p>
            <w:pPr>
              <w:jc w:val="right"/>
              <w:ind w:right="46"/>
              <w:spacing w:after="0"/>
              <w:rPr>
                <w:sz w:val="20"/>
                <w:szCs w:val="20"/>
                <w:color w:val="auto"/>
              </w:rPr>
            </w:pPr>
            <w:r>
              <w:rPr>
                <w:rFonts w:ascii="Arial" w:cs="Arial" w:eastAsia="Arial" w:hAnsi="Arial"/>
                <w:sz w:val="15"/>
                <w:szCs w:val="15"/>
                <w:color w:val="auto"/>
              </w:rPr>
              <w:t>37.17</w:t>
            </w:r>
          </w:p>
        </w:tc>
      </w:tr>
      <w:tr>
        <w:trPr>
          <w:trHeight w:val="177"/>
        </w:trPr>
        <w:tc>
          <w:tcPr>
            <w:tcW w:w="3100" w:type="dxa"/>
            <w:vAlign w:val="bottom"/>
            <w:shd w:val="clear" w:color="auto" w:fill="CFF0FC"/>
          </w:tcPr>
          <w:p>
            <w:pPr>
              <w:spacing w:after="0"/>
              <w:rPr>
                <w:sz w:val="20"/>
                <w:szCs w:val="20"/>
                <w:color w:val="auto"/>
              </w:rPr>
            </w:pPr>
            <w:r>
              <w:rPr>
                <w:rFonts w:ascii="Arial" w:cs="Arial" w:eastAsia="Arial" w:hAnsi="Arial"/>
                <w:sz w:val="15"/>
                <w:szCs w:val="15"/>
                <w:color w:val="auto"/>
              </w:rPr>
              <w:t>Fourth Quarter</w:t>
            </w:r>
          </w:p>
        </w:tc>
        <w:tc>
          <w:tcPr>
            <w:tcW w:w="250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540" w:type="dxa"/>
            <w:vAlign w:val="bottom"/>
            <w:shd w:val="clear" w:color="auto" w:fill="CFF0FC"/>
          </w:tcPr>
          <w:p>
            <w:pPr>
              <w:jc w:val="right"/>
              <w:ind w:right="246"/>
              <w:spacing w:after="0"/>
              <w:rPr>
                <w:sz w:val="20"/>
                <w:szCs w:val="20"/>
                <w:color w:val="auto"/>
              </w:rPr>
            </w:pPr>
            <w:r>
              <w:rPr>
                <w:rFonts w:ascii="Arial" w:cs="Arial" w:eastAsia="Arial" w:hAnsi="Arial"/>
                <w:sz w:val="15"/>
                <w:szCs w:val="15"/>
                <w:color w:val="auto"/>
              </w:rPr>
              <w:t>30.08</w:t>
            </w:r>
          </w:p>
        </w:tc>
        <w:tc>
          <w:tcPr>
            <w:tcW w:w="780" w:type="dxa"/>
            <w:vAlign w:val="bottom"/>
            <w:shd w:val="clear" w:color="auto" w:fill="CFF0FC"/>
          </w:tcPr>
          <w:p>
            <w:pPr>
              <w:jc w:val="right"/>
              <w:ind w:right="306"/>
              <w:spacing w:after="0"/>
              <w:rPr>
                <w:sz w:val="20"/>
                <w:szCs w:val="20"/>
                <w:color w:val="auto"/>
              </w:rPr>
            </w:pPr>
            <w:r>
              <w:rPr>
                <w:rFonts w:ascii="Arial" w:cs="Arial" w:eastAsia="Arial" w:hAnsi="Arial"/>
                <w:sz w:val="15"/>
                <w:szCs w:val="15"/>
                <w:color w:val="auto"/>
              </w:rPr>
              <w:t>$</w:t>
            </w:r>
          </w:p>
        </w:tc>
        <w:tc>
          <w:tcPr>
            <w:tcW w:w="2360" w:type="dxa"/>
            <w:vAlign w:val="bottom"/>
            <w:shd w:val="clear" w:color="auto" w:fill="CFF0FC"/>
          </w:tcPr>
          <w:p>
            <w:pPr>
              <w:jc w:val="right"/>
              <w:ind w:right="46"/>
              <w:spacing w:after="0"/>
              <w:rPr>
                <w:sz w:val="20"/>
                <w:szCs w:val="20"/>
                <w:color w:val="auto"/>
              </w:rPr>
            </w:pPr>
            <w:r>
              <w:rPr>
                <w:rFonts w:ascii="Arial" w:cs="Arial" w:eastAsia="Arial" w:hAnsi="Arial"/>
                <w:sz w:val="15"/>
                <w:szCs w:val="15"/>
                <w:color w:val="auto"/>
              </w:rPr>
              <w:t>37.14</w:t>
            </w:r>
          </w:p>
        </w:tc>
      </w:tr>
    </w:tbl>
    <w:p>
      <w:pPr>
        <w:spacing w:after="0" w:line="177"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During the year ended December 31, 2020, the Company did not declare any dividends. 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a common stock dividend in a ratio of two shares of common stock for every one share of common stock then held by the Company’s shareholder (the “Stock Dividend”).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170" w:lineRule="exact"/>
        <w:rPr>
          <w:sz w:val="20"/>
          <w:szCs w:val="20"/>
          <w:color w:val="auto"/>
        </w:rPr>
      </w:pPr>
    </w:p>
    <w:p>
      <w:pPr>
        <w:jc w:val="both"/>
        <w:ind w:right="100" w:firstLine="737"/>
        <w:spacing w:after="0" w:line="235" w:lineRule="auto"/>
        <w:rPr>
          <w:sz w:val="20"/>
          <w:szCs w:val="20"/>
          <w:color w:val="auto"/>
        </w:rPr>
      </w:pPr>
      <w:r>
        <w:rPr>
          <w:rFonts w:ascii="Arial" w:cs="Arial" w:eastAsia="Arial" w:hAnsi="Arial"/>
          <w:sz w:val="15"/>
          <w:szCs w:val="15"/>
          <w:color w:val="auto"/>
        </w:rPr>
        <w:t>Other than the IPO Dividend and the Stock Dividend discussed above, we currently do not intend to declare or pay any cash dividends in the foreseeable future. Any further determination to pay dividends on our capital stock will be at the discretion of our board of directors, subject to applicable laws, and will depend on our financial condition, results of operations, capital requirements, restrictions under our Senior Notes issued in a private placement in 2014, or the Convertible Senior Notes, and Credit Agreement, and other factors that our board of directors considers relevant.</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According to the records of our transfer agent, there were four shareholders of record as of February 12, 2021.</w:t>
      </w:r>
    </w:p>
    <w:p>
      <w:pPr>
        <w:spacing w:after="0" w:line="171" w:lineRule="exact"/>
        <w:rPr>
          <w:sz w:val="20"/>
          <w:szCs w:val="20"/>
          <w:color w:val="auto"/>
        </w:rPr>
      </w:pPr>
    </w:p>
    <w:p>
      <w:pPr>
        <w:ind w:right="40" w:firstLine="737"/>
        <w:spacing w:after="0" w:line="235" w:lineRule="auto"/>
        <w:rPr>
          <w:sz w:val="20"/>
          <w:szCs w:val="20"/>
          <w:color w:val="auto"/>
        </w:rPr>
      </w:pPr>
      <w:r>
        <w:rPr>
          <w:rFonts w:ascii="Arial" w:cs="Arial" w:eastAsia="Arial" w:hAnsi="Arial"/>
          <w:sz w:val="15"/>
          <w:szCs w:val="15"/>
          <w:color w:val="auto"/>
        </w:rPr>
        <w:t>The following graph compares the cumulative total return, from the IPO date through December 31, 2020, to shareholders of Parsons Corporation common stock relative to the cumulative total returns of the Russell 2000 Index and the Standard and Poor’s IT Consulting &amp; Other Services Index. The graph assumes that the value of the investment in our common stock, the index, and the peer group (including reinvestment of dividends) was $100 on May 8, 2019 and tracks it through December 31, 2020. The stock performance included in this graph is not necessarily indicative of future stock price performance.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667385</wp:posOffset>
            </wp:positionH>
            <wp:positionV relativeFrom="page">
              <wp:posOffset>314325</wp:posOffset>
            </wp:positionV>
            <wp:extent cx="4391025" cy="35325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4391025" cy="3532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960" w:type="dxa"/>
        <w:tblCellMar>
          <w:top w:w="0" w:type="dxa"/>
          <w:left w:w="0" w:type="dxa"/>
          <w:bottom w:w="0" w:type="dxa"/>
          <w:right w:w="0" w:type="dxa"/>
        </w:tblCellMar>
      </w:tblPr>
      <w:tr>
        <w:trPr>
          <w:trHeight w:val="155"/>
        </w:trPr>
        <w:tc>
          <w:tcPr>
            <w:tcW w:w="4680" w:type="dxa"/>
            <w:vAlign w:val="bottom"/>
            <w:tcBorders>
              <w:top w:val="single" w:sz="8" w:color="auto"/>
              <w:bottom w:val="single" w:sz="8" w:color="auto"/>
            </w:tcBorders>
          </w:tcPr>
          <w:p>
            <w:pPr>
              <w:spacing w:after="0"/>
              <w:rPr>
                <w:sz w:val="13"/>
                <w:szCs w:val="13"/>
                <w:color w:val="auto"/>
              </w:rPr>
            </w:pPr>
          </w:p>
        </w:tc>
        <w:tc>
          <w:tcPr>
            <w:tcW w:w="278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12"/>
                <w:szCs w:val="12"/>
                <w:b w:val="1"/>
                <w:bCs w:val="1"/>
                <w:color w:val="auto"/>
              </w:rPr>
              <w:t>5/8/19</w:t>
            </w:r>
          </w:p>
        </w:tc>
        <w:tc>
          <w:tcPr>
            <w:tcW w:w="11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12/19</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12/20</w:t>
            </w:r>
          </w:p>
        </w:tc>
      </w:tr>
      <w:tr>
        <w:trPr>
          <w:trHeight w:val="358"/>
        </w:trPr>
        <w:tc>
          <w:tcPr>
            <w:tcW w:w="4680" w:type="dxa"/>
            <w:vAlign w:val="bottom"/>
          </w:tcPr>
          <w:p>
            <w:pPr>
              <w:spacing w:after="0"/>
              <w:rPr>
                <w:sz w:val="20"/>
                <w:szCs w:val="20"/>
                <w:color w:val="auto"/>
              </w:rPr>
            </w:pPr>
            <w:r>
              <w:rPr>
                <w:rFonts w:ascii="Arial" w:cs="Arial" w:eastAsia="Arial" w:hAnsi="Arial"/>
                <w:sz w:val="12"/>
                <w:szCs w:val="12"/>
                <w:b w:val="1"/>
                <w:bCs w:val="1"/>
                <w:color w:val="auto"/>
              </w:rPr>
              <w:t>Parsons Corp.</w:t>
            </w:r>
          </w:p>
        </w:tc>
        <w:tc>
          <w:tcPr>
            <w:tcW w:w="2780" w:type="dxa"/>
            <w:vAlign w:val="bottom"/>
          </w:tcPr>
          <w:p>
            <w:pPr>
              <w:jc w:val="right"/>
              <w:ind w:right="341"/>
              <w:spacing w:after="0"/>
              <w:rPr>
                <w:sz w:val="20"/>
                <w:szCs w:val="20"/>
                <w:color w:val="auto"/>
              </w:rPr>
            </w:pPr>
            <w:r>
              <w:rPr>
                <w:rFonts w:ascii="Arial" w:cs="Arial" w:eastAsia="Arial" w:hAnsi="Arial"/>
                <w:sz w:val="12"/>
                <w:szCs w:val="12"/>
                <w:b w:val="1"/>
                <w:bCs w:val="1"/>
                <w:color w:val="auto"/>
              </w:rPr>
              <w:t>100.00</w:t>
            </w:r>
          </w:p>
        </w:tc>
        <w:tc>
          <w:tcPr>
            <w:tcW w:w="1140" w:type="dxa"/>
            <w:vAlign w:val="bottom"/>
          </w:tcPr>
          <w:p>
            <w:pPr>
              <w:jc w:val="right"/>
              <w:ind w:right="321"/>
              <w:spacing w:after="0"/>
              <w:rPr>
                <w:sz w:val="20"/>
                <w:szCs w:val="20"/>
                <w:color w:val="auto"/>
              </w:rPr>
            </w:pPr>
            <w:r>
              <w:rPr>
                <w:rFonts w:ascii="Arial" w:cs="Arial" w:eastAsia="Arial" w:hAnsi="Arial"/>
                <w:sz w:val="12"/>
                <w:szCs w:val="12"/>
                <w:b w:val="1"/>
                <w:bCs w:val="1"/>
                <w:color w:val="auto"/>
              </w:rPr>
              <w:t>137.28</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121.08</w:t>
            </w:r>
          </w:p>
        </w:tc>
      </w:tr>
      <w:tr>
        <w:trPr>
          <w:trHeight w:val="155"/>
        </w:trPr>
        <w:tc>
          <w:tcPr>
            <w:tcW w:w="4680" w:type="dxa"/>
            <w:vAlign w:val="bottom"/>
          </w:tcPr>
          <w:p>
            <w:pPr>
              <w:spacing w:after="0"/>
              <w:rPr>
                <w:sz w:val="20"/>
                <w:szCs w:val="20"/>
                <w:color w:val="auto"/>
              </w:rPr>
            </w:pPr>
            <w:r>
              <w:rPr>
                <w:rFonts w:ascii="Arial" w:cs="Arial" w:eastAsia="Arial" w:hAnsi="Arial"/>
                <w:sz w:val="12"/>
                <w:szCs w:val="12"/>
                <w:b w:val="1"/>
                <w:bCs w:val="1"/>
                <w:color w:val="auto"/>
              </w:rPr>
              <w:t>Russell 2000</w:t>
            </w:r>
          </w:p>
        </w:tc>
        <w:tc>
          <w:tcPr>
            <w:tcW w:w="2780" w:type="dxa"/>
            <w:vAlign w:val="bottom"/>
          </w:tcPr>
          <w:p>
            <w:pPr>
              <w:jc w:val="right"/>
              <w:ind w:right="341"/>
              <w:spacing w:after="0"/>
              <w:rPr>
                <w:sz w:val="20"/>
                <w:szCs w:val="20"/>
                <w:color w:val="auto"/>
              </w:rPr>
            </w:pPr>
            <w:r>
              <w:rPr>
                <w:rFonts w:ascii="Arial" w:cs="Arial" w:eastAsia="Arial" w:hAnsi="Arial"/>
                <w:sz w:val="12"/>
                <w:szCs w:val="12"/>
                <w:b w:val="1"/>
                <w:bCs w:val="1"/>
                <w:color w:val="auto"/>
              </w:rPr>
              <w:t>100.00</w:t>
            </w:r>
          </w:p>
        </w:tc>
        <w:tc>
          <w:tcPr>
            <w:tcW w:w="1140" w:type="dxa"/>
            <w:vAlign w:val="bottom"/>
          </w:tcPr>
          <w:p>
            <w:pPr>
              <w:jc w:val="right"/>
              <w:ind w:right="321"/>
              <w:spacing w:after="0"/>
              <w:rPr>
                <w:sz w:val="20"/>
                <w:szCs w:val="20"/>
                <w:color w:val="auto"/>
              </w:rPr>
            </w:pPr>
            <w:r>
              <w:rPr>
                <w:rFonts w:ascii="Arial" w:cs="Arial" w:eastAsia="Arial" w:hAnsi="Arial"/>
                <w:sz w:val="12"/>
                <w:szCs w:val="12"/>
                <w:b w:val="1"/>
                <w:bCs w:val="1"/>
                <w:color w:val="auto"/>
              </w:rPr>
              <w:t>105.95</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127.10</w:t>
            </w:r>
          </w:p>
        </w:tc>
      </w:tr>
      <w:tr>
        <w:trPr>
          <w:trHeight w:val="155"/>
        </w:trPr>
        <w:tc>
          <w:tcPr>
            <w:tcW w:w="4680" w:type="dxa"/>
            <w:vAlign w:val="bottom"/>
          </w:tcPr>
          <w:p>
            <w:pPr>
              <w:spacing w:after="0"/>
              <w:rPr>
                <w:sz w:val="20"/>
                <w:szCs w:val="20"/>
                <w:color w:val="auto"/>
              </w:rPr>
            </w:pPr>
            <w:r>
              <w:rPr>
                <w:rFonts w:ascii="Arial" w:cs="Arial" w:eastAsia="Arial" w:hAnsi="Arial"/>
                <w:sz w:val="12"/>
                <w:szCs w:val="12"/>
                <w:b w:val="1"/>
                <w:bCs w:val="1"/>
                <w:color w:val="auto"/>
              </w:rPr>
              <w:t>S&amp;P 1500 IT Consulting &amp; Other Services Index</w:t>
            </w:r>
          </w:p>
        </w:tc>
        <w:tc>
          <w:tcPr>
            <w:tcW w:w="2780" w:type="dxa"/>
            <w:vAlign w:val="bottom"/>
          </w:tcPr>
          <w:p>
            <w:pPr>
              <w:jc w:val="right"/>
              <w:ind w:right="341"/>
              <w:spacing w:after="0"/>
              <w:rPr>
                <w:sz w:val="20"/>
                <w:szCs w:val="20"/>
                <w:color w:val="auto"/>
              </w:rPr>
            </w:pPr>
            <w:r>
              <w:rPr>
                <w:rFonts w:ascii="Arial" w:cs="Arial" w:eastAsia="Arial" w:hAnsi="Arial"/>
                <w:sz w:val="12"/>
                <w:szCs w:val="12"/>
                <w:b w:val="1"/>
                <w:bCs w:val="1"/>
                <w:color w:val="auto"/>
              </w:rPr>
              <w:t>100.00</w:t>
            </w:r>
          </w:p>
        </w:tc>
        <w:tc>
          <w:tcPr>
            <w:tcW w:w="1140" w:type="dxa"/>
            <w:vAlign w:val="bottom"/>
          </w:tcPr>
          <w:p>
            <w:pPr>
              <w:jc w:val="right"/>
              <w:ind w:right="321"/>
              <w:spacing w:after="0"/>
              <w:rPr>
                <w:sz w:val="20"/>
                <w:szCs w:val="20"/>
                <w:color w:val="auto"/>
              </w:rPr>
            </w:pPr>
            <w:r>
              <w:rPr>
                <w:rFonts w:ascii="Arial" w:cs="Arial" w:eastAsia="Arial" w:hAnsi="Arial"/>
                <w:sz w:val="12"/>
                <w:szCs w:val="12"/>
                <w:b w:val="1"/>
                <w:bCs w:val="1"/>
                <w:color w:val="auto"/>
              </w:rPr>
              <w:t>103.37</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117.27</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Securities Authorized for Issuance Under Equity Compensation Plans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information required by this item with respect to our equity compensation plans is incorporated by reference to our 2021 Proxy Statement.</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None.</w:t>
      </w:r>
    </w:p>
    <w:p>
      <w:pPr>
        <w:spacing w:after="0" w:line="337"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0320"/>
          </w:cols>
          <w:pgMar w:left="300" w:top="1440" w:right="1279" w:bottom="1440" w:gutter="0" w:footer="0" w:header="0"/>
        </w:sectPr>
      </w:pPr>
    </w:p>
    <w:bookmarkStart w:id="55" w:name="page56"/>
    <w:bookmarkEnd w:id="55"/>
    <w:p>
      <w:pPr>
        <w:spacing w:after="0"/>
        <w:rPr>
          <w:sz w:val="20"/>
          <w:szCs w:val="20"/>
          <w:color w:val="auto"/>
        </w:rPr>
      </w:pPr>
      <w:r>
        <w:rPr>
          <w:rFonts w:ascii="Arial" w:cs="Arial" w:eastAsia="Arial" w:hAnsi="Arial"/>
          <w:sz w:val="15"/>
          <w:szCs w:val="15"/>
          <w:b w:val="1"/>
          <w:bCs w:val="1"/>
          <w:color w:val="auto"/>
        </w:rPr>
        <w:t>Item 6. Selected Financial Data.</w:t>
      </w:r>
    </w:p>
    <w:p>
      <w:pPr>
        <w:spacing w:after="0" w:line="189" w:lineRule="exact"/>
        <w:rPr>
          <w:sz w:val="20"/>
          <w:szCs w:val="20"/>
          <w:color w:val="auto"/>
        </w:rPr>
      </w:pPr>
    </w:p>
    <w:p>
      <w:pPr>
        <w:jc w:val="both"/>
        <w:ind w:right="500" w:firstLine="737"/>
        <w:spacing w:after="0" w:line="260" w:lineRule="auto"/>
        <w:rPr>
          <w:sz w:val="20"/>
          <w:szCs w:val="20"/>
          <w:color w:val="auto"/>
        </w:rPr>
      </w:pPr>
      <w:r>
        <w:rPr>
          <w:rFonts w:ascii="Arial" w:cs="Arial" w:eastAsia="Arial" w:hAnsi="Arial"/>
          <w:sz w:val="14"/>
          <w:szCs w:val="14"/>
          <w:color w:val="auto"/>
        </w:rPr>
        <w:t>The following tables present selected financial data for each of the last five fiscal years. This selected financial data should be read in conjunction with the Consolidated Financial Statements and related notes beginning on page F-1, as well as the information under the caption “Management’s Discussion and Analysis of Financial Condition and Results of Operations” of this Annual Report on Form 10-K. Dollar amounts are presented in thousands, except for per share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4"/>
          </w:tcPr>
          <w:p>
            <w:pPr>
              <w:ind w:left="8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80" w:type="dxa"/>
            <w:vAlign w:val="bottom"/>
          </w:tcPr>
          <w:p>
            <w:pPr>
              <w:spacing w:after="0"/>
              <w:rPr>
                <w:sz w:val="11"/>
                <w:szCs w:val="11"/>
                <w:color w:val="auto"/>
              </w:rPr>
            </w:pPr>
          </w:p>
        </w:tc>
        <w:tc>
          <w:tcPr>
            <w:tcW w:w="106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2"/>
                <w:szCs w:val="12"/>
                <w:b w:val="1"/>
                <w:bCs w:val="1"/>
                <w:color w:val="auto"/>
                <w:w w:val="99"/>
              </w:rPr>
              <w:t>December 29,</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99"/>
              </w:rPr>
              <w:t>December 30,</w:t>
            </w:r>
          </w:p>
        </w:tc>
      </w:tr>
      <w:tr>
        <w:trPr>
          <w:trHeight w:val="143"/>
        </w:trPr>
        <w:tc>
          <w:tcPr>
            <w:tcW w:w="4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2"/>
                <w:szCs w:val="12"/>
                <w:color w:val="auto"/>
              </w:rPr>
            </w:pPr>
          </w:p>
        </w:tc>
      </w:tr>
      <w:tr>
        <w:trPr>
          <w:trHeight w:val="135"/>
        </w:trPr>
        <w:tc>
          <w:tcPr>
            <w:tcW w:w="4640" w:type="dxa"/>
            <w:vAlign w:val="bottom"/>
          </w:tcPr>
          <w:p>
            <w:pPr>
              <w:spacing w:after="0" w:line="136" w:lineRule="exact"/>
              <w:rPr>
                <w:sz w:val="20"/>
                <w:szCs w:val="20"/>
                <w:color w:val="auto"/>
              </w:rPr>
            </w:pPr>
            <w:r>
              <w:rPr>
                <w:rFonts w:ascii="Arial" w:cs="Arial" w:eastAsia="Arial" w:hAnsi="Arial"/>
                <w:sz w:val="12"/>
                <w:szCs w:val="12"/>
                <w:b w:val="1"/>
                <w:bCs w:val="1"/>
                <w:color w:val="auto"/>
              </w:rPr>
              <w:t>Consolidated Statements of Operations Data:</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Revenue</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3,918,946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3,954,812</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3,560,508</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3,017,011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3,039,191</w:t>
            </w:r>
          </w:p>
        </w:tc>
        <w:tc>
          <w:tcPr>
            <w:tcW w:w="120" w:type="dxa"/>
            <w:vAlign w:val="bottom"/>
            <w:shd w:val="clear" w:color="auto" w:fill="CFF0FC"/>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Direct cost of contracts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3,042,087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3,123,062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2,795,005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2,400,140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2,431,193</w:t>
            </w: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Equity in earnings of unconsolidated joint ventures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30,059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41,721</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36,915</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40,086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35,462</w:t>
            </w:r>
          </w:p>
        </w:tc>
        <w:tc>
          <w:tcPr>
            <w:tcW w:w="120" w:type="dxa"/>
            <w:vAlign w:val="bottom"/>
            <w:shd w:val="clear" w:color="auto" w:fill="CFF0FC"/>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Indirect, general and administrative expenses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729,103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781,408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597,410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506,255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522,920</w:t>
            </w: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Impairment of goodwill, intangible and other assets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85,133</w:t>
            </w:r>
          </w:p>
        </w:tc>
        <w:tc>
          <w:tcPr>
            <w:tcW w:w="120" w:type="dxa"/>
            <w:vAlign w:val="bottom"/>
            <w:shd w:val="clear" w:color="auto" w:fill="CFF0FC"/>
          </w:tcPr>
          <w:p>
            <w:pPr>
              <w:spacing w:after="0"/>
              <w:rPr>
                <w:sz w:val="12"/>
                <w:szCs w:val="12"/>
                <w:color w:val="auto"/>
              </w:rPr>
            </w:pPr>
          </w:p>
        </w:tc>
      </w:tr>
      <w:tr>
        <w:trPr>
          <w:trHeight w:val="135"/>
        </w:trPr>
        <w:tc>
          <w:tcPr>
            <w:tcW w:w="4640" w:type="dxa"/>
            <w:vAlign w:val="bottom"/>
            <w:tcBorders>
              <w:bottom w:val="single" w:sz="8" w:color="CFF0FC"/>
            </w:tcBorders>
          </w:tcPr>
          <w:p>
            <w:pPr>
              <w:ind w:left="100"/>
              <w:spacing w:after="0" w:line="136" w:lineRule="exact"/>
              <w:rPr>
                <w:sz w:val="20"/>
                <w:szCs w:val="20"/>
                <w:color w:val="auto"/>
              </w:rPr>
            </w:pPr>
            <w:r>
              <w:rPr>
                <w:rFonts w:ascii="Arial" w:cs="Arial" w:eastAsia="Arial" w:hAnsi="Arial"/>
                <w:sz w:val="12"/>
                <w:szCs w:val="12"/>
                <w:color w:val="auto"/>
              </w:rPr>
              <w:t>Operating income</w:t>
            </w:r>
          </w:p>
        </w:tc>
        <w:tc>
          <w:tcPr>
            <w:tcW w:w="58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177,815</w:t>
            </w:r>
          </w:p>
        </w:tc>
        <w:tc>
          <w:tcPr>
            <w:tcW w:w="22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92,063</w:t>
            </w:r>
          </w:p>
        </w:tc>
        <w:tc>
          <w:tcPr>
            <w:tcW w:w="14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205,008</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150,702</w:t>
            </w:r>
          </w:p>
        </w:tc>
        <w:tc>
          <w:tcPr>
            <w:tcW w:w="22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35,407</w:t>
            </w:r>
          </w:p>
        </w:tc>
        <w:tc>
          <w:tcPr>
            <w:tcW w:w="120" w:type="dxa"/>
            <w:vAlign w:val="bottom"/>
            <w:tcBorders>
              <w:bottom w:val="single" w:sz="8" w:color="CFF0FC"/>
            </w:tcBorders>
          </w:tcPr>
          <w:p>
            <w:pPr>
              <w:spacing w:after="0"/>
              <w:rPr>
                <w:sz w:val="11"/>
                <w:szCs w:val="11"/>
                <w:color w:val="auto"/>
              </w:rPr>
            </w:pPr>
          </w:p>
        </w:tc>
      </w:tr>
      <w:tr>
        <w:trPr>
          <w:trHeight w:val="135"/>
        </w:trPr>
        <w:tc>
          <w:tcPr>
            <w:tcW w:w="464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Interest income</w:t>
            </w: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787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1,300</w:t>
            </w: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2,710</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2,465</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1,190</w:t>
            </w:r>
          </w:p>
        </w:tc>
        <w:tc>
          <w:tcPr>
            <w:tcW w:w="120" w:type="dxa"/>
            <w:vAlign w:val="bottom"/>
            <w:shd w:val="clear" w:color="auto" w:fill="CFF0FC"/>
          </w:tcPr>
          <w:p>
            <w:pPr>
              <w:spacing w:after="0"/>
              <w:rPr>
                <w:sz w:val="11"/>
                <w:szCs w:val="11"/>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Interest expense</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(20,956)</w:t>
            </w:r>
          </w:p>
        </w:tc>
        <w:tc>
          <w:tcPr>
            <w:tcW w:w="80" w:type="dxa"/>
            <w:vAlign w:val="bottom"/>
          </w:tcPr>
          <w:p>
            <w:pPr>
              <w:spacing w:after="0"/>
              <w:rPr>
                <w:sz w:val="12"/>
                <w:szCs w:val="1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2"/>
                <w:szCs w:val="12"/>
                <w:color w:val="auto"/>
              </w:rPr>
              <w:t>(23,729)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(20,842)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(15,798)</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(16,509)</w:t>
            </w: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Other income (expense), net</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(2,392)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(1,651)</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5,658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1,340</w:t>
            </w:r>
          </w:p>
        </w:tc>
        <w:tc>
          <w:tcPr>
            <w:tcW w:w="120" w:type="dxa"/>
            <w:vAlign w:val="bottom"/>
            <w:shd w:val="clear" w:color="auto" w:fill="CFF0FC"/>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(Interest and other expense) gain associated with claim on long-term contract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74,578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2"/>
                <w:szCs w:val="12"/>
                <w:color w:val="auto"/>
              </w:rPr>
              <w:t>(10,026)</w:t>
            </w:r>
          </w:p>
        </w:tc>
        <w:tc>
          <w:tcPr>
            <w:tcW w:w="10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(9,422)</w:t>
            </w:r>
          </w:p>
        </w:tc>
      </w:tr>
      <w:tr>
        <w:trPr>
          <w:trHeight w:val="20"/>
        </w:trPr>
        <w:tc>
          <w:tcPr>
            <w:tcW w:w="464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5"/>
        </w:trPr>
        <w:tc>
          <w:tcPr>
            <w:tcW w:w="4640" w:type="dxa"/>
            <w:vAlign w:val="bottom"/>
            <w:shd w:val="clear" w:color="auto" w:fill="CFF0FC"/>
          </w:tcPr>
          <w:p>
            <w:pPr>
              <w:ind w:left="100"/>
              <w:spacing w:after="0" w:line="136" w:lineRule="exact"/>
              <w:rPr>
                <w:sz w:val="20"/>
                <w:szCs w:val="20"/>
                <w:color w:val="auto"/>
              </w:rPr>
            </w:pPr>
            <w:r>
              <w:rPr>
                <w:rFonts w:ascii="Arial" w:cs="Arial" w:eastAsia="Arial" w:hAnsi="Arial"/>
                <w:sz w:val="12"/>
                <w:szCs w:val="12"/>
                <w:color w:val="auto"/>
              </w:rPr>
              <w:t>Total other (expense) income</w:t>
            </w:r>
          </w:p>
        </w:tc>
        <w:tc>
          <w:tcPr>
            <w:tcW w:w="5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line="136" w:lineRule="exact"/>
              <w:rPr>
                <w:sz w:val="20"/>
                <w:szCs w:val="20"/>
                <w:color w:val="auto"/>
              </w:rPr>
            </w:pPr>
            <w:r>
              <w:rPr>
                <w:rFonts w:ascii="Arial" w:cs="Arial" w:eastAsia="Arial" w:hAnsi="Arial"/>
                <w:sz w:val="12"/>
                <w:szCs w:val="12"/>
                <w:color w:val="auto"/>
              </w:rPr>
              <w:t>(16,402)</w:t>
            </w:r>
          </w:p>
        </w:tc>
        <w:tc>
          <w:tcPr>
            <w:tcW w:w="80" w:type="dxa"/>
            <w:vAlign w:val="bottom"/>
            <w:shd w:val="clear" w:color="auto" w:fill="CFF0FC"/>
          </w:tcPr>
          <w:p>
            <w:pPr>
              <w:spacing w:after="0"/>
              <w:rPr>
                <w:sz w:val="11"/>
                <w:szCs w:val="11"/>
                <w:color w:val="auto"/>
              </w:rPr>
            </w:pPr>
          </w:p>
        </w:tc>
        <w:tc>
          <w:tcPr>
            <w:tcW w:w="1060" w:type="dxa"/>
            <w:vAlign w:val="bottom"/>
            <w:gridSpan w:val="2"/>
            <w:shd w:val="clear" w:color="auto" w:fill="CFF0FC"/>
          </w:tcPr>
          <w:p>
            <w:pPr>
              <w:jc w:val="right"/>
              <w:ind w:right="100"/>
              <w:spacing w:after="0" w:line="136" w:lineRule="exact"/>
              <w:rPr>
                <w:sz w:val="20"/>
                <w:szCs w:val="20"/>
                <w:color w:val="auto"/>
              </w:rPr>
            </w:pPr>
            <w:r>
              <w:rPr>
                <w:rFonts w:ascii="Arial" w:cs="Arial" w:eastAsia="Arial" w:hAnsi="Arial"/>
                <w:sz w:val="12"/>
                <w:szCs w:val="12"/>
                <w:color w:val="auto"/>
              </w:rPr>
              <w:t>(24,821)</w:t>
            </w: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54,795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80"/>
              <w:spacing w:after="0" w:line="136" w:lineRule="exact"/>
              <w:rPr>
                <w:sz w:val="20"/>
                <w:szCs w:val="20"/>
                <w:color w:val="auto"/>
              </w:rPr>
            </w:pPr>
            <w:r>
              <w:rPr>
                <w:rFonts w:ascii="Arial" w:cs="Arial" w:eastAsia="Arial" w:hAnsi="Arial"/>
                <w:sz w:val="12"/>
                <w:szCs w:val="12"/>
                <w:color w:val="auto"/>
              </w:rPr>
              <w:t>(17,701)</w:t>
            </w:r>
          </w:p>
        </w:tc>
        <w:tc>
          <w:tcPr>
            <w:tcW w:w="10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80"/>
              <w:spacing w:after="0" w:line="136" w:lineRule="exact"/>
              <w:rPr>
                <w:sz w:val="20"/>
                <w:szCs w:val="20"/>
                <w:color w:val="auto"/>
              </w:rPr>
            </w:pPr>
            <w:r>
              <w:rPr>
                <w:rFonts w:ascii="Arial" w:cs="Arial" w:eastAsia="Arial" w:hAnsi="Arial"/>
                <w:sz w:val="12"/>
                <w:szCs w:val="12"/>
                <w:color w:val="auto"/>
              </w:rPr>
              <w:t>(23,401)</w:t>
            </w:r>
          </w:p>
        </w:tc>
      </w:tr>
      <w:tr>
        <w:trPr>
          <w:trHeight w:val="135"/>
        </w:trPr>
        <w:tc>
          <w:tcPr>
            <w:tcW w:w="4640" w:type="dxa"/>
            <w:vAlign w:val="bottom"/>
          </w:tcPr>
          <w:p>
            <w:pPr>
              <w:ind w:left="100"/>
              <w:spacing w:after="0" w:line="136" w:lineRule="exact"/>
              <w:rPr>
                <w:sz w:val="20"/>
                <w:szCs w:val="20"/>
                <w:color w:val="auto"/>
              </w:rPr>
            </w:pPr>
            <w:r>
              <w:rPr>
                <w:rFonts w:ascii="Arial" w:cs="Arial" w:eastAsia="Arial" w:hAnsi="Arial"/>
                <w:sz w:val="12"/>
                <w:szCs w:val="12"/>
                <w:color w:val="auto"/>
              </w:rPr>
              <w:t>Income before income tax expense</w:t>
            </w:r>
          </w:p>
        </w:tc>
        <w:tc>
          <w:tcPr>
            <w:tcW w:w="5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161,413</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67,242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259,803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133,001</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12,006</w:t>
            </w:r>
          </w:p>
        </w:tc>
        <w:tc>
          <w:tcPr>
            <w:tcW w:w="120" w:type="dxa"/>
            <w:vAlign w:val="bottom"/>
          </w:tcPr>
          <w:p>
            <w:pPr>
              <w:spacing w:after="0"/>
              <w:rPr>
                <w:sz w:val="11"/>
                <w:szCs w:val="11"/>
                <w:color w:val="auto"/>
              </w:rPr>
            </w:pP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 benefit</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(42,492)</w:t>
            </w: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69,886</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(20,367)</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(21,464)</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(13,992)</w:t>
            </w:r>
          </w:p>
        </w:tc>
      </w:tr>
      <w:tr>
        <w:trPr>
          <w:trHeight w:val="20"/>
        </w:trPr>
        <w:tc>
          <w:tcPr>
            <w:tcW w:w="4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4640" w:type="dxa"/>
            <w:vAlign w:val="bottom"/>
          </w:tcPr>
          <w:p>
            <w:pPr>
              <w:ind w:left="100"/>
              <w:spacing w:after="0" w:line="136" w:lineRule="exact"/>
              <w:rPr>
                <w:sz w:val="20"/>
                <w:szCs w:val="20"/>
                <w:color w:val="auto"/>
              </w:rPr>
            </w:pPr>
            <w:r>
              <w:rPr>
                <w:rFonts w:ascii="Arial" w:cs="Arial" w:eastAsia="Arial" w:hAnsi="Arial"/>
                <w:sz w:val="12"/>
                <w:szCs w:val="12"/>
                <w:color w:val="auto"/>
              </w:rPr>
              <w:t>Net income (loss) including noncontrolling interests</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118,921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137,128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239,436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111,537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(1,986)</w:t>
            </w:r>
          </w:p>
        </w:tc>
      </w:tr>
      <w:tr>
        <w:trPr>
          <w:trHeight w:val="144"/>
        </w:trPr>
        <w:tc>
          <w:tcPr>
            <w:tcW w:w="464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(20,380)</w:t>
            </w:r>
          </w:p>
        </w:tc>
        <w:tc>
          <w:tcPr>
            <w:tcW w:w="80" w:type="dxa"/>
            <w:vAlign w:val="bottom"/>
            <w:shd w:val="clear" w:color="auto" w:fill="CFF0FC"/>
          </w:tcPr>
          <w:p>
            <w:pPr>
              <w:spacing w:after="0"/>
              <w:rPr>
                <w:sz w:val="12"/>
                <w:szCs w:val="12"/>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(16,594)</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(17,099)</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(14,211)</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(11,161)</w:t>
            </w:r>
          </w:p>
        </w:tc>
      </w:tr>
      <w:tr>
        <w:trPr>
          <w:trHeight w:val="20"/>
        </w:trPr>
        <w:tc>
          <w:tcPr>
            <w:tcW w:w="4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4640" w:type="dxa"/>
            <w:vAlign w:val="bottom"/>
          </w:tcPr>
          <w:p>
            <w:pPr>
              <w:ind w:left="100"/>
              <w:spacing w:after="0" w:line="136" w:lineRule="exact"/>
              <w:rPr>
                <w:sz w:val="20"/>
                <w:szCs w:val="20"/>
                <w:color w:val="auto"/>
              </w:rPr>
            </w:pPr>
            <w:r>
              <w:rPr>
                <w:rFonts w:ascii="Arial" w:cs="Arial" w:eastAsia="Arial" w:hAnsi="Arial"/>
                <w:sz w:val="12"/>
                <w:szCs w:val="12"/>
                <w:color w:val="auto"/>
              </w:rPr>
              <w:t>Net income (loss) attributable to Parsons Corporation</w:t>
            </w:r>
          </w:p>
        </w:tc>
        <w:tc>
          <w:tcPr>
            <w:tcW w:w="580" w:type="dxa"/>
            <w:vAlign w:val="bottom"/>
          </w:tcPr>
          <w:p>
            <w:pPr>
              <w:spacing w:after="0"/>
              <w:rPr>
                <w:sz w:val="15"/>
                <w:szCs w:val="15"/>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98,541</w:t>
            </w:r>
          </w:p>
        </w:tc>
        <w:tc>
          <w:tcPr>
            <w:tcW w:w="2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120,534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222,337</w:t>
            </w:r>
          </w:p>
        </w:tc>
        <w:tc>
          <w:tcPr>
            <w:tcW w:w="120" w:type="dxa"/>
            <w:vAlign w:val="bottom"/>
          </w:tcPr>
          <w:p>
            <w:pPr>
              <w:spacing w:after="0"/>
              <w:rPr>
                <w:sz w:val="15"/>
                <w:szCs w:val="15"/>
                <w:color w:val="auto"/>
              </w:rPr>
            </w:pPr>
          </w:p>
        </w:tc>
        <w:tc>
          <w:tcPr>
            <w:tcW w:w="18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spacing w:after="0" w:line="136" w:lineRule="exact"/>
              <w:rPr>
                <w:sz w:val="20"/>
                <w:szCs w:val="20"/>
                <w:color w:val="auto"/>
              </w:rPr>
            </w:pPr>
            <w:r>
              <w:rPr>
                <w:rFonts w:ascii="Arial" w:cs="Arial" w:eastAsia="Arial" w:hAnsi="Arial"/>
                <w:sz w:val="12"/>
                <w:szCs w:val="12"/>
                <w:color w:val="auto"/>
              </w:rPr>
              <w:t>97,326</w:t>
            </w:r>
          </w:p>
        </w:tc>
        <w:tc>
          <w:tcPr>
            <w:tcW w:w="220" w:type="dxa"/>
            <w:vAlign w:val="bottom"/>
          </w:tcPr>
          <w:p>
            <w:pPr>
              <w:spacing w:after="0"/>
              <w:rPr>
                <w:sz w:val="15"/>
                <w:szCs w:val="15"/>
                <w:color w:val="auto"/>
              </w:rPr>
            </w:pP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line="136" w:lineRule="exact"/>
              <w:rPr>
                <w:sz w:val="20"/>
                <w:szCs w:val="20"/>
                <w:color w:val="auto"/>
              </w:rPr>
            </w:pPr>
            <w:r>
              <w:rPr>
                <w:rFonts w:ascii="Arial" w:cs="Arial" w:eastAsia="Arial" w:hAnsi="Arial"/>
                <w:sz w:val="12"/>
                <w:szCs w:val="12"/>
                <w:color w:val="auto"/>
              </w:rPr>
              <w:t>(13,147)</w:t>
            </w:r>
          </w:p>
        </w:tc>
      </w:tr>
      <w:tr>
        <w:trPr>
          <w:trHeight w:val="117"/>
        </w:trPr>
        <w:tc>
          <w:tcPr>
            <w:tcW w:w="4640" w:type="dxa"/>
            <w:vAlign w:val="bottom"/>
            <w:tcBorders>
              <w:top w:val="single" w:sz="8" w:color="CFF0FC"/>
            </w:tcBorders>
            <w:shd w:val="clear" w:color="auto" w:fill="CFF0FC"/>
          </w:tcPr>
          <w:p>
            <w:pPr>
              <w:spacing w:after="0" w:line="118" w:lineRule="exact"/>
              <w:rPr>
                <w:sz w:val="20"/>
                <w:szCs w:val="20"/>
                <w:color w:val="auto"/>
              </w:rPr>
            </w:pPr>
            <w:r>
              <w:rPr>
                <w:rFonts w:ascii="Arial" w:cs="Arial" w:eastAsia="Arial" w:hAnsi="Arial"/>
                <w:sz w:val="12"/>
                <w:szCs w:val="12"/>
                <w:b w:val="1"/>
                <w:bCs w:val="1"/>
                <w:color w:val="auto"/>
              </w:rPr>
              <w:t>Net income (loss) attributable to Parsons Corporation per share (1):</w:t>
            </w:r>
          </w:p>
        </w:tc>
        <w:tc>
          <w:tcPr>
            <w:tcW w:w="5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r>
      <w:tr>
        <w:trPr>
          <w:trHeight w:val="144"/>
        </w:trPr>
        <w:tc>
          <w:tcPr>
            <w:tcW w:w="4640" w:type="dxa"/>
            <w:vAlign w:val="bottom"/>
          </w:tcPr>
          <w:p>
            <w:pPr>
              <w:ind w:left="100"/>
              <w:spacing w:after="0"/>
              <w:rPr>
                <w:sz w:val="20"/>
                <w:szCs w:val="20"/>
                <w:color w:val="auto"/>
              </w:rPr>
            </w:pPr>
            <w:r>
              <w:rPr>
                <w:rFonts w:ascii="Arial" w:cs="Arial" w:eastAsia="Arial" w:hAnsi="Arial"/>
                <w:sz w:val="12"/>
                <w:szCs w:val="12"/>
                <w:color w:val="auto"/>
              </w:rPr>
              <w:t>Basic</w:t>
            </w: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0.98</w:t>
            </w:r>
          </w:p>
        </w:tc>
        <w:tc>
          <w:tcPr>
            <w:tcW w:w="2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1.30</w:t>
            </w:r>
          </w:p>
        </w:tc>
        <w:tc>
          <w:tcPr>
            <w:tcW w:w="140" w:type="dxa"/>
            <w:vAlign w:val="bottom"/>
          </w:tcPr>
          <w:p>
            <w:pPr>
              <w:spacing w:after="0"/>
              <w:rPr>
                <w:sz w:val="12"/>
                <w:szCs w:val="12"/>
                <w:color w:val="auto"/>
              </w:rPr>
            </w:pP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2.78</w:t>
            </w:r>
          </w:p>
        </w:tc>
        <w:tc>
          <w:tcPr>
            <w:tcW w:w="120" w:type="dxa"/>
            <w:vAlign w:val="bottom"/>
          </w:tcPr>
          <w:p>
            <w:pPr>
              <w:spacing w:after="0"/>
              <w:rPr>
                <w:sz w:val="12"/>
                <w:szCs w:val="1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1.16</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(0.15)</w:t>
            </w:r>
          </w:p>
        </w:tc>
      </w:tr>
      <w:tr>
        <w:trPr>
          <w:trHeight w:val="144"/>
        </w:trPr>
        <w:tc>
          <w:tcPr>
            <w:tcW w:w="46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Diluted</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0.97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w:t>
            </w:r>
          </w:p>
        </w:tc>
        <w:tc>
          <w:tcPr>
            <w:tcW w:w="140" w:type="dxa"/>
            <w:vAlign w:val="bottom"/>
            <w:shd w:val="clear" w:color="auto" w:fill="CFF0FC"/>
          </w:tcPr>
          <w:p>
            <w:pPr>
              <w:spacing w:after="0"/>
              <w:rPr>
                <w:sz w:val="12"/>
                <w:szCs w:val="12"/>
                <w:color w:val="auto"/>
              </w:rPr>
            </w:pPr>
          </w:p>
        </w:tc>
        <w:tc>
          <w:tcPr>
            <w:tcW w:w="180" w:type="dxa"/>
            <w:vAlign w:val="bottom"/>
            <w:gridSpan w:val="2"/>
            <w:shd w:val="clear" w:color="auto" w:fill="CFF0FC"/>
          </w:tcPr>
          <w:p>
            <w:pPr>
              <w:ind w:left="8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2.78</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(0.15)</w:t>
            </w:r>
          </w:p>
        </w:tc>
      </w:tr>
      <w:tr>
        <w:trPr>
          <w:trHeight w:val="144"/>
        </w:trPr>
        <w:tc>
          <w:tcPr>
            <w:tcW w:w="4640" w:type="dxa"/>
            <w:vAlign w:val="bottom"/>
          </w:tcPr>
          <w:p>
            <w:pPr>
              <w:spacing w:after="0"/>
              <w:rPr>
                <w:sz w:val="20"/>
                <w:szCs w:val="20"/>
                <w:color w:val="auto"/>
              </w:rPr>
            </w:pPr>
            <w:r>
              <w:rPr>
                <w:rFonts w:ascii="Arial" w:cs="Arial" w:eastAsia="Arial" w:hAnsi="Arial"/>
                <w:sz w:val="12"/>
                <w:szCs w:val="12"/>
                <w:color w:val="auto"/>
              </w:rPr>
              <w:t>Weighted-average number of shares: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FF0FC"/>
          </w:tcPr>
          <w:p>
            <w:pPr>
              <w:ind w:left="100"/>
              <w:spacing w:after="0"/>
              <w:rPr>
                <w:sz w:val="20"/>
                <w:szCs w:val="20"/>
                <w:color w:val="auto"/>
              </w:rPr>
            </w:pPr>
            <w:r>
              <w:rPr>
                <w:rFonts w:ascii="Arial" w:cs="Arial" w:eastAsia="Arial" w:hAnsi="Arial"/>
                <w:sz w:val="12"/>
                <w:szCs w:val="12"/>
                <w:color w:val="auto"/>
              </w:rPr>
              <w:t>Basic</w:t>
            </w: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100,848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92,419</w:t>
            </w: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80,014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83,574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88,497</w:t>
            </w:r>
          </w:p>
        </w:tc>
        <w:tc>
          <w:tcPr>
            <w:tcW w:w="120" w:type="dxa"/>
            <w:vAlign w:val="bottom"/>
            <w:shd w:val="clear" w:color="auto" w:fill="CFF0FC"/>
          </w:tcPr>
          <w:p>
            <w:pPr>
              <w:spacing w:after="0"/>
              <w:rPr>
                <w:sz w:val="12"/>
                <w:szCs w:val="12"/>
                <w:color w:val="auto"/>
              </w:rPr>
            </w:pPr>
          </w:p>
        </w:tc>
      </w:tr>
      <w:tr>
        <w:trPr>
          <w:trHeight w:val="148"/>
        </w:trPr>
        <w:tc>
          <w:tcPr>
            <w:tcW w:w="4640" w:type="dxa"/>
            <w:vAlign w:val="bottom"/>
          </w:tcPr>
          <w:p>
            <w:pPr>
              <w:ind w:left="100"/>
              <w:spacing w:after="0"/>
              <w:rPr>
                <w:sz w:val="20"/>
                <w:szCs w:val="20"/>
                <w:color w:val="auto"/>
              </w:rPr>
            </w:pPr>
            <w:r>
              <w:rPr>
                <w:rFonts w:ascii="Arial" w:cs="Arial" w:eastAsia="Arial" w:hAnsi="Arial"/>
                <w:sz w:val="12"/>
                <w:szCs w:val="12"/>
                <w:color w:val="auto"/>
              </w:rPr>
              <w:t>Diluted</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101,205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92,753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80,014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83,574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88,497</w:t>
            </w:r>
          </w:p>
        </w:tc>
        <w:tc>
          <w:tcPr>
            <w:tcW w:w="120" w:type="dxa"/>
            <w:vAlign w:val="bottom"/>
          </w:tcPr>
          <w:p>
            <w:pPr>
              <w:spacing w:after="0"/>
              <w:rPr>
                <w:sz w:val="12"/>
                <w:szCs w:val="12"/>
                <w:color w:val="auto"/>
              </w:rPr>
            </w:pPr>
          </w:p>
        </w:tc>
      </w:tr>
    </w:tbl>
    <w:p>
      <w:pPr>
        <w:ind w:left="440" w:right="40" w:hanging="431"/>
        <w:spacing w:after="0" w:line="238" w:lineRule="auto"/>
        <w:tabs>
          <w:tab w:leader="none" w:pos="440" w:val="left"/>
        </w:tabs>
        <w:numPr>
          <w:ilvl w:val="0"/>
          <w:numId w:val="35"/>
        </w:numPr>
        <w:rPr>
          <w:rFonts w:ascii="Arial" w:cs="Arial" w:eastAsia="Arial" w:hAnsi="Arial"/>
          <w:sz w:val="12"/>
          <w:szCs w:val="12"/>
          <w:color w:val="auto"/>
        </w:rPr>
      </w:pPr>
      <w:r>
        <w:rPr>
          <w:rFonts w:ascii="Arial" w:cs="Arial" w:eastAsia="Arial" w:hAnsi="Arial"/>
          <w:sz w:val="12"/>
          <w:szCs w:val="12"/>
          <w:color w:val="auto"/>
        </w:rPr>
        <w:t>The weighted-average number of shares used in computing net income (loss) attributable to Parsons Corporation per share, basic and diluted, gives effect in each period to the payment of the Stock Dividend as previously defined in Item 5 of Part II in this Annual Report on Form 10-K.</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As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5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1"/>
                <w:szCs w:val="11"/>
                <w:color w:val="auto"/>
              </w:rPr>
            </w:pPr>
          </w:p>
        </w:tc>
        <w:tc>
          <w:tcPr>
            <w:tcW w:w="920" w:type="dxa"/>
            <w:vAlign w:val="bottom"/>
          </w:tcPr>
          <w:p>
            <w:pPr>
              <w:jc w:val="right"/>
              <w:ind w:right="61"/>
              <w:spacing w:after="0" w:line="133" w:lineRule="exact"/>
              <w:rPr>
                <w:sz w:val="20"/>
                <w:szCs w:val="20"/>
                <w:color w:val="auto"/>
              </w:rPr>
            </w:pPr>
            <w:r>
              <w:rPr>
                <w:rFonts w:ascii="Arial" w:cs="Arial" w:eastAsia="Arial" w:hAnsi="Arial"/>
                <w:sz w:val="12"/>
                <w:szCs w:val="12"/>
                <w:b w:val="1"/>
                <w:bCs w:val="1"/>
                <w:color w:val="auto"/>
                <w:w w:val="99"/>
              </w:rPr>
              <w:t>December 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9"/>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right"/>
              <w:ind w:right="340"/>
              <w:spacing w:after="0" w:line="133" w:lineRule="exact"/>
              <w:rPr>
                <w:sz w:val="20"/>
                <w:szCs w:val="20"/>
                <w:color w:val="auto"/>
              </w:rPr>
            </w:pPr>
            <w:r>
              <w:rPr>
                <w:rFonts w:ascii="Arial" w:cs="Arial" w:eastAsia="Arial" w:hAnsi="Arial"/>
                <w:sz w:val="12"/>
                <w:szCs w:val="12"/>
                <w:b w:val="1"/>
                <w:bCs w:val="1"/>
                <w:color w:val="auto"/>
                <w:w w:val="99"/>
              </w:rPr>
              <w:t>December 29,</w:t>
            </w:r>
          </w:p>
        </w:tc>
        <w:tc>
          <w:tcPr>
            <w:tcW w:w="100" w:type="dxa"/>
            <w:vAlign w:val="bottom"/>
          </w:tcPr>
          <w:p>
            <w:pPr>
              <w:spacing w:after="0"/>
              <w:rPr>
                <w:sz w:val="11"/>
                <w:szCs w:val="11"/>
                <w:color w:val="auto"/>
              </w:rPr>
            </w:pPr>
          </w:p>
        </w:tc>
        <w:tc>
          <w:tcPr>
            <w:tcW w:w="1040" w:type="dxa"/>
            <w:vAlign w:val="bottom"/>
            <w:gridSpan w:val="2"/>
          </w:tcPr>
          <w:p>
            <w:pPr>
              <w:jc w:val="right"/>
              <w:ind w:right="240"/>
              <w:spacing w:after="0" w:line="133" w:lineRule="exact"/>
              <w:rPr>
                <w:sz w:val="20"/>
                <w:szCs w:val="20"/>
                <w:color w:val="auto"/>
              </w:rPr>
            </w:pPr>
            <w:r>
              <w:rPr>
                <w:rFonts w:ascii="Arial" w:cs="Arial" w:eastAsia="Arial" w:hAnsi="Arial"/>
                <w:sz w:val="12"/>
                <w:szCs w:val="12"/>
                <w:b w:val="1"/>
                <w:bCs w:val="1"/>
                <w:color w:val="auto"/>
                <w:w w:val="99"/>
              </w:rPr>
              <w:t>December 30,</w:t>
            </w:r>
          </w:p>
        </w:tc>
      </w:tr>
      <w:tr>
        <w:trPr>
          <w:trHeight w:val="143"/>
        </w:trPr>
        <w:tc>
          <w:tcPr>
            <w:tcW w:w="35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2020</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2019</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2"/>
                <w:szCs w:val="12"/>
                <w:b w:val="1"/>
                <w:bCs w:val="1"/>
                <w:color w:val="auto"/>
                <w:w w:val="97"/>
              </w:rPr>
              <w:t>2018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2017</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21"/>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2"/>
                <w:szCs w:val="12"/>
                <w:color w:val="auto"/>
              </w:rPr>
            </w:pPr>
          </w:p>
        </w:tc>
      </w:tr>
      <w:tr>
        <w:trPr>
          <w:trHeight w:val="135"/>
        </w:trPr>
        <w:tc>
          <w:tcPr>
            <w:tcW w:w="3580" w:type="dxa"/>
            <w:vAlign w:val="bottom"/>
          </w:tcPr>
          <w:p>
            <w:pPr>
              <w:spacing w:after="0" w:line="136" w:lineRule="exact"/>
              <w:rPr>
                <w:sz w:val="20"/>
                <w:szCs w:val="20"/>
                <w:color w:val="auto"/>
              </w:rPr>
            </w:pPr>
            <w:r>
              <w:rPr>
                <w:rFonts w:ascii="Arial" w:cs="Arial" w:eastAsia="Arial" w:hAnsi="Arial"/>
                <w:sz w:val="12"/>
                <w:szCs w:val="12"/>
                <w:b w:val="1"/>
                <w:bCs w:val="1"/>
                <w:color w:val="auto"/>
              </w:rPr>
              <w:t>Consolidated Balance Sheet Data:</w:t>
            </w:r>
          </w:p>
        </w:tc>
        <w:tc>
          <w:tcPr>
            <w:tcW w:w="1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Cash and cash equivalents (1)</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483,609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131,516</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206,427</w:t>
            </w:r>
          </w:p>
        </w:tc>
        <w:tc>
          <w:tcPr>
            <w:tcW w:w="1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376,368</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332,368</w:t>
            </w:r>
          </w:p>
        </w:tc>
        <w:tc>
          <w:tcPr>
            <w:tcW w:w="120" w:type="dxa"/>
            <w:vAlign w:val="bottom"/>
            <w:shd w:val="clear" w:color="auto" w:fill="CFF0FC"/>
          </w:tcPr>
          <w:p>
            <w:pPr>
              <w:spacing w:after="0"/>
              <w:rPr>
                <w:sz w:val="12"/>
                <w:szCs w:val="12"/>
                <w:color w:val="auto"/>
              </w:rPr>
            </w:pPr>
          </w:p>
        </w:tc>
      </w:tr>
      <w:tr>
        <w:trPr>
          <w:trHeight w:val="144"/>
        </w:trPr>
        <w:tc>
          <w:tcPr>
            <w:tcW w:w="3580" w:type="dxa"/>
            <w:vAlign w:val="bottom"/>
          </w:tcPr>
          <w:p>
            <w:pPr>
              <w:spacing w:after="0"/>
              <w:rPr>
                <w:sz w:val="20"/>
                <w:szCs w:val="20"/>
                <w:color w:val="auto"/>
              </w:rPr>
            </w:pPr>
            <w:r>
              <w:rPr>
                <w:rFonts w:ascii="Arial" w:cs="Arial" w:eastAsia="Arial" w:hAnsi="Arial"/>
                <w:sz w:val="12"/>
                <w:szCs w:val="12"/>
                <w:color w:val="auto"/>
              </w:rPr>
              <w:t>Total assets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3,937,704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3,450,368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2,612,578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2,272,718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2,153,494</w:t>
            </w:r>
          </w:p>
        </w:tc>
        <w:tc>
          <w:tcPr>
            <w:tcW w:w="120" w:type="dxa"/>
            <w:vAlign w:val="bottom"/>
          </w:tcPr>
          <w:p>
            <w:pPr>
              <w:spacing w:after="0"/>
              <w:rPr>
                <w:sz w:val="12"/>
                <w:szCs w:val="12"/>
                <w:color w:val="auto"/>
              </w:rPr>
            </w:pPr>
          </w:p>
        </w:tc>
      </w:tr>
      <w:tr>
        <w:trPr>
          <w:trHeight w:val="144"/>
        </w:trPr>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Total debt</w:t>
            </w: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589,998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249,353</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429,164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249,407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249,301</w:t>
            </w:r>
          </w:p>
        </w:tc>
        <w:tc>
          <w:tcPr>
            <w:tcW w:w="120" w:type="dxa"/>
            <w:vAlign w:val="bottom"/>
            <w:shd w:val="clear" w:color="auto" w:fill="CFF0FC"/>
          </w:tcPr>
          <w:p>
            <w:pPr>
              <w:spacing w:after="0"/>
              <w:rPr>
                <w:sz w:val="12"/>
                <w:szCs w:val="12"/>
                <w:color w:val="auto"/>
              </w:rPr>
            </w:pPr>
          </w:p>
        </w:tc>
      </w:tr>
      <w:tr>
        <w:trPr>
          <w:trHeight w:val="144"/>
        </w:trPr>
        <w:tc>
          <w:tcPr>
            <w:tcW w:w="358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47,645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30,866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46,461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27,494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57,169</w:t>
            </w:r>
          </w:p>
        </w:tc>
        <w:tc>
          <w:tcPr>
            <w:tcW w:w="120" w:type="dxa"/>
            <w:vAlign w:val="bottom"/>
          </w:tcPr>
          <w:p>
            <w:pPr>
              <w:spacing w:after="0"/>
              <w:rPr>
                <w:sz w:val="12"/>
                <w:szCs w:val="12"/>
                <w:color w:val="auto"/>
              </w:rPr>
            </w:pPr>
          </w:p>
        </w:tc>
      </w:tr>
      <w:tr>
        <w:trPr>
          <w:trHeight w:val="144"/>
        </w:trPr>
        <w:tc>
          <w:tcPr>
            <w:tcW w:w="3580" w:type="dxa"/>
            <w:vAlign w:val="bottom"/>
            <w:shd w:val="clear" w:color="auto" w:fill="CFF0FC"/>
          </w:tcPr>
          <w:p>
            <w:pPr>
              <w:spacing w:after="0"/>
              <w:rPr>
                <w:sz w:val="20"/>
                <w:szCs w:val="20"/>
                <w:color w:val="auto"/>
              </w:rPr>
            </w:pPr>
            <w:r>
              <w:rPr>
                <w:rFonts w:ascii="Arial" w:cs="Arial" w:eastAsia="Arial" w:hAnsi="Arial"/>
                <w:sz w:val="12"/>
                <w:szCs w:val="12"/>
                <w:color w:val="auto"/>
              </w:rPr>
              <w:t>Total shareholder's equity (deficit)</w:t>
            </w:r>
          </w:p>
        </w:tc>
        <w:tc>
          <w:tcPr>
            <w:tcW w:w="1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1,861,417</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1,660,756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(921,076)</w:t>
            </w: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2"/>
                <w:szCs w:val="12"/>
                <w:color w:val="auto"/>
              </w:rPr>
              <w:t>(1,049,916)</w:t>
            </w:r>
          </w:p>
        </w:tc>
        <w:tc>
          <w:tcPr>
            <w:tcW w:w="100" w:type="dxa"/>
            <w:vAlign w:val="bottom"/>
            <w:shd w:val="clear" w:color="auto" w:fill="CFF0FC"/>
          </w:tcPr>
          <w:p>
            <w:pPr>
              <w:spacing w:after="0"/>
              <w:rPr>
                <w:sz w:val="12"/>
                <w:szCs w:val="12"/>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(935,542)</w:t>
            </w:r>
          </w:p>
        </w:tc>
      </w:tr>
    </w:tbl>
    <w:p>
      <w:pPr>
        <w:spacing w:after="0" w:line="4" w:lineRule="exact"/>
        <w:rPr>
          <w:sz w:val="20"/>
          <w:szCs w:val="20"/>
          <w:color w:val="auto"/>
        </w:rPr>
      </w:pPr>
    </w:p>
    <w:p>
      <w:pPr>
        <w:ind w:left="740" w:hanging="731"/>
        <w:spacing w:after="0"/>
        <w:tabs>
          <w:tab w:leader="none" w:pos="740" w:val="left"/>
        </w:tabs>
        <w:numPr>
          <w:ilvl w:val="0"/>
          <w:numId w:val="36"/>
        </w:numPr>
        <w:rPr>
          <w:rFonts w:ascii="Arial" w:cs="Arial" w:eastAsia="Arial" w:hAnsi="Arial"/>
          <w:sz w:val="12"/>
          <w:szCs w:val="12"/>
          <w:color w:val="auto"/>
        </w:rPr>
      </w:pPr>
      <w:r>
        <w:rPr>
          <w:rFonts w:ascii="Arial" w:cs="Arial" w:eastAsia="Arial" w:hAnsi="Arial"/>
          <w:sz w:val="12"/>
          <w:szCs w:val="12"/>
          <w:color w:val="auto"/>
        </w:rPr>
        <w:t>Does not include cash of consolidated joint ventures and restricted cash and investments.</w:t>
      </w:r>
    </w:p>
    <w:tbl>
      <w:tblPr>
        <w:tblLayout w:type="fixed"/>
        <w:tblInd w:w="0" w:type="dxa"/>
        <w:tblCellMar>
          <w:top w:w="0" w:type="dxa"/>
          <w:left w:w="0" w:type="dxa"/>
          <w:bottom w:w="0" w:type="dxa"/>
          <w:right w:w="0" w:type="dxa"/>
        </w:tblCellMar>
      </w:tblPr>
      <w:tr>
        <w:trPr>
          <w:trHeight w:val="135"/>
        </w:trPr>
        <w:tc>
          <w:tcPr>
            <w:tcW w:w="6640" w:type="dxa"/>
            <w:vAlign w:val="bottom"/>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00" w:type="dxa"/>
            <w:vAlign w:val="bottom"/>
          </w:tcPr>
          <w:p>
            <w:pPr>
              <w:spacing w:after="0"/>
              <w:rPr>
                <w:sz w:val="11"/>
                <w:szCs w:val="11"/>
                <w:color w:val="auto"/>
              </w:rPr>
            </w:pPr>
          </w:p>
        </w:tc>
        <w:tc>
          <w:tcPr>
            <w:tcW w:w="1500" w:type="dxa"/>
            <w:vAlign w:val="bottom"/>
            <w:gridSpan w:val="2"/>
          </w:tcPr>
          <w:p>
            <w:pPr>
              <w:jc w:val="right"/>
              <w:ind w:right="400"/>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100" w:type="dxa"/>
            <w:vAlign w:val="bottom"/>
          </w:tcPr>
          <w:p>
            <w:pPr>
              <w:spacing w:after="0"/>
              <w:rPr>
                <w:sz w:val="11"/>
                <w:szCs w:val="11"/>
                <w:color w:val="auto"/>
              </w:rPr>
            </w:pPr>
          </w:p>
        </w:tc>
        <w:tc>
          <w:tcPr>
            <w:tcW w:w="1420" w:type="dxa"/>
            <w:vAlign w:val="bottom"/>
            <w:gridSpan w:val="2"/>
          </w:tcPr>
          <w:p>
            <w:pPr>
              <w:jc w:val="right"/>
              <w:ind w:right="340"/>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right"/>
              <w:ind w:right="260"/>
              <w:spacing w:after="0" w:line="136" w:lineRule="exact"/>
              <w:rPr>
                <w:sz w:val="20"/>
                <w:szCs w:val="20"/>
                <w:color w:val="auto"/>
              </w:rPr>
            </w:pPr>
            <w:r>
              <w:rPr>
                <w:rFonts w:ascii="Arial" w:cs="Arial" w:eastAsia="Arial" w:hAnsi="Arial"/>
                <w:sz w:val="12"/>
                <w:szCs w:val="12"/>
                <w:b w:val="1"/>
                <w:bCs w:val="1"/>
                <w:color w:val="auto"/>
                <w:w w:val="98"/>
              </w:rPr>
              <w:t>December 31, 2018</w:t>
            </w:r>
          </w:p>
        </w:tc>
      </w:tr>
      <w:tr>
        <w:trPr>
          <w:trHeight w:val="147"/>
        </w:trPr>
        <w:tc>
          <w:tcPr>
            <w:tcW w:w="6640" w:type="dxa"/>
            <w:vAlign w:val="bottom"/>
          </w:tcPr>
          <w:p>
            <w:pPr>
              <w:spacing w:after="0"/>
              <w:rPr>
                <w:sz w:val="20"/>
                <w:szCs w:val="20"/>
                <w:color w:val="auto"/>
              </w:rPr>
            </w:pPr>
            <w:r>
              <w:rPr>
                <w:rFonts w:ascii="Arial" w:cs="Arial" w:eastAsia="Arial" w:hAnsi="Arial"/>
                <w:sz w:val="12"/>
                <w:szCs w:val="12"/>
                <w:b w:val="1"/>
                <w:bCs w:val="1"/>
                <w:color w:val="auto"/>
              </w:rPr>
              <w:t>Other Information:</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2"/>
        </w:trPr>
        <w:tc>
          <w:tcPr>
            <w:tcW w:w="6640" w:type="dxa"/>
            <w:vAlign w:val="bottom"/>
          </w:tcPr>
          <w:p>
            <w:pPr>
              <w:spacing w:after="0" w:line="132" w:lineRule="exact"/>
              <w:rPr>
                <w:sz w:val="20"/>
                <w:szCs w:val="20"/>
                <w:color w:val="auto"/>
              </w:rPr>
            </w:pPr>
            <w:r>
              <w:rPr>
                <w:rFonts w:ascii="Arial" w:cs="Arial" w:eastAsia="Arial" w:hAnsi="Arial"/>
                <w:sz w:val="12"/>
                <w:szCs w:val="12"/>
                <w:color w:val="auto"/>
              </w:rPr>
              <w:t>Adjusted EBITDA (1)</w:t>
            </w:r>
          </w:p>
        </w:tc>
        <w:tc>
          <w:tcPr>
            <w:tcW w:w="100" w:type="dxa"/>
            <w:vAlign w:val="bottom"/>
          </w:tcPr>
          <w:p>
            <w:pPr>
              <w:jc w:val="right"/>
              <w:spacing w:after="0" w:line="132"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2" w:lineRule="exact"/>
              <w:rPr>
                <w:sz w:val="20"/>
                <w:szCs w:val="20"/>
                <w:color w:val="auto"/>
              </w:rPr>
            </w:pPr>
            <w:r>
              <w:rPr>
                <w:rFonts w:ascii="Arial" w:cs="Arial" w:eastAsia="Arial" w:hAnsi="Arial"/>
                <w:sz w:val="12"/>
                <w:szCs w:val="12"/>
                <w:color w:val="auto"/>
              </w:rPr>
              <w:t>342,621</w:t>
            </w:r>
          </w:p>
        </w:tc>
        <w:tc>
          <w:tcPr>
            <w:tcW w:w="2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220" w:type="dxa"/>
            <w:vAlign w:val="bottom"/>
          </w:tcPr>
          <w:p>
            <w:pPr>
              <w:jc w:val="right"/>
              <w:spacing w:after="0" w:line="132" w:lineRule="exact"/>
              <w:rPr>
                <w:sz w:val="20"/>
                <w:szCs w:val="20"/>
                <w:color w:val="auto"/>
              </w:rPr>
            </w:pPr>
            <w:r>
              <w:rPr>
                <w:rFonts w:ascii="Arial" w:cs="Arial" w:eastAsia="Arial" w:hAnsi="Arial"/>
                <w:sz w:val="12"/>
                <w:szCs w:val="12"/>
                <w:color w:val="auto"/>
              </w:rPr>
              <w:t>325,047</w:t>
            </w:r>
          </w:p>
        </w:tc>
        <w:tc>
          <w:tcPr>
            <w:tcW w:w="200" w:type="dxa"/>
            <w:vAlign w:val="bottom"/>
          </w:tcPr>
          <w:p>
            <w:pPr>
              <w:spacing w:after="0"/>
              <w:rPr>
                <w:sz w:val="11"/>
                <w:szCs w:val="11"/>
                <w:color w:val="auto"/>
              </w:rPr>
            </w:pPr>
          </w:p>
        </w:tc>
        <w:tc>
          <w:tcPr>
            <w:tcW w:w="180" w:type="dxa"/>
            <w:vAlign w:val="bottom"/>
            <w:gridSpan w:val="2"/>
          </w:tcPr>
          <w:p>
            <w:pPr>
              <w:jc w:val="right"/>
              <w:ind w:right="40"/>
              <w:spacing w:after="0" w:line="132"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32" w:lineRule="exact"/>
              <w:rPr>
                <w:sz w:val="20"/>
                <w:szCs w:val="20"/>
                <w:color w:val="auto"/>
              </w:rPr>
            </w:pPr>
            <w:r>
              <w:rPr>
                <w:rFonts w:ascii="Arial" w:cs="Arial" w:eastAsia="Arial" w:hAnsi="Arial"/>
                <w:sz w:val="12"/>
                <w:szCs w:val="12"/>
                <w:color w:val="auto"/>
              </w:rPr>
              <w:t>246,244</w:t>
            </w:r>
          </w:p>
        </w:tc>
        <w:tc>
          <w:tcPr>
            <w:tcW w:w="120" w:type="dxa"/>
            <w:vAlign w:val="bottom"/>
          </w:tcPr>
          <w:p>
            <w:pPr>
              <w:spacing w:after="0"/>
              <w:rPr>
                <w:sz w:val="11"/>
                <w:szCs w:val="11"/>
                <w:color w:val="auto"/>
              </w:rPr>
            </w:pPr>
          </w:p>
        </w:tc>
      </w:tr>
      <w:tr>
        <w:trPr>
          <w:trHeight w:val="144"/>
        </w:trPr>
        <w:tc>
          <w:tcPr>
            <w:tcW w:w="6640" w:type="dxa"/>
            <w:vAlign w:val="bottom"/>
            <w:shd w:val="clear" w:color="auto" w:fill="CFF0FC"/>
          </w:tcPr>
          <w:p>
            <w:pPr>
              <w:spacing w:after="0"/>
              <w:rPr>
                <w:sz w:val="20"/>
                <w:szCs w:val="20"/>
                <w:color w:val="auto"/>
              </w:rPr>
            </w:pPr>
            <w:r>
              <w:rPr>
                <w:rFonts w:ascii="Arial" w:cs="Arial" w:eastAsia="Arial" w:hAnsi="Arial"/>
                <w:sz w:val="12"/>
                <w:szCs w:val="12"/>
                <w:color w:val="auto"/>
              </w:rPr>
              <w:t>Net Income Margin (2)</w:t>
            </w:r>
          </w:p>
        </w:tc>
        <w:tc>
          <w:tcPr>
            <w:tcW w:w="100" w:type="dxa"/>
            <w:vAlign w:val="bottom"/>
            <w:shd w:val="clear" w:color="auto" w:fill="CFF0FC"/>
          </w:tcPr>
          <w:p>
            <w:pPr>
              <w:spacing w:after="0"/>
              <w:rPr>
                <w:sz w:val="12"/>
                <w:szCs w:val="12"/>
                <w:color w:val="auto"/>
              </w:rPr>
            </w:pPr>
          </w:p>
        </w:tc>
        <w:tc>
          <w:tcPr>
            <w:tcW w:w="150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2"/>
                <w:szCs w:val="12"/>
                <w:color w:val="auto"/>
              </w:rPr>
              <w:t>3.5%</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2"/>
                <w:szCs w:val="12"/>
                <w:color w:val="auto"/>
              </w:rPr>
              <w:t>6.7%</w:t>
            </w:r>
          </w:p>
        </w:tc>
      </w:tr>
      <w:tr>
        <w:trPr>
          <w:trHeight w:val="148"/>
        </w:trPr>
        <w:tc>
          <w:tcPr>
            <w:tcW w:w="6640" w:type="dxa"/>
            <w:vAlign w:val="bottom"/>
          </w:tcPr>
          <w:p>
            <w:pPr>
              <w:spacing w:after="0"/>
              <w:rPr>
                <w:sz w:val="20"/>
                <w:szCs w:val="20"/>
                <w:color w:val="auto"/>
              </w:rPr>
            </w:pPr>
            <w:r>
              <w:rPr>
                <w:rFonts w:ascii="Arial" w:cs="Arial" w:eastAsia="Arial" w:hAnsi="Arial"/>
                <w:sz w:val="12"/>
                <w:szCs w:val="12"/>
                <w:color w:val="auto"/>
              </w:rPr>
              <w:t>Adjusted EBITDA Margin (3)</w:t>
            </w:r>
          </w:p>
        </w:tc>
        <w:tc>
          <w:tcPr>
            <w:tcW w:w="100" w:type="dxa"/>
            <w:vAlign w:val="bottom"/>
          </w:tcPr>
          <w:p>
            <w:pPr>
              <w:spacing w:after="0"/>
              <w:rPr>
                <w:sz w:val="12"/>
                <w:szCs w:val="12"/>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color w:val="auto"/>
              </w:rPr>
              <w:t>8.7%</w:t>
            </w:r>
          </w:p>
        </w:tc>
        <w:tc>
          <w:tcPr>
            <w:tcW w:w="100" w:type="dxa"/>
            <w:vAlign w:val="bottom"/>
          </w:tcPr>
          <w:p>
            <w:pPr>
              <w:spacing w:after="0"/>
              <w:rPr>
                <w:sz w:val="12"/>
                <w:szCs w:val="12"/>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2"/>
                <w:szCs w:val="12"/>
                <w:color w:val="auto"/>
              </w:rPr>
              <w:t>8.2%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2"/>
                <w:szCs w:val="12"/>
                <w:color w:val="auto"/>
              </w:rPr>
              <w:t>6.9%</w:t>
            </w:r>
          </w:p>
        </w:tc>
      </w:tr>
    </w:tbl>
    <w:p>
      <w:pPr>
        <w:ind w:left="760" w:hanging="751"/>
        <w:spacing w:after="0" w:line="231" w:lineRule="auto"/>
        <w:tabs>
          <w:tab w:leader="none" w:pos="7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 reconciliation of net income (loss) attributable to Parsons Corporation to Adjusted EBITDA is set forth below (in thousands).</w:t>
      </w:r>
    </w:p>
    <w:p>
      <w:pPr>
        <w:ind w:left="760" w:hanging="751"/>
        <w:spacing w:after="0" w:line="231" w:lineRule="auto"/>
        <w:tabs>
          <w:tab w:leader="none" w:pos="7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Net Income Margin is calculated as net income including noncontrolling interest divided by revenue in the applicable period.</w:t>
      </w:r>
    </w:p>
    <w:p>
      <w:pPr>
        <w:ind w:left="760" w:hanging="751"/>
        <w:spacing w:after="0"/>
        <w:tabs>
          <w:tab w:leader="none" w:pos="7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Adjusted EBITDA Margin is calculated as Adjusted EBITDA divided by revenue in the applicable period.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w w:val="99"/>
              </w:rPr>
              <w:t>December 31, 2020</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9"/>
              </w:rPr>
              <w:t>December 31, 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b w:val="1"/>
                <w:bCs w:val="1"/>
                <w:color w:val="auto"/>
                <w:w w:val="98"/>
              </w:rPr>
              <w:t>December 31, 2018</w:t>
            </w:r>
          </w:p>
        </w:tc>
        <w:tc>
          <w:tcPr>
            <w:tcW w:w="120" w:type="dxa"/>
            <w:vAlign w:val="bottom"/>
          </w:tcPr>
          <w:p>
            <w:pPr>
              <w:spacing w:after="0"/>
              <w:rPr>
                <w:sz w:val="12"/>
                <w:szCs w:val="12"/>
                <w:color w:val="auto"/>
              </w:rPr>
            </w:pPr>
          </w:p>
        </w:tc>
      </w:tr>
      <w:tr>
        <w:trPr>
          <w:trHeight w:val="135"/>
        </w:trPr>
        <w:tc>
          <w:tcPr>
            <w:tcW w:w="6660" w:type="dxa"/>
            <w:vAlign w:val="bottom"/>
          </w:tcPr>
          <w:p>
            <w:pPr>
              <w:spacing w:after="0" w:line="136" w:lineRule="exact"/>
              <w:rPr>
                <w:sz w:val="20"/>
                <w:szCs w:val="20"/>
                <w:color w:val="auto"/>
              </w:rPr>
            </w:pPr>
            <w:r>
              <w:rPr>
                <w:rFonts w:ascii="Arial" w:cs="Arial" w:eastAsia="Arial" w:hAnsi="Arial"/>
                <w:sz w:val="12"/>
                <w:szCs w:val="12"/>
                <w:color w:val="auto"/>
              </w:rPr>
              <w:t>Net income attributable to Parsons Corporation</w:t>
            </w:r>
          </w:p>
        </w:tc>
        <w:tc>
          <w:tcPr>
            <w:tcW w:w="100" w:type="dxa"/>
            <w:vAlign w:val="bottom"/>
          </w:tcPr>
          <w:p>
            <w:pPr>
              <w:jc w:val="right"/>
              <w:spacing w:after="0" w:line="136" w:lineRule="exact"/>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line="136" w:lineRule="exact"/>
              <w:rPr>
                <w:sz w:val="20"/>
                <w:szCs w:val="20"/>
                <w:color w:val="auto"/>
              </w:rPr>
            </w:pPr>
            <w:r>
              <w:rPr>
                <w:rFonts w:ascii="Arial" w:cs="Arial" w:eastAsia="Arial" w:hAnsi="Arial"/>
                <w:sz w:val="12"/>
                <w:szCs w:val="12"/>
                <w:color w:val="auto"/>
              </w:rPr>
              <w:t>98,541</w:t>
            </w:r>
          </w:p>
        </w:tc>
        <w:tc>
          <w:tcPr>
            <w:tcW w:w="36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240" w:type="dxa"/>
            <w:vAlign w:val="bottom"/>
          </w:tcPr>
          <w:p>
            <w:pPr>
              <w:jc w:val="right"/>
              <w:spacing w:after="0" w:line="136" w:lineRule="exact"/>
              <w:rPr>
                <w:sz w:val="20"/>
                <w:szCs w:val="20"/>
                <w:color w:val="auto"/>
              </w:rPr>
            </w:pPr>
            <w:r>
              <w:rPr>
                <w:rFonts w:ascii="Arial" w:cs="Arial" w:eastAsia="Arial" w:hAnsi="Arial"/>
                <w:sz w:val="12"/>
                <w:szCs w:val="12"/>
                <w:color w:val="auto"/>
              </w:rPr>
              <w:t>120,534</w:t>
            </w:r>
          </w:p>
        </w:tc>
        <w:tc>
          <w:tcPr>
            <w:tcW w:w="140" w:type="dxa"/>
            <w:vAlign w:val="bottom"/>
          </w:tcPr>
          <w:p>
            <w:pPr>
              <w:spacing w:after="0"/>
              <w:rPr>
                <w:sz w:val="11"/>
                <w:szCs w:val="11"/>
                <w:color w:val="auto"/>
              </w:rPr>
            </w:pPr>
          </w:p>
        </w:tc>
        <w:tc>
          <w:tcPr>
            <w:tcW w:w="220" w:type="dxa"/>
            <w:vAlign w:val="bottom"/>
            <w:gridSpan w:val="2"/>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1220" w:type="dxa"/>
            <w:vAlign w:val="bottom"/>
          </w:tcPr>
          <w:p>
            <w:pPr>
              <w:jc w:val="right"/>
              <w:spacing w:after="0" w:line="136" w:lineRule="exact"/>
              <w:rPr>
                <w:sz w:val="20"/>
                <w:szCs w:val="20"/>
                <w:color w:val="auto"/>
              </w:rPr>
            </w:pPr>
            <w:r>
              <w:rPr>
                <w:rFonts w:ascii="Arial" w:cs="Arial" w:eastAsia="Arial" w:hAnsi="Arial"/>
                <w:sz w:val="12"/>
                <w:szCs w:val="12"/>
                <w:color w:val="auto"/>
              </w:rPr>
              <w:t>222,337</w:t>
            </w:r>
          </w:p>
        </w:tc>
        <w:tc>
          <w:tcPr>
            <w:tcW w:w="120" w:type="dxa"/>
            <w:vAlign w:val="bottom"/>
          </w:tcPr>
          <w:p>
            <w:pPr>
              <w:spacing w:after="0"/>
              <w:rPr>
                <w:sz w:val="11"/>
                <w:szCs w:val="11"/>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Interest expense, net</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20,169</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22,429</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18,132</w:t>
            </w:r>
          </w:p>
        </w:tc>
        <w:tc>
          <w:tcPr>
            <w:tcW w:w="120" w:type="dxa"/>
            <w:vAlign w:val="bottom"/>
            <w:shd w:val="clear" w:color="auto" w:fill="CFF0FC"/>
          </w:tcPr>
          <w:p>
            <w:pPr>
              <w:spacing w:after="0"/>
              <w:rPr>
                <w:sz w:val="12"/>
                <w:szCs w:val="12"/>
                <w:color w:val="auto"/>
              </w:rPr>
            </w:pP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Income tax expense (benefit)</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42,492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2"/>
                <w:szCs w:val="12"/>
                <w:color w:val="auto"/>
              </w:rPr>
              <w:t>(69,886)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20,367</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Depreciation and amortization</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127,980</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125,700</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69,869</w:t>
            </w:r>
          </w:p>
        </w:tc>
        <w:tc>
          <w:tcPr>
            <w:tcW w:w="120" w:type="dxa"/>
            <w:vAlign w:val="bottom"/>
            <w:shd w:val="clear" w:color="auto" w:fill="CFF0FC"/>
          </w:tcPr>
          <w:p>
            <w:pPr>
              <w:spacing w:after="0"/>
              <w:rPr>
                <w:sz w:val="12"/>
                <w:szCs w:val="12"/>
                <w:color w:val="auto"/>
              </w:rPr>
            </w:pP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20,380</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16,594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17,099</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Litigation-related expenses (income) (a)</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(129,674)</w:t>
            </w: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Amortization of deferred gain resulting from sale-leaseback transactions (b)</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2"/>
                <w:szCs w:val="12"/>
                <w:color w:val="auto"/>
              </w:rPr>
              <w:t>(7,253)</w:t>
            </w: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Equity-based compensation (c)</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9,785</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65,744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16,487</w:t>
            </w:r>
          </w:p>
        </w:tc>
        <w:tc>
          <w:tcPr>
            <w:tcW w:w="120" w:type="dxa"/>
            <w:vAlign w:val="bottom"/>
            <w:shd w:val="clear" w:color="auto" w:fill="CFF0FC"/>
          </w:tcPr>
          <w:p>
            <w:pPr>
              <w:spacing w:after="0"/>
              <w:rPr>
                <w:sz w:val="12"/>
                <w:szCs w:val="12"/>
                <w:color w:val="auto"/>
              </w:rPr>
            </w:pPr>
          </w:p>
        </w:tc>
      </w:tr>
      <w:tr>
        <w:trPr>
          <w:trHeight w:val="144"/>
        </w:trPr>
        <w:tc>
          <w:tcPr>
            <w:tcW w:w="6660" w:type="dxa"/>
            <w:vAlign w:val="bottom"/>
          </w:tcPr>
          <w:p>
            <w:pPr>
              <w:spacing w:after="0"/>
              <w:rPr>
                <w:sz w:val="20"/>
                <w:szCs w:val="20"/>
                <w:color w:val="auto"/>
              </w:rPr>
            </w:pPr>
            <w:r>
              <w:rPr>
                <w:rFonts w:ascii="Arial" w:cs="Arial" w:eastAsia="Arial" w:hAnsi="Arial"/>
                <w:sz w:val="12"/>
                <w:szCs w:val="12"/>
                <w:color w:val="auto"/>
              </w:rPr>
              <w:t>Transaction-related costs (d)</w:t>
            </w: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19,922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34,353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12,942</w:t>
            </w:r>
          </w:p>
        </w:tc>
        <w:tc>
          <w:tcPr>
            <w:tcW w:w="120" w:type="dxa"/>
            <w:vAlign w:val="bottom"/>
          </w:tcPr>
          <w:p>
            <w:pPr>
              <w:spacing w:after="0"/>
              <w:rPr>
                <w:sz w:val="12"/>
                <w:szCs w:val="12"/>
                <w:color w:val="auto"/>
              </w:rPr>
            </w:pPr>
          </w:p>
        </w:tc>
      </w:tr>
      <w:tr>
        <w:trPr>
          <w:trHeight w:val="144"/>
        </w:trPr>
        <w:tc>
          <w:tcPr>
            <w:tcW w:w="6660" w:type="dxa"/>
            <w:vAlign w:val="bottom"/>
            <w:shd w:val="clear" w:color="auto" w:fill="CFF0FC"/>
          </w:tcPr>
          <w:p>
            <w:pPr>
              <w:spacing w:after="0"/>
              <w:rPr>
                <w:sz w:val="20"/>
                <w:szCs w:val="20"/>
                <w:color w:val="auto"/>
              </w:rPr>
            </w:pPr>
            <w:r>
              <w:rPr>
                <w:rFonts w:ascii="Arial" w:cs="Arial" w:eastAsia="Arial" w:hAnsi="Arial"/>
                <w:sz w:val="12"/>
                <w:szCs w:val="12"/>
                <w:color w:val="auto"/>
              </w:rPr>
              <w:t>Restructuring (e)</w:t>
            </w: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2,193</w:t>
            </w:r>
          </w:p>
        </w:tc>
        <w:tc>
          <w:tcPr>
            <w:tcW w:w="2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3,424</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666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Other (f)</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1,159</w:t>
            </w:r>
          </w:p>
        </w:tc>
        <w:tc>
          <w:tcPr>
            <w:tcW w:w="28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6,155</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5,938</w:t>
            </w:r>
          </w:p>
        </w:tc>
        <w:tc>
          <w:tcPr>
            <w:tcW w:w="120" w:type="dxa"/>
            <w:vAlign w:val="bottom"/>
            <w:tcBorders>
              <w:bottom w:val="single" w:sz="8" w:color="CFF0FC"/>
            </w:tcBorders>
          </w:tcPr>
          <w:p>
            <w:pPr>
              <w:spacing w:after="0"/>
              <w:rPr>
                <w:sz w:val="12"/>
                <w:szCs w:val="12"/>
                <w:color w:val="auto"/>
              </w:rPr>
            </w:pPr>
          </w:p>
        </w:tc>
      </w:tr>
      <w:tr>
        <w:trPr>
          <w:trHeight w:val="135"/>
        </w:trPr>
        <w:tc>
          <w:tcPr>
            <w:tcW w:w="66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Adjusted EBITDA</w:t>
            </w:r>
          </w:p>
        </w:tc>
        <w:tc>
          <w:tcPr>
            <w:tcW w:w="10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w w:val="89"/>
              </w:rPr>
              <w:t>$</w:t>
            </w:r>
          </w:p>
        </w:tc>
        <w:tc>
          <w:tcPr>
            <w:tcW w:w="12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342,621</w:t>
            </w:r>
          </w:p>
        </w:tc>
        <w:tc>
          <w:tcPr>
            <w:tcW w:w="360" w:type="dxa"/>
            <w:vAlign w:val="bottom"/>
            <w:gridSpan w:val="2"/>
            <w:shd w:val="clear" w:color="auto" w:fill="CFF0FC"/>
          </w:tcPr>
          <w:p>
            <w:pPr>
              <w:jc w:val="right"/>
              <w:ind w:right="20"/>
              <w:spacing w:after="0" w:line="136" w:lineRule="exact"/>
              <w:rPr>
                <w:sz w:val="20"/>
                <w:szCs w:val="20"/>
                <w:color w:val="auto"/>
              </w:rPr>
            </w:pPr>
            <w:r>
              <w:rPr>
                <w:rFonts w:ascii="Arial" w:cs="Arial" w:eastAsia="Arial" w:hAnsi="Arial"/>
                <w:sz w:val="12"/>
                <w:szCs w:val="12"/>
                <w:color w:val="auto"/>
              </w:rPr>
              <w:t>$</w:t>
            </w:r>
          </w:p>
        </w:tc>
        <w:tc>
          <w:tcPr>
            <w:tcW w:w="124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325,047</w:t>
            </w:r>
          </w:p>
        </w:tc>
        <w:tc>
          <w:tcPr>
            <w:tcW w:w="140" w:type="dxa"/>
            <w:vAlign w:val="bottom"/>
            <w:shd w:val="clear" w:color="auto" w:fill="CFF0FC"/>
          </w:tcPr>
          <w:p>
            <w:pPr>
              <w:spacing w:after="0"/>
              <w:rPr>
                <w:sz w:val="11"/>
                <w:szCs w:val="11"/>
                <w:color w:val="auto"/>
              </w:rPr>
            </w:pPr>
          </w:p>
        </w:tc>
        <w:tc>
          <w:tcPr>
            <w:tcW w:w="220" w:type="dxa"/>
            <w:vAlign w:val="bottom"/>
            <w:gridSpan w:val="2"/>
            <w:shd w:val="clear" w:color="auto" w:fill="CFF0FC"/>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12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246,244</w:t>
            </w:r>
          </w:p>
        </w:tc>
        <w:tc>
          <w:tcPr>
            <w:tcW w:w="120" w:type="dxa"/>
            <w:vAlign w:val="bottom"/>
            <w:shd w:val="clear" w:color="auto" w:fill="CFF0FC"/>
          </w:tcPr>
          <w:p>
            <w:pPr>
              <w:spacing w:after="0"/>
              <w:rPr>
                <w:sz w:val="11"/>
                <w:szCs w:val="1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4" w:lineRule="exact"/>
        <w:rPr>
          <w:sz w:val="20"/>
          <w:szCs w:val="20"/>
          <w:color w:val="auto"/>
        </w:rPr>
      </w:pPr>
    </w:p>
    <w:p>
      <w:pPr>
        <w:jc w:val="both"/>
        <w:ind w:left="760" w:right="80" w:hanging="751"/>
        <w:spacing w:after="0" w:line="231" w:lineRule="auto"/>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Fiscal 2018 reflects a reversal of an accrued liability, with $55.1 million recorded to revenue and $74.6 million recorded to other income (“gain associated with claim on long-term contract”) in our results of operations. See “Management’s Discussion and Analysis of Financial Condition and Results of Operations” in this Annual Report on Form 10-K for a description of this matter, which was resolved in favor of the Company on June 13, 2018.</w:t>
      </w:r>
    </w:p>
    <w:p>
      <w:pPr>
        <w:ind w:left="760" w:right="280" w:hanging="751"/>
        <w:spacing w:after="0" w:line="231" w:lineRule="auto"/>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recognized deferred gains related to sales-leaseback transactions described in “Note 10—</w:t>
      </w:r>
      <w:r>
        <w:rPr>
          <w:rFonts w:ascii="Arial" w:cs="Arial" w:eastAsia="Arial" w:hAnsi="Arial"/>
          <w:sz w:val="12"/>
          <w:szCs w:val="12"/>
          <w:i w:val="1"/>
          <w:iCs w:val="1"/>
          <w:color w:val="auto"/>
        </w:rPr>
        <w:t>Sale-Leasebacks</w:t>
      </w:r>
      <w:r>
        <w:rPr>
          <w:rFonts w:ascii="Arial" w:cs="Arial" w:eastAsia="Arial" w:hAnsi="Arial"/>
          <w:sz w:val="12"/>
          <w:szCs w:val="12"/>
          <w:color w:val="auto"/>
        </w:rPr>
        <w:t>” in the notes to our consolidated financial statements included elsewhere in this Annual Report on Form 10-K.</w:t>
      </w:r>
    </w:p>
    <w:p>
      <w:pPr>
        <w:ind w:left="760" w:right="40" w:hanging="751"/>
        <w:spacing w:after="0" w:line="231" w:lineRule="auto"/>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ind w:left="760" w:hanging="751"/>
        <w:spacing w:after="0" w:line="231" w:lineRule="auto"/>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costs incurred in connection with acquisitions, IPO, and other non-recurring transaction costs, primarily fees paid for professional services and employee retention.</w:t>
      </w:r>
    </w:p>
    <w:p>
      <w:pPr>
        <w:ind w:left="760" w:hanging="751"/>
        <w:spacing w:after="0" w:line="231" w:lineRule="auto"/>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Reflects costs associated with and related to our corporate restructuring initiatives.</w:t>
      </w:r>
    </w:p>
    <w:p>
      <w:pPr>
        <w:ind w:left="760" w:hanging="751"/>
        <w:spacing w:after="0"/>
        <w:tabs>
          <w:tab w:leader="none" w:pos="7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Includes a combination of gain/loss related to sale of fixed assets, software implementation costs, and other individually insignificant items that are non-recurring in nature.</w:t>
      </w:r>
    </w:p>
    <w:p>
      <w:pPr>
        <w:spacing w:after="0" w:line="168" w:lineRule="exact"/>
        <w:rPr>
          <w:sz w:val="20"/>
          <w:szCs w:val="20"/>
          <w:color w:val="auto"/>
        </w:rPr>
      </w:pPr>
    </w:p>
    <w:p>
      <w:pPr>
        <w:ind w:right="80" w:firstLine="737"/>
        <w:spacing w:after="0" w:line="235" w:lineRule="auto"/>
        <w:rPr>
          <w:sz w:val="20"/>
          <w:szCs w:val="20"/>
          <w:color w:val="auto"/>
        </w:rPr>
      </w:pPr>
      <w:r>
        <w:rPr>
          <w:rFonts w:ascii="Arial" w:cs="Arial" w:eastAsia="Arial" w:hAnsi="Arial"/>
          <w:sz w:val="15"/>
          <w:szCs w:val="15"/>
          <w:color w:val="auto"/>
        </w:rPr>
        <w:t>Adjusted EBITDA is a supplemental measure of our operating performance included in this Annual Report on Form 10-K because it is used by management and our board of directors to assess our financial performance both on a segment and on a consolidated basis. We discuss Adjusted EBITDA because our management uses this measure for business planning purposes, including to manage the business against internal projected results of operations and to measure the performance of the business generally. Adjusted EBITDA is frequently used by analysts, investors and other interested parties to evaluate companies in our industry.</w:t>
      </w:r>
    </w:p>
    <w:p>
      <w:pPr>
        <w:spacing w:after="0" w:line="167" w:lineRule="exact"/>
        <w:rPr>
          <w:sz w:val="20"/>
          <w:szCs w:val="20"/>
          <w:color w:val="auto"/>
        </w:rPr>
      </w:pPr>
    </w:p>
    <w:p>
      <w:pPr>
        <w:ind w:right="280" w:firstLine="737"/>
        <w:spacing w:after="0" w:line="232" w:lineRule="auto"/>
        <w:rPr>
          <w:sz w:val="20"/>
          <w:szCs w:val="20"/>
          <w:color w:val="auto"/>
        </w:rPr>
      </w:pPr>
      <w:r>
        <w:rPr>
          <w:rFonts w:ascii="Arial" w:cs="Arial" w:eastAsia="Arial" w:hAnsi="Arial"/>
          <w:sz w:val="15"/>
          <w:szCs w:val="15"/>
          <w:color w:val="auto"/>
        </w:rPr>
        <w:t>Adjusted EBITDA is not a U.S. GAAP measure of our financial performance or liquidity and should not be considered as an alternative to net income as a measure of financial performance or cash flows from operations as measures of liquidity, or any other performance measure derived in accordance with U.S. GAAP. We define Adjusted EBITDA as net income attributable to Parsons Corporation, adjusted to include net income attributable to noncontrolling interests and to exclude interest expense (net of interest income), provision for income taxes, depreciation and amortization and certain other items that we do not consider in our evaluation of ongoing operating performance. These other items include, among other things, impairment of goodwill, intangible and other assets, interest and other expenses recognized on litigation matters, amortization of deferred gain resulting from sale-leaseback transactions, expenses incurred in connection with acquisitions and other non-recurring transaction costs, equity-based compensation, and expenses related to our corporate restructuring initiatives. Adjusted EBITDA should not be construed as an inference that our future results will be unaffected by unusual or non-recurring items. Additionally, Adjusted EBITDA is not intended to be a measure of free cash flow for management’s discretionary use, as it does not reflect tax payments, debt service requirements, capital expenditures and certain other cash costs that may recur in the future, including, among other things, cash requirements for working capital needs and cash costs to replace assets being depreciated and amortized. Management compensates for these limitations by relying on our U.S. GAAP results in addition to using Adjusted EBITDA supplementally. Our measure of Adjusted EBITDA is not necessarily comparable to similarly titled captions of other companies due to different methods of calculation.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51" w:right="319" w:bottom="1440" w:gutter="0" w:footer="0" w:header="0"/>
        </w:sectPr>
      </w:pPr>
    </w:p>
    <w:bookmarkStart w:id="57" w:name="page58"/>
    <w:bookmarkEnd w:id="57"/>
    <w:p>
      <w:pPr>
        <w:ind w:right="520" w:firstLine="737"/>
        <w:spacing w:after="0" w:line="239" w:lineRule="auto"/>
        <w:rPr>
          <w:sz w:val="20"/>
          <w:szCs w:val="20"/>
          <w:color w:val="auto"/>
        </w:rPr>
      </w:pPr>
      <w:r>
        <w:rPr>
          <w:rFonts w:ascii="Arial" w:cs="Arial" w:eastAsia="Arial" w:hAnsi="Arial"/>
          <w:sz w:val="15"/>
          <w:szCs w:val="15"/>
          <w:color w:val="auto"/>
        </w:rPr>
        <w:t>The following table shows Adjusted EBITDA attributable to Parsons Corporation for each of our reportable segments and Adjusted EBITDA attributable to noncontrolling interests: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
              <w:spacing w:after="0" w:line="136" w:lineRule="exact"/>
              <w:rPr>
                <w:sz w:val="20"/>
                <w:szCs w:val="20"/>
                <w:color w:val="auto"/>
              </w:rPr>
            </w:pPr>
            <w:r>
              <w:rPr>
                <w:rFonts w:ascii="Arial" w:cs="Arial" w:eastAsia="Arial" w:hAnsi="Arial"/>
                <w:sz w:val="12"/>
                <w:szCs w:val="12"/>
                <w:b w:val="1"/>
                <w:bCs w:val="1"/>
                <w:color w:val="auto"/>
                <w:w w:val="98"/>
              </w:rPr>
              <w:t>December 31, 2020</w:t>
            </w:r>
          </w:p>
        </w:tc>
        <w:tc>
          <w:tcPr>
            <w:tcW w:w="2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1"/>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6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20" w:type="dxa"/>
            <w:vAlign w:val="bottom"/>
            <w:tcBorders>
              <w:bottom w:val="single" w:sz="8" w:color="CFF0FC"/>
            </w:tcBorders>
          </w:tcPr>
          <w:p>
            <w:pPr>
              <w:spacing w:after="0"/>
              <w:rPr>
                <w:sz w:val="11"/>
                <w:szCs w:val="1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 Adjusted EBITDA attributable to Parsons Corporation</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167,340</w:t>
            </w:r>
          </w:p>
        </w:tc>
        <w:tc>
          <w:tcPr>
            <w:tcW w:w="3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169,100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121,986</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Critical Infrastructure Adjusted EBITDA attributable to Parsons Corporation</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154,528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138,851</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106,851</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noncontrolling interests</w:t>
            </w: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20,753</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17,096</w:t>
            </w:r>
          </w:p>
        </w:tc>
        <w:tc>
          <w:tcPr>
            <w:tcW w:w="26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17,407</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Adjusted EBITDA</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342,621</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325,047</w:t>
            </w:r>
          </w:p>
        </w:tc>
        <w:tc>
          <w:tcPr>
            <w:tcW w:w="260" w:type="dxa"/>
            <w:vAlign w:val="bottom"/>
          </w:tcPr>
          <w:p>
            <w:pPr>
              <w:spacing w:after="0"/>
              <w:rPr>
                <w:sz w:val="14"/>
                <w:szCs w:val="14"/>
                <w:color w:val="auto"/>
              </w:rPr>
            </w:pPr>
          </w:p>
        </w:tc>
        <w:tc>
          <w:tcPr>
            <w:tcW w:w="10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69" w:lineRule="exact"/>
              <w:rPr>
                <w:sz w:val="20"/>
                <w:szCs w:val="20"/>
                <w:color w:val="auto"/>
              </w:rPr>
            </w:pPr>
            <w:r>
              <w:rPr>
                <w:rFonts w:ascii="Arial" w:cs="Arial" w:eastAsia="Arial" w:hAnsi="Arial"/>
                <w:sz w:val="15"/>
                <w:szCs w:val="15"/>
                <w:color w:val="auto"/>
              </w:rPr>
              <w:t>246,244</w:t>
            </w:r>
          </w:p>
        </w:tc>
        <w:tc>
          <w:tcPr>
            <w:tcW w:w="12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737"/>
        <w:spacing w:after="0" w:line="246" w:lineRule="auto"/>
        <w:rPr>
          <w:sz w:val="20"/>
          <w:szCs w:val="20"/>
          <w:color w:val="auto"/>
        </w:rPr>
      </w:pPr>
      <w:r>
        <w:rPr>
          <w:rFonts w:ascii="Arial" w:cs="Arial" w:eastAsia="Arial" w:hAnsi="Arial"/>
          <w:sz w:val="15"/>
          <w:szCs w:val="15"/>
          <w:color w:val="auto"/>
        </w:rPr>
        <w:t>See “Management’s Discussion and Analysis of Financial Condition and Results of Operations—Segment Results,“ and "Note 21—</w:t>
      </w:r>
      <w:r>
        <w:rPr>
          <w:rFonts w:ascii="Arial" w:cs="Arial" w:eastAsia="Arial" w:hAnsi="Arial"/>
          <w:sz w:val="15"/>
          <w:szCs w:val="15"/>
          <w:i w:val="1"/>
          <w:iCs w:val="1"/>
          <w:color w:val="auto"/>
        </w:rPr>
        <w:t>Segments Information”</w:t>
      </w:r>
      <w:r>
        <w:rPr>
          <w:rFonts w:ascii="Arial" w:cs="Arial" w:eastAsia="Arial" w:hAnsi="Arial"/>
          <w:sz w:val="15"/>
          <w:szCs w:val="15"/>
          <w:color w:val="auto"/>
        </w:rPr>
        <w:t xml:space="preserve"> in the notes to our consolidated financial statements included elsewhere in this Annual Report on Form 10-K for further discussion regarding our segment Adjusted EBITDA attributable to Parsons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73" w:lineRule="exact"/>
        <w:rPr>
          <w:sz w:val="20"/>
          <w:szCs w:val="20"/>
          <w:color w:val="auto"/>
        </w:rPr>
      </w:pPr>
    </w:p>
    <w:p>
      <w:pPr>
        <w:ind w:right="60" w:firstLine="737"/>
        <w:spacing w:after="0" w:line="246" w:lineRule="auto"/>
        <w:rPr>
          <w:sz w:val="20"/>
          <w:szCs w:val="20"/>
          <w:color w:val="auto"/>
        </w:rPr>
      </w:pPr>
      <w:r>
        <w:rPr>
          <w:rFonts w:ascii="Arial" w:cs="Arial" w:eastAsia="Arial" w:hAnsi="Arial"/>
          <w:sz w:val="15"/>
          <w:szCs w:val="15"/>
          <w:i w:val="1"/>
          <w:iCs w:val="1"/>
          <w:color w:val="auto"/>
        </w:rPr>
        <w:t>The following discussion and analysis is intended to help investors understand our business, financial condition, results of operations, liquidity and capital resources. You should read this discussion together with our consolidated financial statements and related notes thereto included elsewhere in this Annual Report on Form 10-K.</w:t>
      </w:r>
    </w:p>
    <w:p>
      <w:pPr>
        <w:spacing w:after="0" w:line="146" w:lineRule="exact"/>
        <w:rPr>
          <w:sz w:val="20"/>
          <w:szCs w:val="20"/>
          <w:color w:val="auto"/>
        </w:rPr>
      </w:pPr>
    </w:p>
    <w:p>
      <w:pPr>
        <w:ind w:firstLine="737"/>
        <w:spacing w:after="0" w:line="241" w:lineRule="auto"/>
        <w:rPr>
          <w:sz w:val="20"/>
          <w:szCs w:val="20"/>
          <w:color w:val="auto"/>
        </w:rPr>
      </w:pPr>
      <w:r>
        <w:rPr>
          <w:rFonts w:ascii="Arial" w:cs="Arial" w:eastAsia="Arial" w:hAnsi="Arial"/>
          <w:sz w:val="15"/>
          <w:szCs w:val="15"/>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“Risk Factors” and “Special Note Regarding Forward-Looking Statements.” Actual results may differ materially from those contained in any forward-looking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COVID-19 Pandemic</w:t>
      </w:r>
    </w:p>
    <w:p>
      <w:pPr>
        <w:spacing w:after="0" w:line="100" w:lineRule="exact"/>
        <w:rPr>
          <w:sz w:val="20"/>
          <w:szCs w:val="20"/>
          <w:color w:val="auto"/>
        </w:rPr>
      </w:pPr>
    </w:p>
    <w:p>
      <w:pPr>
        <w:ind w:right="160" w:firstLine="844"/>
        <w:spacing w:after="0" w:line="235" w:lineRule="auto"/>
        <w:rPr>
          <w:sz w:val="20"/>
          <w:szCs w:val="20"/>
          <w:color w:val="auto"/>
        </w:rPr>
      </w:pPr>
      <w:r>
        <w:rPr>
          <w:rFonts w:ascii="Arial" w:cs="Arial" w:eastAsia="Arial" w:hAnsi="Arial"/>
          <w:sz w:val="15"/>
          <w:szCs w:val="15"/>
          <w:color w:val="auto"/>
        </w:rPr>
        <w:t>In response to the COVID-19 pandemic, the Company has taken certain actions to continue to execute under our contracts with customers and allow our people to work safely. A substantial majority of our workforce transitioned to work-from-home status during the latter part of the quarter ended March 31, 2020, and these practices remain in effect as of the date of this filing. To date, we have experienced no material disruption in our work as a consequence of these changes in our work practices.</w:t>
      </w:r>
    </w:p>
    <w:p>
      <w:pPr>
        <w:spacing w:after="0" w:line="78" w:lineRule="exact"/>
        <w:rPr>
          <w:sz w:val="20"/>
          <w:szCs w:val="20"/>
          <w:color w:val="auto"/>
        </w:rPr>
      </w:pPr>
    </w:p>
    <w:p>
      <w:pPr>
        <w:ind w:right="20" w:firstLine="844"/>
        <w:spacing w:after="0" w:line="236" w:lineRule="auto"/>
        <w:rPr>
          <w:sz w:val="20"/>
          <w:szCs w:val="20"/>
          <w:color w:val="auto"/>
        </w:rPr>
      </w:pPr>
      <w:r>
        <w:rPr>
          <w:rFonts w:ascii="Arial" w:cs="Arial" w:eastAsia="Arial" w:hAnsi="Arial"/>
          <w:sz w:val="15"/>
          <w:szCs w:val="15"/>
          <w:color w:val="auto"/>
        </w:rPr>
        <w:t>The Company has experienced an impact in the volume of work in both the Federal Solutions and Critical Infrastructure segments where customers have restricted access to certain project sites. We have not seen any substantive cancellations of previously awarded contracts. In the Federal Solutions segment, we have had some existing contracts extended. We continue to see several potential contract awards pushed out to a future date.</w:t>
      </w:r>
    </w:p>
    <w:p>
      <w:pPr>
        <w:spacing w:after="0" w:line="79" w:lineRule="exact"/>
        <w:rPr>
          <w:sz w:val="20"/>
          <w:szCs w:val="20"/>
          <w:color w:val="auto"/>
        </w:rPr>
      </w:pPr>
    </w:p>
    <w:p>
      <w:pPr>
        <w:ind w:right="40" w:firstLine="844"/>
        <w:spacing w:after="0" w:line="236" w:lineRule="auto"/>
        <w:rPr>
          <w:sz w:val="20"/>
          <w:szCs w:val="20"/>
          <w:color w:val="auto"/>
        </w:rPr>
      </w:pPr>
      <w:r>
        <w:rPr>
          <w:rFonts w:ascii="Arial" w:cs="Arial" w:eastAsia="Arial" w:hAnsi="Arial"/>
          <w:sz w:val="15"/>
          <w:szCs w:val="15"/>
          <w:color w:val="auto"/>
        </w:rPr>
        <w:t>The Company is receiving limited benefits associated with the CARES Act related to its work on certain US national security projects; however, the curtailment of work under these projects and the CARES Act benefits are not likely to have a material impact on our financial condition or results of operations. The reimbursement period for Section 3610 of the CARES Act extends until March 31, 2021.</w:t>
      </w:r>
    </w:p>
    <w:p>
      <w:pPr>
        <w:spacing w:after="0" w:line="79" w:lineRule="exact"/>
        <w:rPr>
          <w:sz w:val="20"/>
          <w:szCs w:val="20"/>
          <w:color w:val="auto"/>
        </w:rPr>
      </w:pPr>
    </w:p>
    <w:p>
      <w:pPr>
        <w:ind w:right="100" w:firstLine="844"/>
        <w:spacing w:after="0" w:line="239" w:lineRule="auto"/>
        <w:rPr>
          <w:sz w:val="20"/>
          <w:szCs w:val="20"/>
          <w:color w:val="auto"/>
        </w:rPr>
      </w:pPr>
      <w:r>
        <w:rPr>
          <w:rFonts w:ascii="Arial" w:cs="Arial" w:eastAsia="Arial" w:hAnsi="Arial"/>
          <w:sz w:val="15"/>
          <w:szCs w:val="15"/>
          <w:color w:val="auto"/>
        </w:rPr>
        <w:t>The Company has provided additional disclosure around liquidity and capital resources which can be found in the “Liquidity and Capital Resources” section in Management’s Discussion and Analysis of Financial Condition and Results of Operations in this Form 10-K.</w:t>
      </w:r>
    </w:p>
    <w:p>
      <w:pPr>
        <w:spacing w:after="0" w:line="78" w:lineRule="exact"/>
        <w:rPr>
          <w:sz w:val="20"/>
          <w:szCs w:val="20"/>
          <w:color w:val="auto"/>
        </w:rPr>
      </w:pPr>
    </w:p>
    <w:p>
      <w:pPr>
        <w:ind w:right="140" w:firstLine="844"/>
        <w:spacing w:after="0" w:line="239" w:lineRule="auto"/>
        <w:rPr>
          <w:sz w:val="20"/>
          <w:szCs w:val="20"/>
          <w:color w:val="auto"/>
        </w:rPr>
      </w:pPr>
      <w:r>
        <w:rPr>
          <w:rFonts w:ascii="Arial" w:cs="Arial" w:eastAsia="Arial" w:hAnsi="Arial"/>
          <w:sz w:val="15"/>
          <w:szCs w:val="15"/>
          <w:color w:val="auto"/>
        </w:rPr>
        <w:t>The Company anticipates substantially all of the Company’s subcontractors and material suppliers will be able to fulfill their contractual obligations and we do not expect a material impact from non-performance.</w:t>
      </w:r>
    </w:p>
    <w:p>
      <w:pPr>
        <w:spacing w:after="0" w:line="78" w:lineRule="exact"/>
        <w:rPr>
          <w:sz w:val="20"/>
          <w:szCs w:val="20"/>
          <w:color w:val="auto"/>
        </w:rPr>
      </w:pPr>
    </w:p>
    <w:p>
      <w:pPr>
        <w:ind w:right="420" w:firstLine="844"/>
        <w:spacing w:after="0" w:line="239" w:lineRule="auto"/>
        <w:rPr>
          <w:sz w:val="20"/>
          <w:szCs w:val="20"/>
          <w:color w:val="auto"/>
        </w:rPr>
      </w:pPr>
      <w:r>
        <w:rPr>
          <w:rFonts w:ascii="Arial" w:cs="Arial" w:eastAsia="Arial" w:hAnsi="Arial"/>
          <w:sz w:val="15"/>
          <w:szCs w:val="15"/>
          <w:color w:val="auto"/>
        </w:rPr>
        <w:t>The ultimate impact from the COVID-19 pandemic is difficult to predict. While many uncertainties exist, we currently anticipate no material change in our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20"/>
          </w:cols>
          <w:pgMar w:left="300" w:top="298" w:right="37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1582420</wp:posOffset>
            </wp:positionH>
            <wp:positionV relativeFrom="page">
              <wp:posOffset>257810</wp:posOffset>
            </wp:positionV>
            <wp:extent cx="4384040" cy="24631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4384040" cy="246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Overview</w:t>
      </w:r>
    </w:p>
    <w:p>
      <w:pPr>
        <w:spacing w:after="0" w:line="189"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We are a leading innovative technology provider in the global defense, intelligence and critical infrastructure markets. We provide software and hardware products, technical services and integrated solutions to support our customers’ missions. We have developed significant expertise and differentiated capabilities in key areas of cybersecurity, intelligence, missile defense, C5ISR, space, geospatial, and connected communities. By combining our talented team of professionals and advanced technology, we help solve complex technical challenges to enable a safer, smarter and more interconnected world.</w:t>
      </w:r>
    </w:p>
    <w:p>
      <w:pPr>
        <w:spacing w:after="0" w:line="167" w:lineRule="exact"/>
        <w:rPr>
          <w:sz w:val="20"/>
          <w:szCs w:val="20"/>
          <w:color w:val="auto"/>
        </w:rPr>
      </w:pPr>
    </w:p>
    <w:p>
      <w:pPr>
        <w:jc w:val="both"/>
        <w:ind w:right="20" w:firstLine="737"/>
        <w:spacing w:after="0" w:line="236" w:lineRule="auto"/>
        <w:rPr>
          <w:sz w:val="20"/>
          <w:szCs w:val="20"/>
          <w:color w:val="auto"/>
        </w:rPr>
      </w:pPr>
      <w:r>
        <w:rPr>
          <w:rFonts w:ascii="Arial" w:cs="Arial" w:eastAsia="Arial" w:hAnsi="Arial"/>
          <w:sz w:val="15"/>
          <w:szCs w:val="15"/>
          <w:color w:val="auto"/>
        </w:rPr>
        <w:t>We operate in two reporting segments, Federal Solutions and Critical Infrastructure. Our Federal Solutions business provides advanced technical solutions to the U.S. government. Our Critical Infrastructure business provides integrated engineering and management services for complex physical and digital infrastructure to state and local governments and large companies.</w:t>
      </w:r>
    </w:p>
    <w:p>
      <w:pPr>
        <w:spacing w:after="0" w:line="167" w:lineRule="exact"/>
        <w:rPr>
          <w:sz w:val="20"/>
          <w:szCs w:val="20"/>
          <w:color w:val="auto"/>
        </w:rPr>
      </w:pPr>
    </w:p>
    <w:p>
      <w:pPr>
        <w:jc w:val="both"/>
        <w:ind w:right="100" w:firstLine="737"/>
        <w:spacing w:after="0" w:line="256" w:lineRule="auto"/>
        <w:rPr>
          <w:sz w:val="20"/>
          <w:szCs w:val="20"/>
          <w:color w:val="auto"/>
        </w:rPr>
      </w:pPr>
      <w:r>
        <w:rPr>
          <w:rFonts w:ascii="Arial" w:cs="Arial" w:eastAsia="Arial" w:hAnsi="Arial"/>
          <w:sz w:val="14"/>
          <w:szCs w:val="14"/>
          <w:color w:val="auto"/>
        </w:rPr>
        <w:t>Our employees provide services pursuant to contracts that we are awarded by the customer and specific task orders relating to such contracts. These contracts are often multi-year, which provides us backlog and visibility on our revenues for future periods. Many of our contracts and task orders are subject to renewal and rebidding at the end of their term, and some are subject to the exercise of contract options and issuance of task orders by the applicable government entity. In addition to focusing on increasing our revenues through increased contract awards and backlog, we focus our financial performance on margin expansion and cash flow.</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5"/>
          <w:szCs w:val="15"/>
          <w:b w:val="1"/>
          <w:bCs w:val="1"/>
          <w:color w:val="auto"/>
        </w:rPr>
        <w:t>Key Metrics</w:t>
      </w:r>
    </w:p>
    <w:p>
      <w:pPr>
        <w:spacing w:after="0" w:line="189" w:lineRule="exact"/>
        <w:rPr>
          <w:sz w:val="20"/>
          <w:szCs w:val="20"/>
          <w:color w:val="auto"/>
        </w:rPr>
      </w:pPr>
    </w:p>
    <w:p>
      <w:pPr>
        <w:ind w:right="300" w:firstLine="737"/>
        <w:spacing w:after="0" w:line="239" w:lineRule="auto"/>
        <w:rPr>
          <w:sz w:val="20"/>
          <w:szCs w:val="20"/>
          <w:color w:val="auto"/>
        </w:rPr>
      </w:pPr>
      <w:r>
        <w:rPr>
          <w:rFonts w:ascii="Arial" w:cs="Arial" w:eastAsia="Arial" w:hAnsi="Arial"/>
          <w:sz w:val="15"/>
          <w:szCs w:val="15"/>
          <w:color w:val="auto"/>
        </w:rPr>
        <w:t>We manage and assess the performance of our business by evaluating a variety of metrics. The following table sets forth selected key metrics (in thousands, except Book-to-Bill):</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Fiscal Year Ended</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660" w:type="dxa"/>
            <w:vAlign w:val="bottom"/>
            <w:tcBorders>
              <w:bottom w:val="single" w:sz="8" w:color="CFF0FC"/>
            </w:tcBorders>
          </w:tcPr>
          <w:p>
            <w:pPr>
              <w:spacing w:after="0"/>
              <w:rPr>
                <w:sz w:val="11"/>
                <w:szCs w:val="11"/>
                <w:color w:val="auto"/>
              </w:rPr>
            </w:pPr>
          </w:p>
        </w:tc>
        <w:tc>
          <w:tcPr>
            <w:tcW w:w="28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2"/>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20" w:type="dxa"/>
            <w:vAlign w:val="bottom"/>
            <w:tcBorders>
              <w:bottom w:val="single" w:sz="8" w:color="CFF0FC"/>
            </w:tcBorders>
          </w:tcPr>
          <w:p>
            <w:pPr>
              <w:spacing w:after="0"/>
              <w:rPr>
                <w:sz w:val="11"/>
                <w:szCs w:val="11"/>
                <w:color w:val="auto"/>
              </w:rPr>
            </w:pPr>
          </w:p>
        </w:tc>
      </w:tr>
      <w:tr>
        <w:trPr>
          <w:trHeight w:val="168"/>
        </w:trPr>
        <w:tc>
          <w:tcPr>
            <w:tcW w:w="3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Awards</w:t>
            </w:r>
          </w:p>
        </w:tc>
        <w:tc>
          <w:tcPr>
            <w:tcW w:w="30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4,195,646</w:t>
            </w:r>
          </w:p>
        </w:tc>
        <w:tc>
          <w:tcPr>
            <w:tcW w:w="3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4,237,101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4,484,500</w:t>
            </w:r>
          </w:p>
        </w:tc>
        <w:tc>
          <w:tcPr>
            <w:tcW w:w="120" w:type="dxa"/>
            <w:vAlign w:val="bottom"/>
            <w:shd w:val="clear" w:color="auto" w:fill="CFF0FC"/>
          </w:tcPr>
          <w:p>
            <w:pPr>
              <w:spacing w:after="0"/>
              <w:rPr>
                <w:sz w:val="14"/>
                <w:szCs w:val="14"/>
                <w:color w:val="auto"/>
              </w:rPr>
            </w:pPr>
          </w:p>
        </w:tc>
      </w:tr>
      <w:tr>
        <w:trPr>
          <w:trHeight w:val="177"/>
        </w:trPr>
        <w:tc>
          <w:tcPr>
            <w:tcW w:w="3660" w:type="dxa"/>
            <w:vAlign w:val="bottom"/>
          </w:tcPr>
          <w:p>
            <w:pPr>
              <w:spacing w:after="0"/>
              <w:rPr>
                <w:sz w:val="20"/>
                <w:szCs w:val="20"/>
                <w:color w:val="auto"/>
              </w:rPr>
            </w:pPr>
            <w:r>
              <w:rPr>
                <w:rFonts w:ascii="Arial" w:cs="Arial" w:eastAsia="Arial" w:hAnsi="Arial"/>
                <w:sz w:val="15"/>
                <w:szCs w:val="15"/>
                <w:color w:val="auto"/>
              </w:rPr>
              <w:t>Backlog (1)</w:t>
            </w:r>
          </w:p>
        </w:tc>
        <w:tc>
          <w:tcPr>
            <w:tcW w:w="30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8,093,258</w:t>
            </w: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8,031,085</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7,971,002</w:t>
            </w:r>
          </w:p>
        </w:tc>
        <w:tc>
          <w:tcPr>
            <w:tcW w:w="120" w:type="dxa"/>
            <w:vAlign w:val="bottom"/>
          </w:tcPr>
          <w:p>
            <w:pPr>
              <w:spacing w:after="0"/>
              <w:rPr>
                <w:sz w:val="15"/>
                <w:szCs w:val="15"/>
                <w:color w:val="auto"/>
              </w:rPr>
            </w:pPr>
          </w:p>
        </w:tc>
      </w:tr>
      <w:tr>
        <w:trPr>
          <w:trHeight w:val="177"/>
        </w:trPr>
        <w:tc>
          <w:tcPr>
            <w:tcW w:w="3660" w:type="dxa"/>
            <w:vAlign w:val="bottom"/>
            <w:shd w:val="clear" w:color="auto" w:fill="CFF0FC"/>
          </w:tcPr>
          <w:p>
            <w:pPr>
              <w:spacing w:after="0"/>
              <w:rPr>
                <w:sz w:val="20"/>
                <w:szCs w:val="20"/>
                <w:color w:val="auto"/>
              </w:rPr>
            </w:pPr>
            <w:r>
              <w:rPr>
                <w:rFonts w:ascii="Arial" w:cs="Arial" w:eastAsia="Arial" w:hAnsi="Arial"/>
                <w:sz w:val="15"/>
                <w:szCs w:val="15"/>
                <w:color w:val="auto"/>
              </w:rPr>
              <w:t>Book-to-Bill</w:t>
            </w:r>
          </w:p>
        </w:tc>
        <w:tc>
          <w:tcPr>
            <w:tcW w:w="2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r>
    </w:tbl>
    <w:p>
      <w:pPr>
        <w:spacing w:after="0" w:line="33" w:lineRule="exact"/>
        <w:rPr>
          <w:sz w:val="20"/>
          <w:szCs w:val="20"/>
          <w:color w:val="auto"/>
        </w:rPr>
      </w:pPr>
    </w:p>
    <w:p>
      <w:pPr>
        <w:jc w:val="both"/>
        <w:ind w:left="760" w:right="20" w:hanging="751"/>
        <w:spacing w:after="0" w:line="236" w:lineRule="auto"/>
        <w:tabs>
          <w:tab w:leader="none" w:pos="7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Difference between our backlog of $8.1 billion and our remaining unsatisfied performance obligations, or RUPO, of $5.2 billion, each as of December 31, 2020, is due to (i) unissued task orders and unexercised option years, to the extent their issuance or exercise is probable, as well as (ii) contract awards, to the extent we believe contract execution and funding is probable.</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Awards</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Awards generally represent the amount of revenue expected to be earned in the future from funded and unfunded contract awards received during the period.</w:t>
      </w:r>
    </w:p>
    <w:p>
      <w:pPr>
        <w:spacing w:after="0"/>
        <w:rPr>
          <w:sz w:val="20"/>
          <w:szCs w:val="20"/>
          <w:color w:val="auto"/>
        </w:rPr>
      </w:pPr>
      <w:r>
        <w:rPr>
          <w:rFonts w:ascii="Arial" w:cs="Arial" w:eastAsia="Arial" w:hAnsi="Arial"/>
          <w:sz w:val="14"/>
          <w:szCs w:val="14"/>
          <w:color w:val="auto"/>
        </w:rPr>
        <w:t>Contract awards include both new and re-compete contracts and task orders. Given that new contract awards generate growth, we closely track our new awards each year.</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following table summarizes the total value of new awards for the periods presented below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9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Fiscal Year Ended</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960" w:type="dxa"/>
            <w:vAlign w:val="bottom"/>
            <w:tcBorders>
              <w:bottom w:val="single" w:sz="8" w:color="CFF0FC"/>
            </w:tcBorders>
          </w:tcPr>
          <w:p>
            <w:pPr>
              <w:spacing w:after="0"/>
              <w:rPr>
                <w:sz w:val="11"/>
                <w:szCs w:val="11"/>
                <w:color w:val="auto"/>
              </w:rPr>
            </w:pPr>
          </w:p>
        </w:tc>
        <w:tc>
          <w:tcPr>
            <w:tcW w:w="25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4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2"/>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20" w:type="dxa"/>
            <w:vAlign w:val="bottom"/>
            <w:tcBorders>
              <w:bottom w:val="single" w:sz="8" w:color="CFF0FC"/>
            </w:tcBorders>
          </w:tcPr>
          <w:p>
            <w:pPr>
              <w:spacing w:after="0"/>
              <w:rPr>
                <w:sz w:val="11"/>
                <w:szCs w:val="11"/>
                <w:color w:val="auto"/>
              </w:rPr>
            </w:pPr>
          </w:p>
        </w:tc>
      </w:tr>
      <w:tr>
        <w:trPr>
          <w:trHeight w:val="168"/>
        </w:trPr>
        <w:tc>
          <w:tcPr>
            <w:tcW w:w="39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7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2,175,221</w:t>
            </w:r>
          </w:p>
        </w:tc>
        <w:tc>
          <w:tcPr>
            <w:tcW w:w="3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2,514,545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1,806,533</w:t>
            </w:r>
          </w:p>
        </w:tc>
        <w:tc>
          <w:tcPr>
            <w:tcW w:w="120" w:type="dxa"/>
            <w:vAlign w:val="bottom"/>
            <w:shd w:val="clear" w:color="auto" w:fill="CFF0FC"/>
          </w:tcPr>
          <w:p>
            <w:pPr>
              <w:spacing w:after="0"/>
              <w:rPr>
                <w:sz w:val="14"/>
                <w:szCs w:val="14"/>
                <w:color w:val="auto"/>
              </w:rPr>
            </w:pPr>
          </w:p>
        </w:tc>
      </w:tr>
      <w:tr>
        <w:trPr>
          <w:trHeight w:val="177"/>
        </w:trPr>
        <w:tc>
          <w:tcPr>
            <w:tcW w:w="39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25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2,020,425</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1,722,556</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2,677,967</w:t>
            </w:r>
          </w:p>
        </w:tc>
        <w:tc>
          <w:tcPr>
            <w:tcW w:w="120" w:type="dxa"/>
            <w:vAlign w:val="bottom"/>
            <w:tcBorders>
              <w:bottom w:val="single" w:sz="8" w:color="CFF0FC"/>
            </w:tcBorders>
          </w:tcPr>
          <w:p>
            <w:pPr>
              <w:spacing w:after="0"/>
              <w:rPr>
                <w:sz w:val="15"/>
                <w:szCs w:val="15"/>
                <w:color w:val="auto"/>
              </w:rPr>
            </w:pPr>
          </w:p>
        </w:tc>
      </w:tr>
      <w:tr>
        <w:trPr>
          <w:trHeight w:val="168"/>
        </w:trPr>
        <w:tc>
          <w:tcPr>
            <w:tcW w:w="39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Awards</w:t>
            </w:r>
          </w:p>
        </w:tc>
        <w:tc>
          <w:tcPr>
            <w:tcW w:w="27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4,195,646</w:t>
            </w:r>
          </w:p>
        </w:tc>
        <w:tc>
          <w:tcPr>
            <w:tcW w:w="3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4,237,101</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4,484,500</w:t>
            </w:r>
          </w:p>
        </w:tc>
        <w:tc>
          <w:tcPr>
            <w:tcW w:w="120" w:type="dxa"/>
            <w:vAlign w:val="bottom"/>
            <w:shd w:val="clear" w:color="auto" w:fill="CFF0FC"/>
          </w:tcPr>
          <w:p>
            <w:pPr>
              <w:spacing w:after="0"/>
              <w:rPr>
                <w:sz w:val="14"/>
                <w:szCs w:val="14"/>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25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jc w:val="both"/>
        <w:ind w:right="40" w:firstLine="737"/>
        <w:spacing w:after="0" w:line="236" w:lineRule="auto"/>
        <w:rPr>
          <w:sz w:val="20"/>
          <w:szCs w:val="20"/>
          <w:color w:val="auto"/>
        </w:rPr>
      </w:pPr>
      <w:r>
        <w:rPr>
          <w:rFonts w:ascii="Arial" w:cs="Arial" w:eastAsia="Arial" w:hAnsi="Arial"/>
          <w:sz w:val="15"/>
          <w:szCs w:val="15"/>
          <w:color w:val="auto"/>
        </w:rPr>
        <w:t>The change in new awards from year to year is primarily due to ordinary course fluctuations in our business. The volume of contract awards can fluctuate in any given period due to win rate and the timing and size of the awards issued by our customers. In Federals Solutions, large awards in 2019 were the primary driver of changes in awards between 2020, 2019 and 2018. Awards in Critical infrastructure were lower in 2019 due to potential awards being pushed out to 2020.</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Backlog</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define backlog to include the following two components:</w:t>
      </w:r>
    </w:p>
    <w:p>
      <w:pPr>
        <w:spacing w:after="0" w:line="82" w:lineRule="exact"/>
        <w:rPr>
          <w:sz w:val="20"/>
          <w:szCs w:val="20"/>
          <w:color w:val="auto"/>
        </w:rPr>
      </w:pPr>
    </w:p>
    <w:p>
      <w:pPr>
        <w:ind w:left="1020" w:right="560" w:hanging="280"/>
        <w:spacing w:after="0" w:line="239" w:lineRule="auto"/>
        <w:tabs>
          <w:tab w:leader="none" w:pos="10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Funded—Funded backlog represents the revenue value of orders for services under existing contracts for which funding is appropriated or otherwise authorized less revenue previously recognized on these contracts.</w:t>
      </w:r>
    </w:p>
    <w:p>
      <w:pPr>
        <w:spacing w:after="0" w:line="77" w:lineRule="exact"/>
        <w:rPr>
          <w:rFonts w:ascii="Arial" w:cs="Arial" w:eastAsia="Arial" w:hAnsi="Arial"/>
          <w:sz w:val="15"/>
          <w:szCs w:val="15"/>
          <w:color w:val="auto"/>
        </w:rPr>
      </w:pPr>
    </w:p>
    <w:p>
      <w:pPr>
        <w:ind w:left="1020" w:right="200" w:hanging="280"/>
        <w:spacing w:after="0" w:line="239" w:lineRule="auto"/>
        <w:tabs>
          <w:tab w:leader="none" w:pos="10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Unfunded—Unfunded backlog represents the revenue value of orders for services under existing contracts for which funding has not been appropriated or otherwise authorized less revenue previously recognized on these contracts.</w:t>
      </w:r>
    </w:p>
    <w:p>
      <w:pPr>
        <w:spacing w:after="0" w:line="166" w:lineRule="exact"/>
        <w:rPr>
          <w:sz w:val="20"/>
          <w:szCs w:val="20"/>
          <w:color w:val="auto"/>
        </w:rPr>
      </w:pPr>
    </w:p>
    <w:p>
      <w:pPr>
        <w:ind w:right="40" w:firstLine="737"/>
        <w:spacing w:after="0" w:line="239" w:lineRule="auto"/>
        <w:rPr>
          <w:sz w:val="20"/>
          <w:szCs w:val="20"/>
          <w:color w:val="auto"/>
        </w:rPr>
      </w:pPr>
      <w:r>
        <w:rPr>
          <w:rFonts w:ascii="Arial" w:cs="Arial" w:eastAsia="Arial" w:hAnsi="Arial"/>
          <w:sz w:val="15"/>
          <w:szCs w:val="15"/>
          <w:color w:val="auto"/>
        </w:rPr>
        <w:t>Backlog includes (i) unissued task orders and unexercised option years, to the extent their issuance or exercise is probable, as well as (ii) contract awards, to the extent we believe contract execution and funding is probable.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61" w:name="page62"/>
    <w:bookmarkEnd w:id="61"/>
    <w:p>
      <w:pPr>
        <w:ind w:left="740"/>
        <w:spacing w:after="0"/>
        <w:rPr>
          <w:sz w:val="20"/>
          <w:szCs w:val="20"/>
          <w:color w:val="auto"/>
        </w:rPr>
      </w:pPr>
      <w:r>
        <w:rPr>
          <w:rFonts w:ascii="Arial" w:cs="Arial" w:eastAsia="Arial" w:hAnsi="Arial"/>
          <w:sz w:val="15"/>
          <w:szCs w:val="15"/>
          <w:color w:val="auto"/>
        </w:rPr>
        <w:t>The following table summarizes the value of our backlog at the respective dates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1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2"/>
                <w:szCs w:val="12"/>
                <w:b w:val="1"/>
                <w:bCs w:val="1"/>
                <w:color w:val="auto"/>
                <w:w w:val="99"/>
              </w:rPr>
              <w:t>As of</w:t>
            </w: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41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jc w:val="right"/>
              <w:ind w:right="88"/>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380"/>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20" w:type="dxa"/>
            <w:vAlign w:val="bottom"/>
          </w:tcPr>
          <w:p>
            <w:pPr>
              <w:spacing w:after="0"/>
              <w:rPr>
                <w:sz w:val="11"/>
                <w:szCs w:val="11"/>
                <w:color w:val="auto"/>
              </w:rPr>
            </w:pPr>
          </w:p>
        </w:tc>
        <w:tc>
          <w:tcPr>
            <w:tcW w:w="1360" w:type="dxa"/>
            <w:vAlign w:val="bottom"/>
            <w:gridSpan w:val="2"/>
          </w:tcPr>
          <w:p>
            <w:pPr>
              <w:ind w:left="20"/>
              <w:spacing w:after="0" w:line="136" w:lineRule="exact"/>
              <w:rPr>
                <w:sz w:val="20"/>
                <w:szCs w:val="20"/>
                <w:color w:val="auto"/>
              </w:rPr>
            </w:pPr>
            <w:r>
              <w:rPr>
                <w:rFonts w:ascii="Arial" w:cs="Arial" w:eastAsia="Arial" w:hAnsi="Arial"/>
                <w:sz w:val="12"/>
                <w:szCs w:val="12"/>
                <w:b w:val="1"/>
                <w:bCs w:val="1"/>
                <w:color w:val="auto"/>
              </w:rPr>
              <w:t>December 31, 2018</w:t>
            </w:r>
          </w:p>
        </w:tc>
      </w:tr>
      <w:tr>
        <w:trPr>
          <w:trHeight w:val="168"/>
        </w:trPr>
        <w:tc>
          <w:tcPr>
            <w:tcW w:w="4140" w:type="dxa"/>
            <w:vAlign w:val="bottom"/>
          </w:tcPr>
          <w:p>
            <w:pPr>
              <w:spacing w:after="0" w:line="169" w:lineRule="exact"/>
              <w:rPr>
                <w:sz w:val="20"/>
                <w:szCs w:val="20"/>
                <w:color w:val="auto"/>
              </w:rPr>
            </w:pPr>
            <w:r>
              <w:rPr>
                <w:rFonts w:ascii="Arial" w:cs="Arial" w:eastAsia="Arial" w:hAnsi="Arial"/>
                <w:sz w:val="15"/>
                <w:szCs w:val="15"/>
                <w:color w:val="auto"/>
              </w:rPr>
              <w:t>Federal Solutions:</w:t>
            </w:r>
          </w:p>
        </w:tc>
        <w:tc>
          <w:tcPr>
            <w:tcW w:w="2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4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Funded</w:t>
            </w:r>
          </w:p>
        </w:tc>
        <w:tc>
          <w:tcPr>
            <w:tcW w:w="25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1,176,049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1,153,041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964,626</w:t>
            </w:r>
          </w:p>
        </w:tc>
        <w:tc>
          <w:tcPr>
            <w:tcW w:w="120" w:type="dxa"/>
            <w:vAlign w:val="bottom"/>
            <w:shd w:val="clear" w:color="auto" w:fill="CFF0FC"/>
          </w:tcPr>
          <w:p>
            <w:pPr>
              <w:spacing w:after="0"/>
              <w:rPr>
                <w:sz w:val="15"/>
                <w:szCs w:val="15"/>
                <w:color w:val="auto"/>
              </w:rPr>
            </w:pPr>
          </w:p>
        </w:tc>
      </w:tr>
      <w:tr>
        <w:trPr>
          <w:trHeight w:val="177"/>
        </w:trPr>
        <w:tc>
          <w:tcPr>
            <w:tcW w:w="414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Unfunded</w:t>
            </w:r>
          </w:p>
        </w:tc>
        <w:tc>
          <w:tcPr>
            <w:tcW w:w="24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4,009,156</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3,882,289</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3,523,376</w:t>
            </w:r>
          </w:p>
        </w:tc>
        <w:tc>
          <w:tcPr>
            <w:tcW w:w="120" w:type="dxa"/>
            <w:vAlign w:val="bottom"/>
            <w:tcBorders>
              <w:bottom w:val="single" w:sz="8" w:color="CFF0FC"/>
            </w:tcBorders>
          </w:tcPr>
          <w:p>
            <w:pPr>
              <w:spacing w:after="0"/>
              <w:rPr>
                <w:sz w:val="15"/>
                <w:szCs w:val="15"/>
                <w:color w:val="auto"/>
              </w:rPr>
            </w:pPr>
          </w:p>
        </w:tc>
      </w:tr>
      <w:tr>
        <w:trPr>
          <w:trHeight w:val="168"/>
        </w:trPr>
        <w:tc>
          <w:tcPr>
            <w:tcW w:w="41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Federal Solutions</w:t>
            </w:r>
          </w:p>
        </w:tc>
        <w:tc>
          <w:tcPr>
            <w:tcW w:w="24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5,185,205</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5,035,330</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4,488,002</w:t>
            </w:r>
          </w:p>
        </w:tc>
        <w:tc>
          <w:tcPr>
            <w:tcW w:w="120" w:type="dxa"/>
            <w:vAlign w:val="bottom"/>
            <w:shd w:val="clear" w:color="auto" w:fill="CFF0FC"/>
          </w:tcPr>
          <w:p>
            <w:pPr>
              <w:spacing w:after="0"/>
              <w:rPr>
                <w:sz w:val="14"/>
                <w:szCs w:val="14"/>
                <w:color w:val="auto"/>
              </w:rPr>
            </w:pPr>
          </w:p>
        </w:tc>
      </w:tr>
      <w:tr>
        <w:trPr>
          <w:trHeight w:val="168"/>
        </w:trPr>
        <w:tc>
          <w:tcPr>
            <w:tcW w:w="4140" w:type="dxa"/>
            <w:vAlign w:val="bottom"/>
          </w:tcPr>
          <w:p>
            <w:pPr>
              <w:spacing w:after="0" w:line="169" w:lineRule="exact"/>
              <w:rPr>
                <w:sz w:val="20"/>
                <w:szCs w:val="20"/>
                <w:color w:val="auto"/>
              </w:rPr>
            </w:pPr>
            <w:r>
              <w:rPr>
                <w:rFonts w:ascii="Arial" w:cs="Arial" w:eastAsia="Arial" w:hAnsi="Arial"/>
                <w:sz w:val="15"/>
                <w:szCs w:val="15"/>
                <w:color w:val="auto"/>
              </w:rPr>
              <w:t>Critical Infrastructure:</w:t>
            </w: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41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Funded</w:t>
            </w:r>
          </w:p>
        </w:tc>
        <w:tc>
          <w:tcPr>
            <w:tcW w:w="2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2,830,318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2,954,955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3,483,000</w:t>
            </w:r>
          </w:p>
        </w:tc>
        <w:tc>
          <w:tcPr>
            <w:tcW w:w="120" w:type="dxa"/>
            <w:vAlign w:val="bottom"/>
            <w:shd w:val="clear" w:color="auto" w:fill="CFF0FC"/>
          </w:tcPr>
          <w:p>
            <w:pPr>
              <w:spacing w:after="0"/>
              <w:rPr>
                <w:sz w:val="15"/>
                <w:szCs w:val="15"/>
                <w:color w:val="auto"/>
              </w:rPr>
            </w:pPr>
          </w:p>
        </w:tc>
      </w:tr>
      <w:tr>
        <w:trPr>
          <w:trHeight w:val="177"/>
        </w:trPr>
        <w:tc>
          <w:tcPr>
            <w:tcW w:w="4140" w:type="dxa"/>
            <w:vAlign w:val="bottom"/>
            <w:tcBorders>
              <w:bottom w:val="single" w:sz="8" w:color="CFF0FC"/>
            </w:tcBorders>
          </w:tcPr>
          <w:p>
            <w:pPr>
              <w:ind w:left="220"/>
              <w:spacing w:after="0"/>
              <w:rPr>
                <w:sz w:val="20"/>
                <w:szCs w:val="20"/>
                <w:color w:val="auto"/>
              </w:rPr>
            </w:pPr>
            <w:r>
              <w:rPr>
                <w:rFonts w:ascii="Arial" w:cs="Arial" w:eastAsia="Arial" w:hAnsi="Arial"/>
                <w:sz w:val="15"/>
                <w:szCs w:val="15"/>
                <w:color w:val="auto"/>
              </w:rPr>
              <w:t>Unfunded</w:t>
            </w:r>
          </w:p>
        </w:tc>
        <w:tc>
          <w:tcPr>
            <w:tcW w:w="24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77,735</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40,800</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5"/>
                <w:szCs w:val="15"/>
                <w:color w:val="auto"/>
              </w:rPr>
            </w:pPr>
          </w:p>
        </w:tc>
      </w:tr>
      <w:tr>
        <w:trPr>
          <w:trHeight w:val="168"/>
        </w:trPr>
        <w:tc>
          <w:tcPr>
            <w:tcW w:w="41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Critical Infrastructure</w:t>
            </w:r>
          </w:p>
        </w:tc>
        <w:tc>
          <w:tcPr>
            <w:tcW w:w="24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2,908,053</w:t>
            </w:r>
          </w:p>
        </w:tc>
        <w:tc>
          <w:tcPr>
            <w:tcW w:w="24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2,995,755</w:t>
            </w:r>
          </w:p>
        </w:tc>
        <w:tc>
          <w:tcPr>
            <w:tcW w:w="26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3,483,000</w:t>
            </w:r>
          </w:p>
        </w:tc>
        <w:tc>
          <w:tcPr>
            <w:tcW w:w="120" w:type="dxa"/>
            <w:vAlign w:val="bottom"/>
            <w:shd w:val="clear" w:color="auto" w:fill="CFF0FC"/>
          </w:tcPr>
          <w:p>
            <w:pPr>
              <w:spacing w:after="0"/>
              <w:rPr>
                <w:sz w:val="14"/>
                <w:szCs w:val="14"/>
                <w:color w:val="auto"/>
              </w:rPr>
            </w:pPr>
          </w:p>
        </w:tc>
      </w:tr>
      <w:tr>
        <w:trPr>
          <w:trHeight w:val="168"/>
        </w:trPr>
        <w:tc>
          <w:tcPr>
            <w:tcW w:w="4140" w:type="dxa"/>
            <w:vAlign w:val="bottom"/>
          </w:tcPr>
          <w:p>
            <w:pPr>
              <w:spacing w:after="0" w:line="169" w:lineRule="exact"/>
              <w:rPr>
                <w:sz w:val="20"/>
                <w:szCs w:val="20"/>
                <w:color w:val="auto"/>
              </w:rPr>
            </w:pPr>
            <w:r>
              <w:rPr>
                <w:rFonts w:ascii="Arial" w:cs="Arial" w:eastAsia="Arial" w:hAnsi="Arial"/>
                <w:sz w:val="15"/>
                <w:szCs w:val="15"/>
                <w:color w:val="auto"/>
              </w:rPr>
              <w:t>Total Backlog (1)</w:t>
            </w:r>
          </w:p>
        </w:tc>
        <w:tc>
          <w:tcPr>
            <w:tcW w:w="252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8,093,258</w:t>
            </w:r>
          </w:p>
        </w:tc>
        <w:tc>
          <w:tcPr>
            <w:tcW w:w="3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8,031,085</w:t>
            </w:r>
          </w:p>
        </w:tc>
        <w:tc>
          <w:tcPr>
            <w:tcW w:w="260" w:type="dxa"/>
            <w:vAlign w:val="bottom"/>
          </w:tcPr>
          <w:p>
            <w:pPr>
              <w:spacing w:after="0"/>
              <w:rPr>
                <w:sz w:val="14"/>
                <w:szCs w:val="14"/>
                <w:color w:val="auto"/>
              </w:rPr>
            </w:pP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169" w:lineRule="exact"/>
              <w:rPr>
                <w:sz w:val="20"/>
                <w:szCs w:val="20"/>
                <w:color w:val="auto"/>
              </w:rPr>
            </w:pPr>
            <w:r>
              <w:rPr>
                <w:rFonts w:ascii="Arial" w:cs="Arial" w:eastAsia="Arial" w:hAnsi="Arial"/>
                <w:sz w:val="15"/>
                <w:szCs w:val="15"/>
                <w:color w:val="auto"/>
              </w:rPr>
              <w:t>7,971,002</w:t>
            </w:r>
          </w:p>
        </w:tc>
        <w:tc>
          <w:tcPr>
            <w:tcW w:w="120" w:type="dxa"/>
            <w:vAlign w:val="bottom"/>
          </w:tcPr>
          <w:p>
            <w:pPr>
              <w:spacing w:after="0"/>
              <w:rPr>
                <w:sz w:val="14"/>
                <w:szCs w:val="14"/>
                <w:color w:val="auto"/>
              </w:rPr>
            </w:pPr>
          </w:p>
        </w:tc>
      </w:tr>
      <w:tr>
        <w:trPr>
          <w:trHeight w:val="20"/>
        </w:trPr>
        <w:tc>
          <w:tcPr>
            <w:tcW w:w="4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 w:lineRule="exact"/>
        <w:rPr>
          <w:sz w:val="20"/>
          <w:szCs w:val="20"/>
          <w:color w:val="auto"/>
        </w:rPr>
      </w:pPr>
    </w:p>
    <w:p>
      <w:pPr>
        <w:ind w:left="760" w:right="180" w:hanging="751"/>
        <w:spacing w:after="0" w:line="236" w:lineRule="auto"/>
        <w:tabs>
          <w:tab w:leader="none" w:pos="7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Difference between our backlog of $8.1 billion and our RUPO of $5.2 billion, each as of December 31, 2020, is due to (i) unissued task orders and unexercised option years, to the extent their issuance or exercise is probable, as well as (ii) contract awards, to the extent we believe contract execution and funding is probable.</w:t>
      </w:r>
    </w:p>
    <w:p>
      <w:pPr>
        <w:spacing w:after="0" w:line="167" w:lineRule="exact"/>
        <w:rPr>
          <w:sz w:val="20"/>
          <w:szCs w:val="20"/>
          <w:color w:val="auto"/>
        </w:rPr>
      </w:pPr>
    </w:p>
    <w:p>
      <w:pPr>
        <w:ind w:right="140" w:firstLine="737"/>
        <w:spacing w:after="0" w:line="235" w:lineRule="auto"/>
        <w:rPr>
          <w:sz w:val="20"/>
          <w:szCs w:val="20"/>
          <w:color w:val="auto"/>
        </w:rPr>
      </w:pPr>
      <w:r>
        <w:rPr>
          <w:rFonts w:ascii="Arial" w:cs="Arial" w:eastAsia="Arial" w:hAnsi="Arial"/>
          <w:sz w:val="15"/>
          <w:szCs w:val="15"/>
          <w:color w:val="auto"/>
        </w:rPr>
        <w:t>Our backlog includes orders under contracts that in some cases extend for several years. For example, the U.S. Congress generally appropriates funds for our U.S. federal government customers on a yearly basis, even though their contracts with us may call for performance that is expected to take a number of years to complete. As a result, our federal contracts typically are only partially funded at any point during their term. All or some of the work to be performed under the contracts may remain unfunded unless and until the U.S. Congress makes subsequent appropriations and the procuring agency allocates funding to the contract.</w:t>
      </w:r>
    </w:p>
    <w:p>
      <w:pPr>
        <w:spacing w:after="0" w:line="167" w:lineRule="exact"/>
        <w:rPr>
          <w:sz w:val="20"/>
          <w:szCs w:val="20"/>
          <w:color w:val="auto"/>
        </w:rPr>
      </w:pPr>
    </w:p>
    <w:p>
      <w:pPr>
        <w:ind w:right="40" w:firstLine="737"/>
        <w:spacing w:after="0" w:line="234" w:lineRule="auto"/>
        <w:rPr>
          <w:sz w:val="20"/>
          <w:szCs w:val="20"/>
          <w:color w:val="auto"/>
        </w:rPr>
      </w:pPr>
      <w:r>
        <w:rPr>
          <w:rFonts w:ascii="Arial" w:cs="Arial" w:eastAsia="Arial" w:hAnsi="Arial"/>
          <w:sz w:val="15"/>
          <w:szCs w:val="15"/>
          <w:color w:val="auto"/>
        </w:rPr>
        <w:t>We expect to recognize $2.7 billion of our funded backlog at December 31, 2020 as revenues in the following twelve months. However, our U.S. federal government customers may cancel their contracts with us at any time through a termination for convenience or may elect to not exercise option periods under such contracts. In the case of a termination for convenience, we would not receive anticipated future revenues, but would generally be permitted to recover all or a portion of our incurred costs and fees for work performed. See “Risk Factors—Risks Relating to Our Business—We may not realize the full value of our backlog, which may result in lower than expected revenue.”</w:t>
      </w:r>
    </w:p>
    <w:p>
      <w:pPr>
        <w:spacing w:after="0" w:line="168" w:lineRule="exact"/>
        <w:rPr>
          <w:sz w:val="20"/>
          <w:szCs w:val="20"/>
          <w:color w:val="auto"/>
        </w:rPr>
      </w:pPr>
    </w:p>
    <w:p>
      <w:pPr>
        <w:jc w:val="both"/>
        <w:ind w:right="120" w:firstLine="737"/>
        <w:spacing w:after="0" w:line="231" w:lineRule="auto"/>
        <w:rPr>
          <w:sz w:val="20"/>
          <w:szCs w:val="20"/>
          <w:color w:val="auto"/>
        </w:rPr>
      </w:pPr>
      <w:r>
        <w:rPr>
          <w:rFonts w:ascii="Arial" w:cs="Arial" w:eastAsia="Arial" w:hAnsi="Arial"/>
          <w:sz w:val="15"/>
          <w:szCs w:val="15"/>
          <w:color w:val="auto"/>
        </w:rPr>
        <w:t>The changes in backlog in our Federal Solutions segment between 2019 and 2020 included contributions of $0.2 billion from business acquisitions. The change in backlog in our Critical Infrastructure segment between 2019 and 2020 was primarily from ordinary course fluctuations in our business and the impacts related to awards discussed above. The changes in backlog in our Federal Solutions segment between 2018 and 2019 included contributions of $0.3 billion from business</w:t>
      </w:r>
    </w:p>
    <w:p>
      <w:pPr>
        <w:spacing w:after="0" w:line="1" w:lineRule="exact"/>
        <w:rPr>
          <w:sz w:val="20"/>
          <w:szCs w:val="20"/>
          <w:color w:val="auto"/>
        </w:rPr>
      </w:pPr>
    </w:p>
    <w:p>
      <w:pPr>
        <w:ind w:right="300"/>
        <w:spacing w:after="0" w:line="239" w:lineRule="auto"/>
        <w:rPr>
          <w:sz w:val="20"/>
          <w:szCs w:val="20"/>
          <w:color w:val="auto"/>
        </w:rPr>
      </w:pPr>
      <w:r>
        <w:rPr>
          <w:rFonts w:ascii="Arial" w:cs="Arial" w:eastAsia="Arial" w:hAnsi="Arial"/>
          <w:sz w:val="15"/>
          <w:szCs w:val="15"/>
          <w:color w:val="auto"/>
        </w:rPr>
        <w:t>acquisitions. Backlog in our Critical Infrastructure segment, in 2019, was impacted primarily by a number of potential awards being pushed out to 2020. Our backlog will fluctuate in any given period based on the volume of awards issued in comparison to the revenue generated from our existing contracts.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62" w:name="page63"/>
    <w:bookmarkEnd w:id="62"/>
    <w:p>
      <w:pPr>
        <w:spacing w:after="0"/>
        <w:rPr>
          <w:sz w:val="20"/>
          <w:szCs w:val="20"/>
          <w:color w:val="auto"/>
        </w:rPr>
      </w:pPr>
      <w:r>
        <w:rPr>
          <w:rFonts w:ascii="Arial" w:cs="Arial" w:eastAsia="Arial" w:hAnsi="Arial"/>
          <w:sz w:val="15"/>
          <w:szCs w:val="15"/>
          <w:b w:val="1"/>
          <w:bCs w:val="1"/>
          <w:i w:val="1"/>
          <w:iCs w:val="1"/>
          <w:color w:val="auto"/>
        </w:rPr>
        <w:t>Book-to-Bill</w:t>
      </w:r>
    </w:p>
    <w:p>
      <w:pPr>
        <w:spacing w:after="0" w:line="100" w:lineRule="exact"/>
        <w:rPr>
          <w:sz w:val="20"/>
          <w:szCs w:val="20"/>
          <w:color w:val="auto"/>
        </w:rPr>
      </w:pPr>
    </w:p>
    <w:p>
      <w:pPr>
        <w:ind w:right="240" w:firstLine="737"/>
        <w:spacing w:after="0" w:line="234" w:lineRule="auto"/>
        <w:rPr>
          <w:sz w:val="20"/>
          <w:szCs w:val="20"/>
          <w:color w:val="auto"/>
        </w:rPr>
      </w:pPr>
      <w:r>
        <w:rPr>
          <w:rFonts w:ascii="Arial" w:cs="Arial" w:eastAsia="Arial" w:hAnsi="Arial"/>
          <w:sz w:val="15"/>
          <w:szCs w:val="15"/>
          <w:color w:val="auto"/>
        </w:rPr>
        <w:t>Book-to-bill is the ratio of total awards to total revenue recorded in the same period. Our management believes our book-to-bill ratio is a useful indicator of our potential future revenue growth in that it measures the rate at which we are generating new awards compared to the Company’s current revenue. To drive future revenue growth, our goal is for the level of awards in a given period to exceed the revenue booked. A book-to-bill ratio greater than 1.0 indicates that awards generated in a given period exceeded the revenue recognized in the same period, while a book-to-bill ratio of less than 1.0 indicates that awards generated in such period were less than the revenue recognized in such period. The following table sets forth the book-to-bill ratio for the periods presented below:</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4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8"/>
              </w:rPr>
              <w:t>Fiscal Year Ended</w:t>
            </w:r>
          </w:p>
        </w:tc>
        <w:tc>
          <w:tcPr>
            <w:tcW w:w="1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9"/>
        </w:trPr>
        <w:tc>
          <w:tcPr>
            <w:tcW w:w="6540" w:type="dxa"/>
            <w:vAlign w:val="bottom"/>
          </w:tcPr>
          <w:p>
            <w:pPr>
              <w:spacing w:after="0"/>
              <w:rPr>
                <w:sz w:val="15"/>
                <w:szCs w:val="15"/>
                <w:color w:val="auto"/>
              </w:rPr>
            </w:pPr>
          </w:p>
        </w:tc>
        <w:tc>
          <w:tcPr>
            <w:tcW w:w="162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 2020</w:t>
            </w: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December 31, 2019</w:t>
            </w:r>
          </w:p>
        </w:tc>
        <w:tc>
          <w:tcPr>
            <w:tcW w:w="1480" w:type="dxa"/>
            <w:vAlign w:val="bottom"/>
            <w:gridSpan w:val="2"/>
          </w:tcPr>
          <w:p>
            <w:pPr>
              <w:ind w:left="140"/>
              <w:spacing w:after="0"/>
              <w:rPr>
                <w:sz w:val="20"/>
                <w:szCs w:val="20"/>
                <w:color w:val="auto"/>
              </w:rPr>
            </w:pPr>
            <w:r>
              <w:rPr>
                <w:rFonts w:ascii="Arial" w:cs="Arial" w:eastAsia="Arial" w:hAnsi="Arial"/>
                <w:sz w:val="12"/>
                <w:szCs w:val="12"/>
                <w:b w:val="1"/>
                <w:bCs w:val="1"/>
                <w:color w:val="auto"/>
              </w:rPr>
              <w:t>December 31, 2018</w:t>
            </w:r>
          </w:p>
        </w:tc>
      </w:tr>
      <w:tr>
        <w:trPr>
          <w:trHeight w:val="168"/>
        </w:trPr>
        <w:tc>
          <w:tcPr>
            <w:tcW w:w="65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1380" w:type="dxa"/>
            <w:vAlign w:val="bottom"/>
            <w:tcBorders>
              <w:top w:val="single" w:sz="8" w:color="auto"/>
            </w:tcBorders>
            <w:shd w:val="clear" w:color="auto" w:fill="CFF0FC"/>
          </w:tcPr>
          <w:p>
            <w:pPr>
              <w:jc w:val="right"/>
              <w:ind w:right="470"/>
              <w:spacing w:after="0" w:line="169" w:lineRule="exact"/>
              <w:rPr>
                <w:sz w:val="20"/>
                <w:szCs w:val="20"/>
                <w:color w:val="auto"/>
              </w:rPr>
            </w:pPr>
            <w:r>
              <w:rPr>
                <w:rFonts w:ascii="Arial" w:cs="Arial" w:eastAsia="Arial" w:hAnsi="Arial"/>
                <w:sz w:val="15"/>
                <w:szCs w:val="15"/>
                <w:color w:val="auto"/>
              </w:rPr>
              <w:t>1.1</w:t>
            </w:r>
          </w:p>
        </w:tc>
        <w:tc>
          <w:tcPr>
            <w:tcW w:w="240" w:type="dxa"/>
            <w:vAlign w:val="bottom"/>
            <w:tcBorders>
              <w:top w:val="single" w:sz="8" w:color="CFF0FC"/>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right"/>
              <w:ind w:right="472"/>
              <w:spacing w:after="0" w:line="169" w:lineRule="exact"/>
              <w:rPr>
                <w:sz w:val="20"/>
                <w:szCs w:val="20"/>
                <w:color w:val="auto"/>
              </w:rPr>
            </w:pPr>
            <w:r>
              <w:rPr>
                <w:rFonts w:ascii="Arial" w:cs="Arial" w:eastAsia="Arial" w:hAnsi="Arial"/>
                <w:sz w:val="15"/>
                <w:szCs w:val="15"/>
                <w:color w:val="auto"/>
              </w:rPr>
              <w:t>1.3</w:t>
            </w:r>
          </w:p>
        </w:tc>
        <w:tc>
          <w:tcPr>
            <w:tcW w:w="26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ind w:right="450"/>
              <w:spacing w:after="0" w:line="169" w:lineRule="exact"/>
              <w:rPr>
                <w:sz w:val="20"/>
                <w:szCs w:val="20"/>
                <w:color w:val="auto"/>
              </w:rPr>
            </w:pPr>
            <w:r>
              <w:rPr>
                <w:rFonts w:ascii="Arial" w:cs="Arial" w:eastAsia="Arial" w:hAnsi="Arial"/>
                <w:sz w:val="15"/>
                <w:szCs w:val="15"/>
                <w:color w:val="auto"/>
              </w:rPr>
              <w:t>1.2</w:t>
            </w: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6540" w:type="dxa"/>
            <w:vAlign w:val="bottom"/>
          </w:tcPr>
          <w:p>
            <w:pPr>
              <w:spacing w:after="0"/>
              <w:rPr>
                <w:sz w:val="20"/>
                <w:szCs w:val="20"/>
                <w:color w:val="auto"/>
              </w:rPr>
            </w:pPr>
            <w:r>
              <w:rPr>
                <w:rFonts w:ascii="Arial" w:cs="Arial" w:eastAsia="Arial" w:hAnsi="Arial"/>
                <w:sz w:val="15"/>
                <w:szCs w:val="15"/>
                <w:color w:val="auto"/>
              </w:rPr>
              <w:t>Critical Infrastructure</w:t>
            </w:r>
          </w:p>
        </w:tc>
        <w:tc>
          <w:tcPr>
            <w:tcW w:w="1380" w:type="dxa"/>
            <w:vAlign w:val="bottom"/>
          </w:tcPr>
          <w:p>
            <w:pPr>
              <w:jc w:val="right"/>
              <w:ind w:right="470"/>
              <w:spacing w:after="0"/>
              <w:rPr>
                <w:sz w:val="20"/>
                <w:szCs w:val="20"/>
                <w:color w:val="auto"/>
              </w:rPr>
            </w:pPr>
            <w:r>
              <w:rPr>
                <w:rFonts w:ascii="Arial" w:cs="Arial" w:eastAsia="Arial" w:hAnsi="Arial"/>
                <w:sz w:val="15"/>
                <w:szCs w:val="15"/>
                <w:color w:val="auto"/>
              </w:rPr>
              <w:t>1.0</w:t>
            </w:r>
          </w:p>
        </w:tc>
        <w:tc>
          <w:tcPr>
            <w:tcW w:w="240" w:type="dxa"/>
            <w:vAlign w:val="bottom"/>
          </w:tcPr>
          <w:p>
            <w:pPr>
              <w:spacing w:after="0"/>
              <w:rPr>
                <w:sz w:val="15"/>
                <w:szCs w:val="15"/>
                <w:color w:val="auto"/>
              </w:rPr>
            </w:pPr>
          </w:p>
        </w:tc>
        <w:tc>
          <w:tcPr>
            <w:tcW w:w="1380" w:type="dxa"/>
            <w:vAlign w:val="bottom"/>
          </w:tcPr>
          <w:p>
            <w:pPr>
              <w:jc w:val="right"/>
              <w:ind w:right="472"/>
              <w:spacing w:after="0"/>
              <w:rPr>
                <w:sz w:val="20"/>
                <w:szCs w:val="20"/>
                <w:color w:val="auto"/>
              </w:rPr>
            </w:pPr>
            <w:r>
              <w:rPr>
                <w:rFonts w:ascii="Arial" w:cs="Arial" w:eastAsia="Arial" w:hAnsi="Arial"/>
                <w:sz w:val="15"/>
                <w:szCs w:val="15"/>
                <w:color w:val="auto"/>
              </w:rPr>
              <w:t>0.8</w:t>
            </w:r>
          </w:p>
        </w:tc>
        <w:tc>
          <w:tcPr>
            <w:tcW w:w="260" w:type="dxa"/>
            <w:vAlign w:val="bottom"/>
          </w:tcPr>
          <w:p>
            <w:pPr>
              <w:spacing w:after="0"/>
              <w:rPr>
                <w:sz w:val="15"/>
                <w:szCs w:val="15"/>
                <w:color w:val="auto"/>
              </w:rPr>
            </w:pPr>
          </w:p>
        </w:tc>
        <w:tc>
          <w:tcPr>
            <w:tcW w:w="1360" w:type="dxa"/>
            <w:vAlign w:val="bottom"/>
          </w:tcPr>
          <w:p>
            <w:pPr>
              <w:jc w:val="right"/>
              <w:ind w:right="450"/>
              <w:spacing w:after="0"/>
              <w:rPr>
                <w:sz w:val="20"/>
                <w:szCs w:val="20"/>
                <w:color w:val="auto"/>
              </w:rPr>
            </w:pPr>
            <w:r>
              <w:rPr>
                <w:rFonts w:ascii="Arial" w:cs="Arial" w:eastAsia="Arial" w:hAnsi="Arial"/>
                <w:sz w:val="15"/>
                <w:szCs w:val="15"/>
                <w:color w:val="auto"/>
              </w:rPr>
              <w:t>1.3</w:t>
            </w:r>
          </w:p>
        </w:tc>
        <w:tc>
          <w:tcPr>
            <w:tcW w:w="120" w:type="dxa"/>
            <w:vAlign w:val="bottom"/>
          </w:tcPr>
          <w:p>
            <w:pPr>
              <w:spacing w:after="0"/>
              <w:rPr>
                <w:sz w:val="15"/>
                <w:szCs w:val="15"/>
                <w:color w:val="auto"/>
              </w:rPr>
            </w:pPr>
          </w:p>
        </w:tc>
      </w:tr>
      <w:tr>
        <w:trPr>
          <w:trHeight w:val="177"/>
        </w:trPr>
        <w:tc>
          <w:tcPr>
            <w:tcW w:w="6540" w:type="dxa"/>
            <w:vAlign w:val="bottom"/>
            <w:shd w:val="clear" w:color="auto" w:fill="CFF0FC"/>
          </w:tcPr>
          <w:p>
            <w:pPr>
              <w:spacing w:after="0"/>
              <w:rPr>
                <w:sz w:val="20"/>
                <w:szCs w:val="20"/>
                <w:color w:val="auto"/>
              </w:rPr>
            </w:pPr>
            <w:r>
              <w:rPr>
                <w:rFonts w:ascii="Arial" w:cs="Arial" w:eastAsia="Arial" w:hAnsi="Arial"/>
                <w:sz w:val="15"/>
                <w:szCs w:val="15"/>
                <w:color w:val="auto"/>
              </w:rPr>
              <w:t>Overall</w:t>
            </w:r>
          </w:p>
        </w:tc>
        <w:tc>
          <w:tcPr>
            <w:tcW w:w="1380" w:type="dxa"/>
            <w:vAlign w:val="bottom"/>
            <w:shd w:val="clear" w:color="auto" w:fill="CFF0FC"/>
          </w:tcPr>
          <w:p>
            <w:pPr>
              <w:jc w:val="right"/>
              <w:ind w:right="470"/>
              <w:spacing w:after="0"/>
              <w:rPr>
                <w:sz w:val="20"/>
                <w:szCs w:val="20"/>
                <w:color w:val="auto"/>
              </w:rPr>
            </w:pPr>
            <w:r>
              <w:rPr>
                <w:rFonts w:ascii="Arial" w:cs="Arial" w:eastAsia="Arial" w:hAnsi="Arial"/>
                <w:sz w:val="15"/>
                <w:szCs w:val="15"/>
                <w:color w:val="auto"/>
              </w:rPr>
              <w:t>1.1</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ind w:right="472"/>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right"/>
              <w:ind w:right="450"/>
              <w:spacing w:after="0"/>
              <w:rPr>
                <w:sz w:val="20"/>
                <w:szCs w:val="20"/>
                <w:color w:val="auto"/>
              </w:rPr>
            </w:pPr>
            <w:r>
              <w:rPr>
                <w:rFonts w:ascii="Arial" w:cs="Arial" w:eastAsia="Arial" w:hAnsi="Arial"/>
                <w:sz w:val="15"/>
                <w:szCs w:val="15"/>
                <w:color w:val="auto"/>
              </w:rPr>
              <w:t>1.3</w:t>
            </w:r>
          </w:p>
        </w:tc>
        <w:tc>
          <w:tcPr>
            <w:tcW w:w="120" w:type="dxa"/>
            <w:vAlign w:val="bottom"/>
            <w:shd w:val="clear" w:color="auto" w:fill="CFF0FC"/>
          </w:tcPr>
          <w:p>
            <w:pPr>
              <w:spacing w:after="0"/>
              <w:rPr>
                <w:sz w:val="15"/>
                <w:szCs w:val="15"/>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Factors and Trends Affecting Our Results of Operations</w:t>
      </w:r>
    </w:p>
    <w:p>
      <w:pPr>
        <w:spacing w:after="0" w:line="189" w:lineRule="exact"/>
        <w:rPr>
          <w:sz w:val="20"/>
          <w:szCs w:val="20"/>
          <w:color w:val="auto"/>
        </w:rPr>
      </w:pPr>
    </w:p>
    <w:p>
      <w:pPr>
        <w:jc w:val="both"/>
        <w:ind w:right="200" w:firstLine="737"/>
        <w:spacing w:after="0" w:line="236" w:lineRule="auto"/>
        <w:rPr>
          <w:sz w:val="20"/>
          <w:szCs w:val="20"/>
          <w:color w:val="auto"/>
        </w:rPr>
      </w:pPr>
      <w:r>
        <w:rPr>
          <w:rFonts w:ascii="Arial" w:cs="Arial" w:eastAsia="Arial" w:hAnsi="Arial"/>
          <w:sz w:val="15"/>
          <w:szCs w:val="15"/>
          <w:color w:val="auto"/>
        </w:rPr>
        <w:t>We believe that the financial performance of our business and our future success are dependent upon many factors, including those highlighted in this section. Our operating performance will depend upon many variables, including the success of our growth strategies and the timing and size of investments and expenditures that we choose to undertake, as well as market growth and other factors that are not within our control.</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 Spending</w:t>
      </w:r>
    </w:p>
    <w:p>
      <w:pPr>
        <w:spacing w:after="0" w:line="100" w:lineRule="exact"/>
        <w:rPr>
          <w:sz w:val="20"/>
          <w:szCs w:val="20"/>
          <w:color w:val="auto"/>
        </w:rPr>
      </w:pPr>
    </w:p>
    <w:p>
      <w:pPr>
        <w:ind w:right="60" w:firstLine="737"/>
        <w:spacing w:after="0" w:line="233" w:lineRule="auto"/>
        <w:rPr>
          <w:sz w:val="20"/>
          <w:szCs w:val="20"/>
          <w:color w:val="auto"/>
        </w:rPr>
      </w:pPr>
      <w:r>
        <w:rPr>
          <w:rFonts w:ascii="Arial" w:cs="Arial" w:eastAsia="Arial" w:hAnsi="Arial"/>
          <w:sz w:val="15"/>
          <w:szCs w:val="15"/>
          <w:color w:val="auto"/>
        </w:rPr>
        <w:t>Changes in the relative mix of government spending and areas of spending growth, with shifts in priorities on homeland security, intelligence, defense-related programs, infrastructure and urbanization, and continued increased spending on technology and innovation, including cybersecurity, artificial intelligence, connected communities and physical infrastructure, could impact our business and results of operations. Cost-cutting and efficiency initiatives, current and future budget restrictions, spending cuts and other efforts to reduce government spending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deploy our staff to customer locations or facilities as a result of such disruptions.</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Budget Uncertainty</w:t>
      </w:r>
    </w:p>
    <w:p>
      <w:pPr>
        <w:spacing w:after="0" w:line="100" w:lineRule="exact"/>
        <w:rPr>
          <w:sz w:val="20"/>
          <w:szCs w:val="20"/>
          <w:color w:val="auto"/>
        </w:rPr>
      </w:pPr>
    </w:p>
    <w:p>
      <w:pPr>
        <w:ind w:firstLine="737"/>
        <w:spacing w:after="0" w:line="251" w:lineRule="auto"/>
        <w:rPr>
          <w:sz w:val="20"/>
          <w:szCs w:val="20"/>
          <w:color w:val="auto"/>
        </w:rPr>
      </w:pPr>
      <w:r>
        <w:rPr>
          <w:rFonts w:ascii="Arial" w:cs="Arial" w:eastAsia="Arial" w:hAnsi="Arial"/>
          <w:sz w:val="14"/>
          <w:szCs w:val="14"/>
          <w:color w:val="auto"/>
        </w:rPr>
        <w:t>There is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63" w:name="page64"/>
    <w:bookmarkEnd w:id="63"/>
    <w:p>
      <w:pPr>
        <w:spacing w:after="0"/>
        <w:rPr>
          <w:sz w:val="20"/>
          <w:szCs w:val="20"/>
          <w:color w:val="auto"/>
        </w:rPr>
      </w:pPr>
      <w:r>
        <w:rPr>
          <w:rFonts w:ascii="Arial" w:cs="Arial" w:eastAsia="Arial" w:hAnsi="Arial"/>
          <w:sz w:val="15"/>
          <w:szCs w:val="15"/>
          <w:b w:val="1"/>
          <w:bCs w:val="1"/>
          <w:i w:val="1"/>
          <w:iCs w:val="1"/>
          <w:color w:val="auto"/>
        </w:rPr>
        <w:t>Regulations</w:t>
      </w:r>
    </w:p>
    <w:p>
      <w:pPr>
        <w:spacing w:after="0" w:line="100" w:lineRule="exact"/>
        <w:rPr>
          <w:sz w:val="20"/>
          <w:szCs w:val="20"/>
          <w:color w:val="auto"/>
        </w:rPr>
      </w:pPr>
    </w:p>
    <w:p>
      <w:pPr>
        <w:ind w:right="60" w:firstLine="737"/>
        <w:spacing w:after="0" w:line="234" w:lineRule="auto"/>
        <w:rPr>
          <w:sz w:val="20"/>
          <w:szCs w:val="20"/>
          <w:color w:val="auto"/>
        </w:rPr>
      </w:pPr>
      <w:r>
        <w:rPr>
          <w:rFonts w:ascii="Arial" w:cs="Arial" w:eastAsia="Arial" w:hAnsi="Arial"/>
          <w:sz w:val="15"/>
          <w:szCs w:val="15"/>
          <w:color w:val="auto"/>
        </w:rPr>
        <w:t>Increased audit, review, investigation and general scrutiny by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U.S. Department of Defense and the U.S. intelligence community, including those related to cybersecurity, could impact our ability to perform in the markets we serve.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Competitive Markets</w:t>
      </w:r>
    </w:p>
    <w:p>
      <w:pPr>
        <w:spacing w:after="0" w:line="100" w:lineRule="exact"/>
        <w:rPr>
          <w:sz w:val="20"/>
          <w:szCs w:val="20"/>
          <w:color w:val="auto"/>
        </w:rPr>
      </w:pPr>
    </w:p>
    <w:p>
      <w:pPr>
        <w:ind w:right="40" w:firstLine="737"/>
        <w:spacing w:after="0" w:line="233" w:lineRule="auto"/>
        <w:rPr>
          <w:sz w:val="20"/>
          <w:szCs w:val="20"/>
          <w:color w:val="auto"/>
        </w:rPr>
      </w:pPr>
      <w:r>
        <w:rPr>
          <w:rFonts w:ascii="Arial" w:cs="Arial" w:eastAsia="Arial" w:hAnsi="Arial"/>
          <w:sz w:val="15"/>
          <w:szCs w:val="15"/>
          <w:color w:val="auto"/>
        </w:rPr>
        <w:t>The industries we operate in consist of a large number of enterprises ranging from small, niche-oriented companies to multi-billion-dollar corporations that serve many government and commercial customers. We compete on the basis of our technical expertise, technological innovation, our ability to deliver cost-effective multi-faceted services in a timely manner, our reputation and relationships with our customers, qualified and/or security-clearance personnel, and pricing. We believe that we are well positioned to take advantage of the markets in which we operate because of our proven track record, long-term customer relationships, technology innovation, scalable and agile business offerings and world class talent. Our ability to effectively deliver on project engagements and successfully assist our customers affects our ability to win new contracts and drives our financial performance.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Acquired Operations</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Polaris Alpha</w:t>
      </w:r>
    </w:p>
    <w:p>
      <w:pPr>
        <w:spacing w:after="0" w:line="98" w:lineRule="exact"/>
        <w:rPr>
          <w:sz w:val="20"/>
          <w:szCs w:val="20"/>
          <w:color w:val="auto"/>
        </w:rPr>
      </w:pPr>
    </w:p>
    <w:p>
      <w:pPr>
        <w:ind w:right="280" w:firstLine="737"/>
        <w:spacing w:after="0" w:line="236" w:lineRule="auto"/>
        <w:rPr>
          <w:sz w:val="20"/>
          <w:szCs w:val="20"/>
          <w:color w:val="auto"/>
        </w:rPr>
      </w:pPr>
      <w:r>
        <w:rPr>
          <w:rFonts w:ascii="Arial" w:cs="Arial" w:eastAsia="Arial" w:hAnsi="Arial"/>
          <w:sz w:val="15"/>
          <w:szCs w:val="15"/>
          <w:color w:val="auto"/>
        </w:rPr>
        <w:t>On May 31, 2018, we acquired Polaris Alpha for $489.1 million. Polaris Alpha is an advanced, technology-focused provider of innovative mission solutions for national security, intelligence and other U.S. federal customers. The acquisition was funded by cash on-hand and borrowings under our revolving credit facility (the “Revolving Credit Facility”). The financial results of Polaris Alpha have been included in our consolidated results of operations from May 31, 2018 onward.</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OGSystems</w:t>
      </w:r>
    </w:p>
    <w:p>
      <w:pPr>
        <w:spacing w:after="0" w:line="98"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On January 7, 2019, we acquired OGSystems for $292.4 million. OGSystems provides geospatial intelligence, big data analytics and threat mitigation for defense and intelligence customers. The acquisition was funded by cash on-hand and borrowings under our Term Loan and Revolving Credit Facility. The financial results of OGSystems have been included in our consolidated results of operations from January 7, 2019 onward.</w:t>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QRC Technologies</w:t>
      </w:r>
    </w:p>
    <w:p>
      <w:pPr>
        <w:spacing w:after="0" w:line="98" w:lineRule="exact"/>
        <w:rPr>
          <w:sz w:val="20"/>
          <w:szCs w:val="20"/>
          <w:color w:val="auto"/>
        </w:rPr>
      </w:pPr>
    </w:p>
    <w:p>
      <w:pPr>
        <w:ind w:right="80" w:firstLine="737"/>
        <w:spacing w:after="0" w:line="264" w:lineRule="auto"/>
        <w:rPr>
          <w:sz w:val="20"/>
          <w:szCs w:val="20"/>
          <w:color w:val="auto"/>
        </w:rPr>
      </w:pPr>
      <w:r>
        <w:rPr>
          <w:rFonts w:ascii="Arial" w:cs="Arial" w:eastAsia="Arial" w:hAnsi="Arial"/>
          <w:sz w:val="14"/>
          <w:szCs w:val="14"/>
          <w:color w:val="auto"/>
        </w:rPr>
        <w:t>On July 31, 2019, we acquired QRC Technologies for $214.1 million. QRC Technologies provides design and development of open-architecture radio-frequency products. The acquisition was funded by cash on-hand and borrowings under our Revolving Credit Facility. The financial results of QRC Technologies have been included</w:t>
      </w:r>
    </w:p>
    <w:p>
      <w:pPr>
        <w:spacing w:after="0"/>
        <w:rPr>
          <w:sz w:val="20"/>
          <w:szCs w:val="20"/>
          <w:color w:val="auto"/>
        </w:rPr>
      </w:pPr>
      <w:r>
        <w:rPr>
          <w:rFonts w:ascii="Arial" w:cs="Arial" w:eastAsia="Arial" w:hAnsi="Arial"/>
          <w:sz w:val="15"/>
          <w:szCs w:val="15"/>
          <w:color w:val="auto"/>
        </w:rPr>
        <w:t>in our consolidated results of operations from July 31, 2019 onward.</w:t>
      </w: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Braxton Science &amp; Technology Group, LLC</w:t>
      </w:r>
    </w:p>
    <w:p>
      <w:pPr>
        <w:spacing w:after="0" w:line="98" w:lineRule="exact"/>
        <w:rPr>
          <w:sz w:val="20"/>
          <w:szCs w:val="20"/>
          <w:color w:val="auto"/>
        </w:rPr>
      </w:pPr>
    </w:p>
    <w:p>
      <w:pPr>
        <w:ind w:right="440" w:firstLine="737"/>
        <w:spacing w:after="0" w:line="264" w:lineRule="auto"/>
        <w:rPr>
          <w:sz w:val="20"/>
          <w:szCs w:val="20"/>
          <w:color w:val="auto"/>
        </w:rPr>
      </w:pPr>
      <w:r>
        <w:rPr>
          <w:rFonts w:ascii="Arial" w:cs="Arial" w:eastAsia="Arial" w:hAnsi="Arial"/>
          <w:sz w:val="14"/>
          <w:szCs w:val="14"/>
          <w:color w:val="auto"/>
        </w:rPr>
        <w:t>On November 19, 2020, we acquired Braxton for $ 310.9 million. Braxton operates at the forefront of satellite operations, ground system automation, flight dynamics, and spacecraft and antenna simulation for the U.S. Department of Defense and Intelligence Community. The acquisition was funded by cash on-hand. The</w:t>
      </w:r>
    </w:p>
    <w:p>
      <w:pPr>
        <w:spacing w:after="0"/>
        <w:rPr>
          <w:sz w:val="20"/>
          <w:szCs w:val="20"/>
          <w:color w:val="auto"/>
        </w:rPr>
      </w:pPr>
      <w:r>
        <w:rPr>
          <w:rFonts w:ascii="Arial" w:cs="Arial" w:eastAsia="Arial" w:hAnsi="Arial"/>
          <w:sz w:val="15"/>
          <w:szCs w:val="15"/>
          <w:color w:val="auto"/>
        </w:rPr>
        <w:t>financial results of Braxton have been included in our consolidated results of operations from November 19, 2020 onward.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64" w:name="page65"/>
    <w:bookmarkEnd w:id="64"/>
    <w:p>
      <w:pPr>
        <w:spacing w:after="0"/>
        <w:rPr>
          <w:sz w:val="20"/>
          <w:szCs w:val="20"/>
          <w:color w:val="auto"/>
        </w:rPr>
      </w:pPr>
      <w:r>
        <w:rPr>
          <w:rFonts w:ascii="Arial" w:cs="Arial" w:eastAsia="Arial" w:hAnsi="Arial"/>
          <w:sz w:val="15"/>
          <w:szCs w:val="15"/>
          <w:b w:val="1"/>
          <w:bCs w:val="1"/>
          <w:i w:val="1"/>
          <w:iCs w:val="1"/>
          <w:color w:val="auto"/>
        </w:rPr>
        <w:t>Seasonality</w:t>
      </w:r>
    </w:p>
    <w:p>
      <w:pPr>
        <w:spacing w:after="0" w:line="189" w:lineRule="exact"/>
        <w:rPr>
          <w:sz w:val="20"/>
          <w:szCs w:val="20"/>
          <w:color w:val="auto"/>
        </w:rPr>
      </w:pPr>
    </w:p>
    <w:p>
      <w:pPr>
        <w:ind w:firstLine="434"/>
        <w:spacing w:after="0" w:line="251" w:lineRule="auto"/>
        <w:rPr>
          <w:sz w:val="20"/>
          <w:szCs w:val="20"/>
          <w:color w:val="auto"/>
        </w:rPr>
      </w:pPr>
      <w:r>
        <w:rPr>
          <w:rFonts w:ascii="Arial" w:cs="Arial" w:eastAsia="Arial" w:hAnsi="Arial"/>
          <w:sz w:val="14"/>
          <w:szCs w:val="14"/>
          <w:color w:val="auto"/>
        </w:rPr>
        <w:t>Our results may be affected by variances as a result of weather conditions and contract award seasonality impacts that we experience across our businesses. The latter issue is typically driven by the U.S. federal government fiscal year-end, September 30. While not certain, it is not uncommon for U.S. government agencies to award task orders or complete other contract actions in the weeks before the end of the U.S. federal government fiscal year in order to avoid the loss of unexpended U.S. federal government fiscal year funds. In addition, we have also historically experienced higher bid and proposal costs in the months leading up to the U.S. federal government fiscal year-end as we pursue new contract opportunities expected to be awarded early in the following U.S. federal government fiscal year as a result of funding appropriated for that U.S. federal government fiscal year. Furthermore, many U.S. state governments with fiscal years ending on June 30 tend to accelerate spending during their first quarter, when new funding becomes available. We may continue to experience this seasonality in future periods, and our results of operations may be affected by it.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Taxes</w:t>
      </w:r>
    </w:p>
    <w:p>
      <w:pPr>
        <w:spacing w:after="0" w:line="100" w:lineRule="exact"/>
        <w:rPr>
          <w:sz w:val="20"/>
          <w:szCs w:val="20"/>
          <w:color w:val="auto"/>
        </w:rPr>
      </w:pPr>
    </w:p>
    <w:p>
      <w:pPr>
        <w:ind w:right="20" w:firstLine="787"/>
        <w:spacing w:after="0" w:line="234" w:lineRule="auto"/>
        <w:rPr>
          <w:sz w:val="20"/>
          <w:szCs w:val="20"/>
          <w:color w:val="auto"/>
        </w:rPr>
      </w:pPr>
      <w:r>
        <w:rPr>
          <w:rFonts w:ascii="Arial" w:cs="Arial" w:eastAsia="Arial" w:hAnsi="Arial"/>
          <w:sz w:val="15"/>
          <w:szCs w:val="15"/>
          <w:color w:val="auto"/>
        </w:rPr>
        <w:t>Historically, we had elected to be taxed under the provisions of Subchapter “S” of the Internal Revenue Code for federal tax purposes. As a result, our income had not been subject to U.S. federal income taxes or state income taxes in those states where the “S” Corporation status was recognized. No provision or liability for federal or state income tax had been provided in our consolidated financial statements, prior to the IPO on May 8, 2019, except for those states where the “S” Corporation status was not recognized or where states imposed a tax on “S” Corporations. The provision for income tax in the historical periods prior to the IPO consists of these state taxes and from certain foreign jurisdictions where we are subject to tax.</w:t>
      </w:r>
    </w:p>
    <w:p>
      <w:pPr>
        <w:spacing w:after="0" w:line="168" w:lineRule="exact"/>
        <w:rPr>
          <w:sz w:val="20"/>
          <w:szCs w:val="20"/>
          <w:color w:val="auto"/>
        </w:rPr>
      </w:pPr>
    </w:p>
    <w:p>
      <w:pPr>
        <w:ind w:firstLine="787"/>
        <w:spacing w:after="0" w:line="235" w:lineRule="auto"/>
        <w:rPr>
          <w:sz w:val="20"/>
          <w:szCs w:val="20"/>
          <w:color w:val="auto"/>
        </w:rPr>
      </w:pPr>
      <w:r>
        <w:rPr>
          <w:rFonts w:ascii="Arial" w:cs="Arial" w:eastAsia="Arial" w:hAnsi="Arial"/>
          <w:sz w:val="15"/>
          <w:szCs w:val="15"/>
          <w:color w:val="auto"/>
        </w:rPr>
        <w:t>In connection with the IPO, our “S” Corporation status terminated, and we are now treated as a “C” Corporation under Subchapter C of the Internal Revenue Code. The revocation of the our “S” Corporation election had a material impact on our results of operations, financial condition and cash flows. The effective tax rate has increased, and net income has decreased as compared to our “S” Corporation tax years, since we are now subject to both U.S. federal and state corporate income taxes on its earnings.</w:t>
      </w: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Results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00" w:lineRule="exact"/>
        <w:rPr>
          <w:sz w:val="20"/>
          <w:szCs w:val="20"/>
          <w:color w:val="auto"/>
        </w:rPr>
      </w:pPr>
    </w:p>
    <w:p>
      <w:pPr>
        <w:ind w:right="260" w:firstLine="737"/>
        <w:spacing w:after="0" w:line="236" w:lineRule="auto"/>
        <w:rPr>
          <w:sz w:val="20"/>
          <w:szCs w:val="20"/>
          <w:color w:val="auto"/>
        </w:rPr>
      </w:pPr>
      <w:r>
        <w:rPr>
          <w:rFonts w:ascii="Arial" w:cs="Arial" w:eastAsia="Arial" w:hAnsi="Arial"/>
          <w:sz w:val="15"/>
          <w:szCs w:val="15"/>
          <w:color w:val="auto"/>
        </w:rPr>
        <w:t>Our revenue consists of both services provided by our employees and pass-through fees from subcontractors and other direct costs. Our Federal Solutions segment derives revenue primarily from the U.S. federal government and our Critical Infrastructure segment derives revenue primarily from government and commercial customers.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We recognize revenue for work performed under cost-plus, time-and-materials and fixed-price contracts as follows:</w:t>
      </w:r>
    </w:p>
    <w:p>
      <w:pPr>
        <w:spacing w:after="0" w:line="171" w:lineRule="exact"/>
        <w:rPr>
          <w:sz w:val="20"/>
          <w:szCs w:val="20"/>
          <w:color w:val="auto"/>
        </w:rPr>
      </w:pPr>
    </w:p>
    <w:p>
      <w:pPr>
        <w:ind w:right="40" w:firstLine="737"/>
        <w:spacing w:after="0" w:line="236" w:lineRule="auto"/>
        <w:rPr>
          <w:sz w:val="20"/>
          <w:szCs w:val="20"/>
          <w:color w:val="auto"/>
        </w:rPr>
      </w:pPr>
      <w:r>
        <w:rPr>
          <w:rFonts w:ascii="Arial" w:cs="Arial" w:eastAsia="Arial" w:hAnsi="Arial"/>
          <w:sz w:val="15"/>
          <w:szCs w:val="15"/>
          <w:color w:val="auto"/>
        </w:rPr>
        <w:t>Under cost-plus contracts, we are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67" w:lineRule="exact"/>
        <w:rPr>
          <w:sz w:val="20"/>
          <w:szCs w:val="20"/>
          <w:color w:val="auto"/>
        </w:rPr>
      </w:pPr>
    </w:p>
    <w:p>
      <w:pPr>
        <w:ind w:right="320" w:firstLine="737"/>
        <w:spacing w:after="0" w:line="239" w:lineRule="auto"/>
        <w:rPr>
          <w:sz w:val="20"/>
          <w:szCs w:val="20"/>
          <w:color w:val="auto"/>
        </w:rPr>
      </w:pPr>
      <w:r>
        <w:rPr>
          <w:rFonts w:ascii="Arial" w:cs="Arial" w:eastAsia="Arial" w:hAnsi="Arial"/>
          <w:sz w:val="15"/>
          <w:szCs w:val="15"/>
          <w:color w:val="auto"/>
        </w:rPr>
        <w:t>Under time-and-materials contracts, hourly billing rates are negotiated and charged to clients based on the actual time spent on a project. In addition, clients reimburse actual out-of-pocket costs for other direct costs and expenses that are incurred in connection with the performance under the contract.</w:t>
      </w:r>
    </w:p>
    <w:p>
      <w:pPr>
        <w:spacing w:after="0" w:line="7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Under fixed-price contracts, clients pay an agreed fixed-amount negotiated in advance for a specified scope of work.</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520" w:right="359" w:bottom="1440" w:gutter="0" w:footer="0" w:header="0"/>
        </w:sectPr>
      </w:pPr>
    </w:p>
    <w:bookmarkStart w:id="65" w:name="page66"/>
    <w:bookmarkEnd w:id="65"/>
    <w:p>
      <w:pPr>
        <w:ind w:right="200" w:firstLine="745"/>
        <w:spacing w:after="0" w:line="236" w:lineRule="auto"/>
        <w:rPr>
          <w:sz w:val="20"/>
          <w:szCs w:val="20"/>
          <w:color w:val="auto"/>
        </w:rPr>
      </w:pPr>
      <w:r>
        <w:rPr>
          <w:rFonts w:ascii="Arial" w:cs="Arial" w:eastAsia="Arial" w:hAnsi="Arial"/>
          <w:sz w:val="15"/>
          <w:szCs w:val="15"/>
          <w:color w:val="auto"/>
        </w:rPr>
        <w:t xml:space="preserve">Refer to “Management’s Discussion and Analysis of Financial Condition and Results of Operations—Critical Accounting Policies and Estimates” and “Note 2— </w:t>
      </w:r>
      <w:r>
        <w:rPr>
          <w:rFonts w:ascii="Arial" w:cs="Arial" w:eastAsia="Arial" w:hAnsi="Arial"/>
          <w:sz w:val="15"/>
          <w:szCs w:val="15"/>
          <w:i w:val="1"/>
          <w:iCs w:val="1"/>
          <w:color w:val="auto"/>
        </w:rPr>
        <w:t>Summary of Significant Accounting Polices</w:t>
      </w:r>
      <w:r>
        <w:rPr>
          <w:rFonts w:ascii="Arial" w:cs="Arial" w:eastAsia="Arial" w:hAnsi="Arial"/>
          <w:sz w:val="15"/>
          <w:szCs w:val="15"/>
          <w:color w:val="auto"/>
        </w:rPr>
        <w:t>” in the notes to our consolidated financial statements included elsewhere in this Annual Report on Form 10-K for a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description of our policies on revenue recognition.</w:t>
      </w:r>
    </w:p>
    <w:p>
      <w:pPr>
        <w:spacing w:after="0" w:line="7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table below presents the percentage of total revenue for each type of contract.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540" w:type="dxa"/>
            <w:vAlign w:val="bottom"/>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8"/>
              </w:rPr>
              <w:t>Fiscal Year Ended</w:t>
            </w:r>
          </w:p>
        </w:tc>
        <w:tc>
          <w:tcPr>
            <w:tcW w:w="1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9"/>
        </w:trPr>
        <w:tc>
          <w:tcPr>
            <w:tcW w:w="6540" w:type="dxa"/>
            <w:vAlign w:val="bottom"/>
          </w:tcPr>
          <w:p>
            <w:pPr>
              <w:spacing w:after="0"/>
              <w:rPr>
                <w:sz w:val="15"/>
                <w:szCs w:val="15"/>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December 31, 2020</w:t>
            </w: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December 31, 2019</w:t>
            </w:r>
          </w:p>
        </w:tc>
        <w:tc>
          <w:tcPr>
            <w:tcW w:w="14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8"/>
              </w:rPr>
              <w:t>December 31, 2018</w:t>
            </w:r>
          </w:p>
        </w:tc>
      </w:tr>
      <w:tr>
        <w:trPr>
          <w:trHeight w:val="168"/>
        </w:trPr>
        <w:tc>
          <w:tcPr>
            <w:tcW w:w="65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Fixed-price</w:t>
            </w:r>
          </w:p>
        </w:tc>
        <w:tc>
          <w:tcPr>
            <w:tcW w:w="1380" w:type="dxa"/>
            <w:vAlign w:val="bottom"/>
            <w:tcBorders>
              <w:top w:val="single" w:sz="8" w:color="auto"/>
            </w:tcBorders>
            <w:shd w:val="clear" w:color="auto" w:fill="CFF0FC"/>
          </w:tcPr>
          <w:p>
            <w:pPr>
              <w:jc w:val="center"/>
              <w:spacing w:after="0" w:line="169" w:lineRule="exact"/>
              <w:rPr>
                <w:sz w:val="20"/>
                <w:szCs w:val="20"/>
                <w:color w:val="auto"/>
              </w:rPr>
            </w:pPr>
            <w:r>
              <w:rPr>
                <w:rFonts w:ascii="Arial" w:cs="Arial" w:eastAsia="Arial" w:hAnsi="Arial"/>
                <w:sz w:val="15"/>
                <w:szCs w:val="15"/>
                <w:color w:val="auto"/>
                <w:w w:val="99"/>
              </w:rPr>
              <w:t>32%</w:t>
            </w:r>
          </w:p>
        </w:tc>
        <w:tc>
          <w:tcPr>
            <w:tcW w:w="240" w:type="dxa"/>
            <w:vAlign w:val="bottom"/>
            <w:tcBorders>
              <w:top w:val="single" w:sz="8" w:color="CFF0FC"/>
            </w:tcBorders>
            <w:shd w:val="clear" w:color="auto" w:fill="CFF0FC"/>
          </w:tcPr>
          <w:p>
            <w:pPr>
              <w:spacing w:after="0"/>
              <w:rPr>
                <w:sz w:val="14"/>
                <w:szCs w:val="14"/>
                <w:color w:val="auto"/>
              </w:rPr>
            </w:pPr>
          </w:p>
        </w:tc>
        <w:tc>
          <w:tcPr>
            <w:tcW w:w="1380" w:type="dxa"/>
            <w:vAlign w:val="bottom"/>
            <w:tcBorders>
              <w:top w:val="single" w:sz="8" w:color="auto"/>
            </w:tcBorders>
            <w:shd w:val="clear" w:color="auto" w:fill="CFF0FC"/>
          </w:tcPr>
          <w:p>
            <w:pPr>
              <w:jc w:val="center"/>
              <w:spacing w:after="0" w:line="169" w:lineRule="exact"/>
              <w:rPr>
                <w:sz w:val="20"/>
                <w:szCs w:val="20"/>
                <w:color w:val="auto"/>
              </w:rPr>
            </w:pPr>
            <w:r>
              <w:rPr>
                <w:rFonts w:ascii="Arial" w:cs="Arial" w:eastAsia="Arial" w:hAnsi="Arial"/>
                <w:sz w:val="15"/>
                <w:szCs w:val="15"/>
                <w:color w:val="auto"/>
                <w:w w:val="99"/>
              </w:rPr>
              <w:t>30%</w:t>
            </w:r>
          </w:p>
        </w:tc>
        <w:tc>
          <w:tcPr>
            <w:tcW w:w="26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center"/>
              <w:spacing w:after="0" w:line="169" w:lineRule="exact"/>
              <w:rPr>
                <w:sz w:val="20"/>
                <w:szCs w:val="20"/>
                <w:color w:val="auto"/>
              </w:rPr>
            </w:pPr>
            <w:r>
              <w:rPr>
                <w:rFonts w:ascii="Arial" w:cs="Arial" w:eastAsia="Arial" w:hAnsi="Arial"/>
                <w:sz w:val="15"/>
                <w:szCs w:val="15"/>
                <w:color w:val="auto"/>
                <w:w w:val="99"/>
              </w:rPr>
              <w:t>32%</w:t>
            </w: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6540" w:type="dxa"/>
            <w:vAlign w:val="bottom"/>
          </w:tcPr>
          <w:p>
            <w:pPr>
              <w:spacing w:after="0"/>
              <w:rPr>
                <w:sz w:val="20"/>
                <w:szCs w:val="20"/>
                <w:color w:val="auto"/>
              </w:rPr>
            </w:pPr>
            <w:r>
              <w:rPr>
                <w:rFonts w:ascii="Arial" w:cs="Arial" w:eastAsia="Arial" w:hAnsi="Arial"/>
                <w:sz w:val="15"/>
                <w:szCs w:val="15"/>
                <w:color w:val="auto"/>
              </w:rPr>
              <w:t>Time-and-materials</w:t>
            </w:r>
          </w:p>
        </w:tc>
        <w:tc>
          <w:tcPr>
            <w:tcW w:w="1380" w:type="dxa"/>
            <w:vAlign w:val="bottom"/>
          </w:tcPr>
          <w:p>
            <w:pPr>
              <w:jc w:val="center"/>
              <w:spacing w:after="0"/>
              <w:rPr>
                <w:sz w:val="20"/>
                <w:szCs w:val="20"/>
                <w:color w:val="auto"/>
              </w:rPr>
            </w:pPr>
            <w:r>
              <w:rPr>
                <w:rFonts w:ascii="Arial" w:cs="Arial" w:eastAsia="Arial" w:hAnsi="Arial"/>
                <w:sz w:val="15"/>
                <w:szCs w:val="15"/>
                <w:color w:val="auto"/>
                <w:w w:val="99"/>
              </w:rPr>
              <w:t>26%</w:t>
            </w:r>
          </w:p>
        </w:tc>
        <w:tc>
          <w:tcPr>
            <w:tcW w:w="24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5"/>
                <w:szCs w:val="15"/>
                <w:color w:val="auto"/>
                <w:w w:val="99"/>
              </w:rPr>
              <w:t>27%</w:t>
            </w:r>
          </w:p>
        </w:tc>
        <w:tc>
          <w:tcPr>
            <w:tcW w:w="2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w w:val="99"/>
              </w:rPr>
              <w:t>27%</w:t>
            </w:r>
          </w:p>
        </w:tc>
        <w:tc>
          <w:tcPr>
            <w:tcW w:w="120" w:type="dxa"/>
            <w:vAlign w:val="bottom"/>
          </w:tcPr>
          <w:p>
            <w:pPr>
              <w:spacing w:after="0"/>
              <w:rPr>
                <w:sz w:val="15"/>
                <w:szCs w:val="15"/>
                <w:color w:val="auto"/>
              </w:rPr>
            </w:pPr>
          </w:p>
        </w:tc>
      </w:tr>
      <w:tr>
        <w:trPr>
          <w:trHeight w:val="177"/>
        </w:trPr>
        <w:tc>
          <w:tcPr>
            <w:tcW w:w="6540" w:type="dxa"/>
            <w:vAlign w:val="bottom"/>
            <w:shd w:val="clear" w:color="auto" w:fill="CFF0FC"/>
          </w:tcPr>
          <w:p>
            <w:pPr>
              <w:spacing w:after="0"/>
              <w:rPr>
                <w:sz w:val="20"/>
                <w:szCs w:val="20"/>
                <w:color w:val="auto"/>
              </w:rPr>
            </w:pPr>
            <w:r>
              <w:rPr>
                <w:rFonts w:ascii="Arial" w:cs="Arial" w:eastAsia="Arial" w:hAnsi="Arial"/>
                <w:sz w:val="15"/>
                <w:szCs w:val="15"/>
                <w:color w:val="auto"/>
              </w:rPr>
              <w:t>Cost-plus</w:t>
            </w:r>
          </w:p>
        </w:tc>
        <w:tc>
          <w:tcPr>
            <w:tcW w:w="13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42%</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43%</w:t>
            </w:r>
          </w:p>
        </w:tc>
        <w:tc>
          <w:tcPr>
            <w:tcW w:w="260" w:type="dxa"/>
            <w:vAlign w:val="bottom"/>
            <w:shd w:val="clear" w:color="auto" w:fill="CFF0FC"/>
          </w:tcPr>
          <w:p>
            <w:pPr>
              <w:spacing w:after="0"/>
              <w:rPr>
                <w:sz w:val="15"/>
                <w:szCs w:val="15"/>
                <w:color w:val="auto"/>
              </w:rPr>
            </w:pPr>
          </w:p>
        </w:tc>
        <w:tc>
          <w:tcPr>
            <w:tcW w:w="1360" w:type="dxa"/>
            <w:vAlign w:val="bottom"/>
            <w:shd w:val="clear" w:color="auto" w:fill="CFF0FC"/>
          </w:tcPr>
          <w:p>
            <w:pPr>
              <w:jc w:val="center"/>
              <w:spacing w:after="0"/>
              <w:rPr>
                <w:sz w:val="20"/>
                <w:szCs w:val="20"/>
                <w:color w:val="auto"/>
              </w:rPr>
            </w:pPr>
            <w:r>
              <w:rPr>
                <w:rFonts w:ascii="Arial" w:cs="Arial" w:eastAsia="Arial" w:hAnsi="Arial"/>
                <w:sz w:val="15"/>
                <w:szCs w:val="15"/>
                <w:color w:val="auto"/>
                <w:w w:val="99"/>
              </w:rPr>
              <w:t>41%</w:t>
            </w:r>
          </w:p>
        </w:tc>
        <w:tc>
          <w:tcPr>
            <w:tcW w:w="120" w:type="dxa"/>
            <w:vAlign w:val="bottom"/>
            <w:shd w:val="clear" w:color="auto" w:fill="CFF0FC"/>
          </w:tcPr>
          <w:p>
            <w:pPr>
              <w:spacing w:after="0"/>
              <w:rPr>
                <w:sz w:val="15"/>
                <w:szCs w:val="15"/>
                <w:color w:val="auto"/>
              </w:rPr>
            </w:pPr>
          </w:p>
        </w:tc>
      </w:tr>
    </w:tbl>
    <w:p>
      <w:pPr>
        <w:spacing w:after="0" w:line="354"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The amount of risk and potential reward varies under each type of contract. Under cost-plus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direct contract costs and expenses at cost. We assume financial risk on time-and-materials contracts because our labor costs may exceed the negotiated billing rates. Profit margins on well-managed time-and-materials contracts tend to be higher than profit margins on cost-plus contracts as long as we are able to staff those contracts with people who have an appropriate skill set. Under fixed-price contracts, we are required to deliver the objectives under the contract for a pre-determined price. Compared to time-and-materials and cost-plus contracts, fixed-price contracts generally offer higher profit margin opportunities because we receive the full benefit of any cost savings, but they also generally involve greater financial risk because we bear the risk of any cost overruns. In the aggregate, the contract type mix in our revenue for any given period will affect that period’s profitability. Over time, we have experienced a relatively stable contract mix.</w:t>
      </w:r>
    </w:p>
    <w:p>
      <w:pPr>
        <w:spacing w:after="0" w:line="166" w:lineRule="exact"/>
        <w:rPr>
          <w:sz w:val="20"/>
          <w:szCs w:val="20"/>
          <w:color w:val="auto"/>
        </w:rPr>
      </w:pPr>
    </w:p>
    <w:p>
      <w:pPr>
        <w:jc w:val="both"/>
        <w:ind w:firstLine="737"/>
        <w:spacing w:after="0" w:line="236" w:lineRule="auto"/>
        <w:rPr>
          <w:sz w:val="20"/>
          <w:szCs w:val="20"/>
          <w:color w:val="auto"/>
        </w:rPr>
      </w:pPr>
      <w:r>
        <w:rPr>
          <w:rFonts w:ascii="Arial" w:cs="Arial" w:eastAsia="Arial" w:hAnsi="Arial"/>
          <w:sz w:val="15"/>
          <w:szCs w:val="15"/>
          <w:color w:val="auto"/>
        </w:rPr>
        <w:t>Our recognition of profit on long-term contracts requires the use of assumptions related to transaction price and total cost of completion. Estimates are continually evaluated as work progresses and are revised when necessary. When a change in estimated cost or transaction price is determined to have an impact on contract profit, we record a positive or negative adjustment to revenue.</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 2020, 2019 and 2018, no single contract accounted for more than 5% of our revenue.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Joint Ventures</w:t>
      </w:r>
    </w:p>
    <w:p>
      <w:pPr>
        <w:spacing w:after="0" w:line="100" w:lineRule="exact"/>
        <w:rPr>
          <w:sz w:val="20"/>
          <w:szCs w:val="20"/>
          <w:color w:val="auto"/>
        </w:rPr>
      </w:pPr>
    </w:p>
    <w:p>
      <w:pPr>
        <w:ind w:right="240" w:firstLine="737"/>
        <w:spacing w:after="0" w:line="235" w:lineRule="auto"/>
        <w:rPr>
          <w:sz w:val="20"/>
          <w:szCs w:val="20"/>
          <w:color w:val="auto"/>
        </w:rPr>
      </w:pPr>
      <w:r>
        <w:rPr>
          <w:rFonts w:ascii="Arial" w:cs="Arial" w:eastAsia="Arial" w:hAnsi="Arial"/>
          <w:sz w:val="15"/>
          <w:szCs w:val="15"/>
          <w:color w:val="auto"/>
        </w:rPr>
        <w:t>We conduct a portion of our business through joint ventures or similar partnership arrangements. For the joint ventures we control, we consolidate all the revenues and expenses in our consolidated statements of income (including revenues and expenses attributable to noncontrolling interests). For the joint ventures we do not control, we recognize equity in earnings of unconsolidated joint ventures. Our revenues included $172.2 million in 2020, $157.3 million in 2019, and $144.7 million in 2018 related to services we provided to our unconsolidated joint ventures.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costs and expenses</w:t>
      </w:r>
    </w:p>
    <w:p>
      <w:pPr>
        <w:spacing w:after="0" w:line="100" w:lineRule="exact"/>
        <w:rPr>
          <w:sz w:val="20"/>
          <w:szCs w:val="20"/>
          <w:color w:val="auto"/>
        </w:rPr>
      </w:pPr>
    </w:p>
    <w:p>
      <w:pPr>
        <w:ind w:right="20" w:firstLine="745"/>
        <w:spacing w:after="0" w:line="234" w:lineRule="auto"/>
        <w:rPr>
          <w:sz w:val="20"/>
          <w:szCs w:val="20"/>
          <w:color w:val="auto"/>
        </w:rPr>
      </w:pPr>
      <w:r>
        <w:rPr>
          <w:rFonts w:ascii="Arial" w:cs="Arial" w:eastAsia="Arial" w:hAnsi="Arial"/>
          <w:sz w:val="15"/>
          <w:szCs w:val="15"/>
          <w:color w:val="auto"/>
        </w:rPr>
        <w:t>Operating costs and expenses primarily include direct costs of contracts and indirect, general and administrative expenses. Costs associated with compensation-related expenses for our people and facilities, which includes ESOP contribution expenses, are the most significant component of our operating expenses. In 2020, 2019 and 2018, we made annual contributions to the ESOP in the amount of 8% of the participants’ cash compensation for the applicable year. Total ESOP contribution expense was $55.3 million for 2020, $53.6 million for fiscal 2019, and $45.2 million for fiscal 2018, and is recorded in “Direct cost of contracts” and “Indirect, general and administrative expenses.” We expect operating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66" w:name="page67"/>
    <w:bookmarkEnd w:id="66"/>
    <w:p>
      <w:pPr>
        <w:spacing w:after="0" w:line="239" w:lineRule="auto"/>
        <w:rPr>
          <w:sz w:val="20"/>
          <w:szCs w:val="20"/>
          <w:color w:val="auto"/>
        </w:rPr>
      </w:pPr>
      <w:r>
        <w:rPr>
          <w:rFonts w:ascii="Arial" w:cs="Arial" w:eastAsia="Arial" w:hAnsi="Arial"/>
          <w:sz w:val="15"/>
          <w:szCs w:val="15"/>
          <w:color w:val="auto"/>
        </w:rPr>
        <w:t>expenses to increase due to our anticipated growth. However, on a forward-looking basis, we generally expect these costs to decline as a percentage of our total revenue as we realize the benefits of scale.</w:t>
      </w:r>
    </w:p>
    <w:p>
      <w:pPr>
        <w:spacing w:after="0" w:line="78" w:lineRule="exact"/>
        <w:rPr>
          <w:sz w:val="20"/>
          <w:szCs w:val="20"/>
          <w:color w:val="auto"/>
        </w:rPr>
      </w:pPr>
    </w:p>
    <w:p>
      <w:pPr>
        <w:ind w:right="460" w:firstLine="745"/>
        <w:spacing w:after="0" w:line="239" w:lineRule="auto"/>
        <w:rPr>
          <w:sz w:val="20"/>
          <w:szCs w:val="20"/>
          <w:color w:val="auto"/>
        </w:rPr>
      </w:pPr>
      <w:r>
        <w:rPr>
          <w:rFonts w:ascii="Arial" w:cs="Arial" w:eastAsia="Arial" w:hAnsi="Arial"/>
          <w:sz w:val="15"/>
          <w:szCs w:val="15"/>
          <w:color w:val="auto"/>
        </w:rPr>
        <w:t>Direct costs of contracts consist of direct labor and associated fringe benefits, indirect overhead, subcontractor and materials (“pass-through costs”), travel expenses and other expenses incurred to perform on contracts.</w:t>
      </w:r>
    </w:p>
    <w:p>
      <w:pPr>
        <w:spacing w:after="0" w:line="78" w:lineRule="exact"/>
        <w:rPr>
          <w:sz w:val="20"/>
          <w:szCs w:val="20"/>
          <w:color w:val="auto"/>
        </w:rPr>
      </w:pPr>
    </w:p>
    <w:p>
      <w:pPr>
        <w:ind w:right="640" w:firstLine="745"/>
        <w:spacing w:after="0" w:line="239" w:lineRule="auto"/>
        <w:rPr>
          <w:sz w:val="20"/>
          <w:szCs w:val="20"/>
          <w:color w:val="auto"/>
        </w:rPr>
      </w:pPr>
      <w:r>
        <w:rPr>
          <w:rFonts w:ascii="Arial" w:cs="Arial" w:eastAsia="Arial" w:hAnsi="Arial"/>
          <w:sz w:val="15"/>
          <w:szCs w:val="15"/>
          <w:color w:val="auto"/>
        </w:rPr>
        <w:t>Indirect, general and administrative expenses (“IG&amp;A”) include salaries and wages and fringe benefits of our employees not performing work directly for customers, facility costs and other costs related to these indirect functions.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income and expenses</w:t>
      </w:r>
    </w:p>
    <w:p>
      <w:pPr>
        <w:spacing w:after="0" w:line="100" w:lineRule="exact"/>
        <w:rPr>
          <w:sz w:val="20"/>
          <w:szCs w:val="20"/>
          <w:color w:val="auto"/>
        </w:rPr>
      </w:pPr>
    </w:p>
    <w:p>
      <w:pPr>
        <w:ind w:right="280" w:firstLine="737"/>
        <w:spacing w:after="0" w:line="239" w:lineRule="auto"/>
        <w:rPr>
          <w:sz w:val="20"/>
          <w:szCs w:val="20"/>
          <w:color w:val="auto"/>
        </w:rPr>
      </w:pPr>
      <w:r>
        <w:rPr>
          <w:rFonts w:ascii="Arial" w:cs="Arial" w:eastAsia="Arial" w:hAnsi="Arial"/>
          <w:sz w:val="15"/>
          <w:szCs w:val="15"/>
          <w:color w:val="auto"/>
        </w:rPr>
        <w:t>Other income and expenses primarily consist of interest income, interest expense, other income, net and interest and other expense associated with claim on long-term contract.</w:t>
      </w:r>
    </w:p>
    <w:p>
      <w:pPr>
        <w:spacing w:after="0" w:line="166"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Interest income primarily consists of interest earned on U.S. government money market funds.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5"/>
          <w:szCs w:val="15"/>
          <w:color w:val="auto"/>
        </w:rPr>
        <w:t>Interest expense consists of interest expense incurred under our Senior Notes, Convertible Senior Notes, and Credit Agreement.</w:t>
      </w:r>
    </w:p>
    <w:p>
      <w:pPr>
        <w:spacing w:after="0" w:line="171" w:lineRule="exact"/>
        <w:rPr>
          <w:sz w:val="20"/>
          <w:szCs w:val="20"/>
          <w:color w:val="auto"/>
        </w:rPr>
      </w:pPr>
    </w:p>
    <w:p>
      <w:pPr>
        <w:ind w:right="320" w:firstLine="737"/>
        <w:spacing w:after="0" w:line="239" w:lineRule="auto"/>
        <w:rPr>
          <w:sz w:val="20"/>
          <w:szCs w:val="20"/>
          <w:color w:val="auto"/>
        </w:rPr>
      </w:pPr>
      <w:r>
        <w:rPr>
          <w:rFonts w:ascii="Arial" w:cs="Arial" w:eastAsia="Arial" w:hAnsi="Arial"/>
          <w:sz w:val="15"/>
          <w:szCs w:val="15"/>
          <w:color w:val="auto"/>
        </w:rPr>
        <w:t>Other income, net primarily consists of gain or loss on sale of assets, sublease income and transaction gain or loss related to movements in foreign currency exchange rates.</w:t>
      </w:r>
    </w:p>
    <w:p>
      <w:pPr>
        <w:spacing w:after="0" w:line="166" w:lineRule="exact"/>
        <w:rPr>
          <w:sz w:val="20"/>
          <w:szCs w:val="20"/>
          <w:color w:val="auto"/>
        </w:rPr>
      </w:pPr>
    </w:p>
    <w:p>
      <w:pPr>
        <w:ind w:right="80" w:firstLine="737"/>
        <w:spacing w:after="0" w:line="232" w:lineRule="auto"/>
        <w:rPr>
          <w:sz w:val="20"/>
          <w:szCs w:val="20"/>
          <w:color w:val="auto"/>
        </w:rPr>
      </w:pPr>
      <w:r>
        <w:rPr>
          <w:rFonts w:ascii="Arial" w:cs="Arial" w:eastAsia="Arial" w:hAnsi="Arial"/>
          <w:sz w:val="15"/>
          <w:szCs w:val="15"/>
          <w:color w:val="auto"/>
        </w:rPr>
        <w:t>Included in other income and expenses in 2018 are amounts related to the settlement of a lawsuit in favor of a joint venture in which the Company was the managing partner. With regard to the lawsuit, during the second half of fiscal 2013, a California state court issued a number of preliminary judgments with the final judgment being rendered in early fiscal 2014 in favor of the plaintiff in a lawsuit against the joint venture. We recorded a loss of $98.8 million for fiscal 2013 as a result of these judgments, which included the reversal of $55.1 million in previously recognized revenue. Post-judgment interest was accrued through May 2018 when a total of $ 133.1 million was accrued in “Provision for contract losses of consolidated joint ventures” on our consolidated balance sheet. On February 28, 2018, the California Court of Appeals vacated the judgement, and in doing so, the appellate court remanded the case to the trial court for the sole purpose of entering a new and final judgement in our favor. On April 9, 2018, the appellate court ruling was appealed by the counterparty to the California Supreme Court. On June 13, 2018, the California Supreme Court denied the counterparty’s appeal. As a result, in the second quarter of 2018 we reversed $133.1 million accrued in “Provision for contract losses on consolidated joint ventures” on our consolidated balance sheet, resulting in a net gain of $129.7 million on our consolidated statements of income, of which $55.1 million was recorded as an increase in revenue with the remainder recorded as other income.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67" w:name="page68"/>
    <w:bookmarkEnd w:id="67"/>
    <w:p>
      <w:pPr>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sets forth our results of operations for fiscal 2020 and fiscal 2019 as a percentage of revenue.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6"/>
          </w:tcPr>
          <w:p>
            <w:pPr>
              <w:ind w:left="180"/>
              <w:spacing w:after="0"/>
              <w:rPr>
                <w:sz w:val="20"/>
                <w:szCs w:val="20"/>
                <w:color w:val="auto"/>
              </w:rPr>
            </w:pPr>
            <w:r>
              <w:rPr>
                <w:rFonts w:ascii="Arial" w:cs="Arial" w:eastAsia="Arial" w:hAnsi="Arial"/>
                <w:sz w:val="12"/>
                <w:szCs w:val="12"/>
                <w:b w:val="1"/>
                <w:bCs w:val="1"/>
                <w:color w:val="auto"/>
              </w:rPr>
              <w:t>Fiscal Year Ended</w:t>
            </w:r>
          </w:p>
        </w:tc>
        <w:tc>
          <w:tcPr>
            <w:tcW w:w="8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40" w:type="dxa"/>
            <w:vAlign w:val="bottom"/>
            <w:tcBorders>
              <w:bottom w:val="single" w:sz="8" w:color="CFF0FC"/>
            </w:tcBorders>
          </w:tcPr>
          <w:p>
            <w:pPr>
              <w:spacing w:after="0"/>
              <w:rPr>
                <w:sz w:val="11"/>
                <w:szCs w:val="11"/>
                <w:color w:val="auto"/>
              </w:rPr>
            </w:pPr>
          </w:p>
        </w:tc>
        <w:tc>
          <w:tcPr>
            <w:tcW w:w="380" w:type="dxa"/>
            <w:vAlign w:val="bottom"/>
            <w:tcBorders>
              <w:bottom w:val="single" w:sz="8" w:color="CFF0FC"/>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860" w:type="dxa"/>
            <w:vAlign w:val="bottom"/>
            <w:tcBorders>
              <w:bottom w:val="single" w:sz="8" w:color="CFF0FC"/>
            </w:tcBorders>
          </w:tcPr>
          <w:p>
            <w:pPr>
              <w:spacing w:after="0"/>
              <w:rPr>
                <w:sz w:val="11"/>
                <w:szCs w:val="11"/>
                <w:color w:val="auto"/>
              </w:rPr>
            </w:pPr>
          </w:p>
        </w:tc>
        <w:tc>
          <w:tcPr>
            <w:tcW w:w="260" w:type="dxa"/>
            <w:vAlign w:val="bottom"/>
            <w:tcBorders>
              <w:bottom w:val="single" w:sz="8" w:color="CFF0FC"/>
            </w:tcBorders>
          </w:tcPr>
          <w:p>
            <w:pPr>
              <w:spacing w:after="0"/>
              <w:rPr>
                <w:sz w:val="11"/>
                <w:szCs w:val="11"/>
                <w:color w:val="auto"/>
              </w:rPr>
            </w:pPr>
          </w:p>
        </w:tc>
        <w:tc>
          <w:tcPr>
            <w:tcW w:w="3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3"/>
          </w:tcPr>
          <w:p>
            <w:pPr>
              <w:jc w:val="right"/>
              <w:spacing w:after="0" w:line="136" w:lineRule="exact"/>
              <w:rPr>
                <w:sz w:val="20"/>
                <w:szCs w:val="20"/>
                <w:color w:val="auto"/>
              </w:rPr>
            </w:pPr>
            <w:r>
              <w:rPr>
                <w:rFonts w:ascii="Arial" w:cs="Arial" w:eastAsia="Arial" w:hAnsi="Arial"/>
                <w:sz w:val="12"/>
                <w:szCs w:val="12"/>
                <w:b w:val="1"/>
                <w:bCs w:val="1"/>
                <w:color w:val="auto"/>
              </w:rPr>
              <w:t>December 31, 2020</w:t>
            </w:r>
          </w:p>
        </w:tc>
        <w:tc>
          <w:tcPr>
            <w:tcW w:w="260" w:type="dxa"/>
            <w:vAlign w:val="bottom"/>
            <w:tcBorders>
              <w:bottom w:val="single" w:sz="8" w:color="auto"/>
            </w:tcBorders>
          </w:tcPr>
          <w:p>
            <w:pPr>
              <w:spacing w:after="0"/>
              <w:rPr>
                <w:sz w:val="11"/>
                <w:szCs w:val="11"/>
                <w:color w:val="auto"/>
              </w:rPr>
            </w:pPr>
          </w:p>
        </w:tc>
        <w:tc>
          <w:tcPr>
            <w:tcW w:w="380" w:type="dxa"/>
            <w:vAlign w:val="bottom"/>
            <w:tcBorders>
              <w:bottom w:val="single" w:sz="8" w:color="CFF0FC"/>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tcPr>
          <w:p>
            <w:pPr>
              <w:spacing w:after="0" w:line="136" w:lineRule="exact"/>
              <w:rPr>
                <w:sz w:val="20"/>
                <w:szCs w:val="20"/>
                <w:color w:val="auto"/>
              </w:rPr>
            </w:pPr>
            <w:r>
              <w:rPr>
                <w:rFonts w:ascii="Arial" w:cs="Arial" w:eastAsia="Arial" w:hAnsi="Arial"/>
                <w:sz w:val="12"/>
                <w:szCs w:val="12"/>
                <w:b w:val="1"/>
                <w:bCs w:val="1"/>
                <w:color w:val="auto"/>
              </w:rPr>
              <w:t>December 31, 2019</w:t>
            </w:r>
          </w:p>
        </w:tc>
        <w:tc>
          <w:tcPr>
            <w:tcW w:w="2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Revenues</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20" w:type="dxa"/>
            <w:vAlign w:val="bottom"/>
            <w:gridSpan w:val="4"/>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100.0%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Direct costs of contracts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5"/>
                <w:szCs w:val="15"/>
                <w:color w:val="auto"/>
              </w:rPr>
              <w:t>77.6%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79.0%</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Equity in earnings of unconsolidated joint ventures</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0.8%</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Indirect, general and administrative expenses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20" w:type="dxa"/>
            <w:vAlign w:val="bottom"/>
            <w:gridSpan w:val="4"/>
          </w:tcPr>
          <w:p>
            <w:pPr>
              <w:jc w:val="right"/>
              <w:ind w:right="240"/>
              <w:spacing w:after="0"/>
              <w:rPr>
                <w:sz w:val="20"/>
                <w:szCs w:val="20"/>
                <w:color w:val="auto"/>
              </w:rPr>
            </w:pPr>
            <w:r>
              <w:rPr>
                <w:rFonts w:ascii="Arial" w:cs="Arial" w:eastAsia="Arial" w:hAnsi="Arial"/>
                <w:sz w:val="15"/>
                <w:szCs w:val="15"/>
                <w:color w:val="auto"/>
              </w:rPr>
              <w:t>18.6%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19.8%</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Operating income</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4.5%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tcPr>
          <w:p>
            <w:pPr>
              <w:spacing w:after="0" w:line="169" w:lineRule="exact"/>
              <w:rPr>
                <w:sz w:val="20"/>
                <w:szCs w:val="20"/>
                <w:color w:val="auto"/>
              </w:rPr>
            </w:pPr>
            <w:r>
              <w:rPr>
                <w:rFonts w:ascii="Arial" w:cs="Arial" w:eastAsia="Arial" w:hAnsi="Arial"/>
                <w:sz w:val="15"/>
                <w:szCs w:val="15"/>
                <w:color w:val="auto"/>
              </w:rPr>
              <w:t>Interest income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0.0%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w w:val="94"/>
              </w:rPr>
              <w:t>(0.5)%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Other income, net</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5"/>
                <w:szCs w:val="15"/>
                <w:color w:val="auto"/>
              </w:rPr>
              <w:t>0.1%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7"/>
        </w:trPr>
        <w:tc>
          <w:tcPr>
            <w:tcW w:w="5440" w:type="dxa"/>
            <w:vAlign w:val="bottom"/>
            <w:shd w:val="clear" w:color="auto" w:fill="CFF0FC"/>
          </w:tcPr>
          <w:p>
            <w:pPr>
              <w:spacing w:after="0"/>
              <w:rPr>
                <w:sz w:val="20"/>
                <w:szCs w:val="20"/>
                <w:color w:val="auto"/>
              </w:rPr>
            </w:pPr>
            <w:r>
              <w:rPr>
                <w:rFonts w:ascii="Arial" w:cs="Arial" w:eastAsia="Arial" w:hAnsi="Arial"/>
                <w:sz w:val="15"/>
                <w:szCs w:val="15"/>
                <w:color w:val="auto"/>
              </w:rPr>
              <w:t>(Interest and other expense) gain associated with claim on long-term contract</w:t>
            </w: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0.0%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tcPr>
          <w:p>
            <w:pPr>
              <w:ind w:left="220"/>
              <w:spacing w:after="0" w:line="169" w:lineRule="exact"/>
              <w:rPr>
                <w:sz w:val="20"/>
                <w:szCs w:val="20"/>
                <w:color w:val="auto"/>
              </w:rPr>
            </w:pPr>
            <w:r>
              <w:rPr>
                <w:rFonts w:ascii="Arial" w:cs="Arial" w:eastAsia="Arial" w:hAnsi="Arial"/>
                <w:sz w:val="15"/>
                <w:szCs w:val="15"/>
                <w:color w:val="auto"/>
              </w:rPr>
              <w:t>Total other income benefit (expense)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w w:val="94"/>
              </w:rPr>
              <w:t>(0.4)%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Income before income tax expense</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4.1%</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Income tax benefit (expense)</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w w:val="94"/>
              </w:rPr>
              <w:t>(1.1)%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3.0%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77"/>
        </w:trPr>
        <w:tc>
          <w:tcPr>
            <w:tcW w:w="544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5"/>
                <w:szCs w:val="15"/>
                <w:color w:val="auto"/>
                <w:w w:val="94"/>
              </w:rPr>
              <w:t>(0.5)%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3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2.5%</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i w:val="1"/>
                <w:iCs w:val="1"/>
                <w:color w:val="auto"/>
              </w:rPr>
              <w:t>Revenue</w:t>
            </w:r>
          </w:p>
        </w:tc>
        <w:tc>
          <w:tcPr>
            <w:tcW w:w="3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4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480"/>
              <w:spacing w:after="0"/>
              <w:rPr>
                <w:sz w:val="20"/>
                <w:szCs w:val="20"/>
                <w:color w:val="auto"/>
              </w:rPr>
            </w:pPr>
            <w:r>
              <w:rPr>
                <w:rFonts w:ascii="Arial" w:cs="Arial" w:eastAsia="Arial" w:hAnsi="Arial"/>
                <w:sz w:val="12"/>
                <w:szCs w:val="12"/>
                <w:b w:val="1"/>
                <w:bCs w:val="1"/>
                <w:color w:val="auto"/>
              </w:rPr>
              <w:t>Fiscal Year Ended</w:t>
            </w:r>
          </w:p>
        </w:tc>
        <w:tc>
          <w:tcPr>
            <w:tcW w:w="7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3"/>
          </w:tcPr>
          <w:p>
            <w:pPr>
              <w:ind w:left="140"/>
              <w:spacing w:after="0"/>
              <w:rPr>
                <w:sz w:val="20"/>
                <w:szCs w:val="20"/>
                <w:color w:val="auto"/>
              </w:rPr>
            </w:pPr>
            <w:r>
              <w:rPr>
                <w:rFonts w:ascii="Arial" w:cs="Arial" w:eastAsia="Arial" w:hAnsi="Arial"/>
                <w:sz w:val="12"/>
                <w:szCs w:val="12"/>
                <w:b w:val="1"/>
                <w:bCs w:val="1"/>
                <w:color w:val="auto"/>
              </w:rPr>
              <w:t>Variance</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4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38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3"/>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160"/>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660" w:type="dxa"/>
            <w:vAlign w:val="bottom"/>
            <w:gridSpan w:val="2"/>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3,918,946</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54"/>
              <w:spacing w:after="0" w:line="169" w:lineRule="exact"/>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480" w:type="dxa"/>
            <w:vAlign w:val="bottom"/>
            <w:gridSpan w:val="2"/>
            <w:shd w:val="clear" w:color="auto" w:fill="CFF0FC"/>
          </w:tcPr>
          <w:p>
            <w:pPr>
              <w:jc w:val="right"/>
              <w:ind w:right="101"/>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4"/>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(35,866)</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-0.9%</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right="120" w:firstLine="745"/>
        <w:spacing w:after="0" w:line="236" w:lineRule="auto"/>
        <w:rPr>
          <w:sz w:val="20"/>
          <w:szCs w:val="20"/>
          <w:color w:val="auto"/>
        </w:rPr>
      </w:pPr>
      <w:r>
        <w:rPr>
          <w:rFonts w:ascii="Arial" w:cs="Arial" w:eastAsia="Arial" w:hAnsi="Arial"/>
          <w:sz w:val="15"/>
          <w:szCs w:val="15"/>
          <w:color w:val="auto"/>
        </w:rPr>
        <w:t>Revenue for the year ended December 31, 2020 compared to the prior year decreased $35.9 million. This decrease was primarily due to a decrease in revenue in our Critical Infrastructure segment of $59.9 million partially offset by an increase in our Federal Solutions segment of $24.0 million. See “—Segment Results” below 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costs of contracts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Fiscal Year Ended</w:t>
            </w: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1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3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 of contracts</w:t>
            </w:r>
          </w:p>
        </w:tc>
        <w:tc>
          <w:tcPr>
            <w:tcW w:w="2440" w:type="dxa"/>
            <w:vAlign w:val="bottom"/>
            <w:gridSpan w:val="2"/>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3,042,087</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3,123,062</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(80,975)</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-2.6%</w:t>
            </w:r>
          </w:p>
        </w:tc>
      </w:tr>
    </w:tbl>
    <w:p>
      <w:pPr>
        <w:spacing w:after="0" w:line="88" w:lineRule="exact"/>
        <w:rPr>
          <w:sz w:val="20"/>
          <w:szCs w:val="20"/>
          <w:color w:val="auto"/>
        </w:rPr>
      </w:pPr>
    </w:p>
    <w:p>
      <w:pPr>
        <w:ind w:right="600" w:firstLine="745"/>
        <w:spacing w:after="0" w:line="239" w:lineRule="auto"/>
        <w:rPr>
          <w:sz w:val="20"/>
          <w:szCs w:val="20"/>
          <w:color w:val="auto"/>
        </w:rPr>
      </w:pPr>
      <w:r>
        <w:rPr>
          <w:rFonts w:ascii="Arial" w:cs="Arial" w:eastAsia="Arial" w:hAnsi="Arial"/>
          <w:sz w:val="15"/>
          <w:szCs w:val="15"/>
          <w:color w:val="auto"/>
        </w:rPr>
        <w:t>Direct cost of contracts decreased in 2020 primarily due to a decrease of $ 86.4 million in our Critical Infrastructure segment. The decrease was primarily attributable to decrease in business volume on contracts with significant pass-through costs and cost reductions.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Equity in earnings of unconsolidated joint ventures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7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2"/>
                <w:szCs w:val="12"/>
                <w:b w:val="1"/>
                <w:bCs w:val="1"/>
                <w:color w:val="auto"/>
              </w:rPr>
              <w:t>Fiscal Year Ended</w:t>
            </w:r>
          </w:p>
        </w:tc>
        <w:tc>
          <w:tcPr>
            <w:tcW w:w="6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rPr>
              <w:t>Variance</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570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20" w:type="dxa"/>
            <w:vAlign w:val="bottom"/>
            <w:tcBorders>
              <w:bottom w:val="single" w:sz="8" w:color="auto"/>
            </w:tcBorders>
            <w:gridSpan w:val="2"/>
          </w:tcPr>
          <w:p>
            <w:pPr>
              <w:jc w:val="right"/>
              <w:ind w:right="14"/>
              <w:spacing w:after="0" w:line="136" w:lineRule="exact"/>
              <w:rPr>
                <w:sz w:val="20"/>
                <w:szCs w:val="20"/>
                <w:color w:val="auto"/>
              </w:rPr>
            </w:pPr>
            <w:r>
              <w:rPr>
                <w:rFonts w:ascii="Arial" w:cs="Arial" w:eastAsia="Arial" w:hAnsi="Arial"/>
                <w:sz w:val="12"/>
                <w:szCs w:val="12"/>
                <w:b w:val="1"/>
                <w:bCs w:val="1"/>
                <w:color w:val="auto"/>
              </w:rPr>
              <w:t>December 31, 2020</w:t>
            </w:r>
          </w:p>
        </w:tc>
        <w:tc>
          <w:tcPr>
            <w:tcW w:w="2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r>
      <w:tr>
        <w:trPr>
          <w:trHeight w:val="168"/>
        </w:trPr>
        <w:tc>
          <w:tcPr>
            <w:tcW w:w="57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Equity in earnings of unconsolidated joint ventures</w:t>
            </w: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30,059</w:t>
            </w:r>
          </w:p>
        </w:tc>
        <w:tc>
          <w:tcPr>
            <w:tcW w:w="760" w:type="dxa"/>
            <w:vAlign w:val="bottom"/>
            <w:gridSpan w:val="2"/>
            <w:shd w:val="clear" w:color="auto" w:fill="CFF0FC"/>
          </w:tcPr>
          <w:p>
            <w:pPr>
              <w:jc w:val="right"/>
              <w:ind w:right="361"/>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41,721</w:t>
            </w:r>
          </w:p>
        </w:tc>
        <w:tc>
          <w:tcPr>
            <w:tcW w:w="5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(11,662)</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(28.0)%</w:t>
            </w:r>
          </w:p>
        </w:tc>
      </w:tr>
    </w:tbl>
    <w:p>
      <w:pPr>
        <w:spacing w:after="0" w:line="88" w:lineRule="exact"/>
        <w:rPr>
          <w:sz w:val="20"/>
          <w:szCs w:val="20"/>
          <w:color w:val="auto"/>
        </w:rPr>
      </w:pPr>
    </w:p>
    <w:p>
      <w:pPr>
        <w:ind w:right="180" w:firstLine="745"/>
        <w:spacing w:after="0" w:line="236" w:lineRule="auto"/>
        <w:rPr>
          <w:sz w:val="20"/>
          <w:szCs w:val="20"/>
          <w:color w:val="auto"/>
        </w:rPr>
      </w:pPr>
      <w:r>
        <w:rPr>
          <w:rFonts w:ascii="Arial" w:cs="Arial" w:eastAsia="Arial" w:hAnsi="Arial"/>
          <w:sz w:val="15"/>
          <w:szCs w:val="15"/>
          <w:color w:val="auto"/>
        </w:rPr>
        <w:t>Equity in earnings of unconsolidated joint ventures decreased in fiscal 2020 primarily due to a $15.5 million write-down on a project in the Critical Infrastructure segment during 2020, offset in part by increases associated with the timing of the completion of joint ventures and the starting of new joint ventures as part of ordinary course timing fluctuations in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76" w:right="319" w:bottom="1440" w:gutter="0" w:footer="0" w:header="0"/>
        </w:sectPr>
      </w:pPr>
    </w:p>
    <w:bookmarkStart w:id="68" w:name="page69"/>
    <w:bookmarkEnd w:id="68"/>
    <w:p>
      <w:pPr>
        <w:spacing w:after="0"/>
        <w:rPr>
          <w:sz w:val="20"/>
          <w:szCs w:val="20"/>
          <w:color w:val="auto"/>
        </w:rPr>
      </w:pPr>
      <w:r>
        <w:rPr>
          <w:rFonts w:ascii="Arial" w:cs="Arial" w:eastAsia="Arial" w:hAnsi="Arial"/>
          <w:sz w:val="15"/>
          <w:szCs w:val="15"/>
          <w:i w:val="1"/>
          <w:iCs w:val="1"/>
          <w:color w:val="auto"/>
        </w:rPr>
        <w:t>Indirect, 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2"/>
                <w:szCs w:val="12"/>
                <w:b w:val="1"/>
                <w:bCs w:val="1"/>
                <w:color w:val="auto"/>
              </w:rPr>
              <w:t>Fiscal Year Ended</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440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2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4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Indirect, general and administrative expenses</w:t>
            </w:r>
          </w:p>
        </w:tc>
        <w:tc>
          <w:tcPr>
            <w:tcW w:w="17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729,103</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34"/>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781,408</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(52,305)</w:t>
            </w: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-6.7%</w:t>
            </w:r>
          </w:p>
        </w:tc>
      </w:tr>
    </w:tbl>
    <w:p>
      <w:pPr>
        <w:spacing w:after="0" w:line="88" w:lineRule="exact"/>
        <w:rPr>
          <w:sz w:val="20"/>
          <w:szCs w:val="20"/>
          <w:color w:val="auto"/>
        </w:rPr>
      </w:pPr>
    </w:p>
    <w:p>
      <w:pPr>
        <w:jc w:val="both"/>
        <w:ind w:right="20" w:firstLine="745"/>
        <w:spacing w:after="0" w:line="264" w:lineRule="auto"/>
        <w:rPr>
          <w:sz w:val="20"/>
          <w:szCs w:val="20"/>
          <w:color w:val="auto"/>
        </w:rPr>
      </w:pPr>
      <w:r>
        <w:rPr>
          <w:rFonts w:ascii="Arial" w:cs="Arial" w:eastAsia="Arial" w:hAnsi="Arial"/>
          <w:sz w:val="14"/>
          <w:szCs w:val="14"/>
          <w:color w:val="auto"/>
        </w:rPr>
        <w:t>The decrease in IG&amp;A expenses for the years ended December 31, 2020 as compared to December 31, 2019 relates primarily to a decline in compensation cost associated with equity-based awards that settle primarily in cash. The compensation cost associated with these awards totaled $9.8 million during the year ended December</w:t>
      </w:r>
    </w:p>
    <w:p>
      <w:pPr>
        <w:ind w:right="180"/>
        <w:spacing w:after="0" w:line="289" w:lineRule="auto"/>
        <w:rPr>
          <w:sz w:val="20"/>
          <w:szCs w:val="20"/>
          <w:color w:val="auto"/>
        </w:rPr>
      </w:pPr>
      <w:r>
        <w:rPr>
          <w:rFonts w:ascii="Arial" w:cs="Arial" w:eastAsia="Arial" w:hAnsi="Arial"/>
          <w:sz w:val="14"/>
          <w:szCs w:val="14"/>
          <w:color w:val="auto"/>
        </w:rPr>
        <w:t>31, 2020 as compared to $65.7 million for the year ended December 31, 2019. Cash settled awards are remeasured to an updated fair value at each reporting period until the award is settled. Compensation cost is trued-up at each reporting period for changes in fair value pro-rated for the portion of the requisite service period rendered.</w:t>
      </w:r>
    </w:p>
    <w:p>
      <w:pPr>
        <w:spacing w:after="0" w:line="44" w:lineRule="exact"/>
        <w:rPr>
          <w:sz w:val="20"/>
          <w:szCs w:val="20"/>
          <w:color w:val="auto"/>
        </w:rPr>
      </w:pPr>
    </w:p>
    <w:p>
      <w:pPr>
        <w:ind w:right="40" w:firstLine="745"/>
        <w:spacing w:after="0" w:line="247" w:lineRule="auto"/>
        <w:rPr>
          <w:sz w:val="20"/>
          <w:szCs w:val="20"/>
          <w:color w:val="auto"/>
        </w:rPr>
      </w:pPr>
      <w:r>
        <w:rPr>
          <w:rFonts w:ascii="Arial" w:cs="Arial" w:eastAsia="Arial" w:hAnsi="Arial"/>
          <w:sz w:val="14"/>
          <w:szCs w:val="14"/>
          <w:color w:val="auto"/>
        </w:rPr>
        <w:t>The significant decrease in compensation cost related to these cash settled equity-based awards for the year ended December 31, 2020 compared to December 31, 2019 is due primarily to lower share prices over the last 60 trading days of 2020 as compared to the comparable period in 2019, as well as the higher grant price of active awards in 2020. The substantial compensation cost for the year ended December 31, 2019 was due to the significant difference in the fair value of a share of our common stock under Parsons ESOP valuation at December 31, 2018 compared to the fair value of a share of our common stock in the public market at December 31,</w:t>
      </w:r>
    </w:p>
    <w:p>
      <w:pPr>
        <w:spacing w:after="0" w:line="2" w:lineRule="exact"/>
        <w:rPr>
          <w:sz w:val="20"/>
          <w:szCs w:val="20"/>
          <w:color w:val="auto"/>
        </w:rPr>
      </w:pPr>
    </w:p>
    <w:p>
      <w:pPr>
        <w:ind w:right="80"/>
        <w:spacing w:after="0" w:line="234" w:lineRule="auto"/>
        <w:rPr>
          <w:sz w:val="20"/>
          <w:szCs w:val="20"/>
          <w:color w:val="auto"/>
        </w:rPr>
      </w:pPr>
      <w:r>
        <w:rPr>
          <w:rFonts w:ascii="Arial" w:cs="Arial" w:eastAsia="Arial" w:hAnsi="Arial"/>
          <w:sz w:val="15"/>
          <w:szCs w:val="15"/>
          <w:color w:val="auto"/>
        </w:rPr>
        <w:t>2019. See Item 5 of Part II for ranges in the share price of our common stock since the consummation of the IPO and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in the notes to our consolidated financial statements included elsewhere in this Annual Report on Form 10-K for a description of how the ESOP share value was determined. See “Note 1—</w:t>
      </w:r>
      <w:r>
        <w:rPr>
          <w:rFonts w:ascii="Arial" w:cs="Arial" w:eastAsia="Arial" w:hAnsi="Arial"/>
          <w:sz w:val="15"/>
          <w:szCs w:val="15"/>
          <w:i w:val="1"/>
          <w:iCs w:val="1"/>
          <w:color w:val="auto"/>
        </w:rPr>
        <w:t>Description of Operations</w:t>
      </w:r>
      <w:r>
        <w:rPr>
          <w:rFonts w:ascii="Arial" w:cs="Arial" w:eastAsia="Arial" w:hAnsi="Arial"/>
          <w:sz w:val="15"/>
          <w:szCs w:val="15"/>
          <w:color w:val="auto"/>
        </w:rPr>
        <w:t>” in the notes to our consolidated financial statements included elsewhere in this Annual Report on Form 10-K for more detail regarding our IPO. The plans in which these awards were granted have been frozen and the Company does not currently intend to grant any further cash settled equity-based awards.</w:t>
      </w:r>
    </w:p>
    <w:p>
      <w:pPr>
        <w:spacing w:after="0" w:line="79" w:lineRule="exact"/>
        <w:rPr>
          <w:sz w:val="20"/>
          <w:szCs w:val="20"/>
          <w:color w:val="auto"/>
        </w:rPr>
      </w:pPr>
    </w:p>
    <w:p>
      <w:pPr>
        <w:ind w:right="400" w:firstLine="745"/>
        <w:spacing w:after="0" w:line="239" w:lineRule="auto"/>
        <w:rPr>
          <w:sz w:val="20"/>
          <w:szCs w:val="20"/>
          <w:color w:val="auto"/>
        </w:rPr>
      </w:pPr>
      <w:r>
        <w:rPr>
          <w:rFonts w:ascii="Arial" w:cs="Arial" w:eastAsia="Arial" w:hAnsi="Arial"/>
          <w:sz w:val="15"/>
          <w:szCs w:val="15"/>
          <w:color w:val="auto"/>
        </w:rPr>
        <w:t>Excluding the compensation costs discussed above, IG&amp;A for the years ended December 31, 2020 and December 31, 2019 was $719.3 million and $715.7 million, respectively.</w:t>
      </w:r>
    </w:p>
    <w:p>
      <w:pPr>
        <w:spacing w:after="0" w:line="78" w:lineRule="exact"/>
        <w:rPr>
          <w:sz w:val="20"/>
          <w:szCs w:val="20"/>
          <w:color w:val="auto"/>
        </w:rPr>
      </w:pPr>
    </w:p>
    <w:p>
      <w:pPr>
        <w:ind w:right="120" w:firstLine="745"/>
        <w:spacing w:after="0" w:line="235" w:lineRule="auto"/>
        <w:rPr>
          <w:sz w:val="20"/>
          <w:szCs w:val="20"/>
          <w:color w:val="auto"/>
        </w:rPr>
      </w:pPr>
      <w:r>
        <w:rPr>
          <w:rFonts w:ascii="Arial" w:cs="Arial" w:eastAsia="Arial" w:hAnsi="Arial"/>
          <w:sz w:val="15"/>
          <w:szCs w:val="15"/>
          <w:color w:val="auto"/>
        </w:rPr>
        <w:t>The increase in IG&amp;A of $ 3.6 million, exclusive of equity compensation cost, was primarily due to additional expenses of $ 23.8 million associated with business acquisitions, $3.9 million due to a tax law change and $5.0 million related to strategic growth initiatives and public company operating costs. These increases were partially offset by a $18.4 million reduction in transaction-related costs related primarily to our initial public offering in 2019, and a $10.1 million reduction in intangible asset amortization.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Total other (expense) income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5"/>
          </w:tcPr>
          <w:p>
            <w:pPr>
              <w:jc w:val="right"/>
              <w:ind w:right="949"/>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340"/>
              <w:spacing w:after="0"/>
              <w:rPr>
                <w:sz w:val="20"/>
                <w:szCs w:val="20"/>
                <w:color w:val="auto"/>
              </w:rPr>
            </w:pPr>
            <w:r>
              <w:rPr>
                <w:rFonts w:ascii="Arial" w:cs="Arial" w:eastAsia="Arial" w:hAnsi="Arial"/>
                <w:sz w:val="12"/>
                <w:szCs w:val="12"/>
                <w:b w:val="1"/>
                <w:bCs w:val="1"/>
                <w:color w:val="auto"/>
              </w:rPr>
              <w:t>Variance</w:t>
            </w:r>
          </w:p>
        </w:tc>
        <w:tc>
          <w:tcPr>
            <w:tcW w:w="1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4740" w:type="dxa"/>
            <w:vAlign w:val="bottom"/>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1"/>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Pr>
          <w:p>
            <w:pPr>
              <w:spacing w:after="0"/>
              <w:rPr>
                <w:sz w:val="11"/>
                <w:szCs w:val="11"/>
                <w:color w:val="auto"/>
              </w:rPr>
            </w:pPr>
          </w:p>
        </w:tc>
        <w:tc>
          <w:tcPr>
            <w:tcW w:w="940" w:type="dxa"/>
            <w:vAlign w:val="bottom"/>
            <w:tcBorders>
              <w:bottom w:val="single" w:sz="8" w:color="auto"/>
            </w:tcBorders>
          </w:tcPr>
          <w:p>
            <w:pPr>
              <w:jc w:val="right"/>
              <w:ind w:right="11"/>
              <w:spacing w:after="0" w:line="136" w:lineRule="exact"/>
              <w:rPr>
                <w:sz w:val="20"/>
                <w:szCs w:val="20"/>
                <w:color w:val="auto"/>
              </w:rPr>
            </w:pPr>
            <w:r>
              <w:rPr>
                <w:rFonts w:ascii="Arial" w:cs="Arial" w:eastAsia="Arial" w:hAnsi="Arial"/>
                <w:sz w:val="12"/>
                <w:szCs w:val="12"/>
                <w:b w:val="1"/>
                <w:bCs w:val="1"/>
                <w:color w:val="auto"/>
              </w:rPr>
              <w:t>Dollar</w:t>
            </w:r>
          </w:p>
        </w:tc>
        <w:tc>
          <w:tcPr>
            <w:tcW w:w="4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18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Pr>
          <w:p>
            <w:pPr>
              <w:spacing w:after="0"/>
              <w:rPr>
                <w:sz w:val="11"/>
                <w:szCs w:val="11"/>
                <w:color w:val="auto"/>
              </w:rPr>
            </w:pPr>
          </w:p>
        </w:tc>
      </w:tr>
      <w:tr>
        <w:trPr>
          <w:trHeight w:val="168"/>
        </w:trPr>
        <w:tc>
          <w:tcPr>
            <w:tcW w:w="4740" w:type="dxa"/>
            <w:vAlign w:val="bottom"/>
          </w:tcPr>
          <w:p>
            <w:pPr>
              <w:ind w:left="22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787</w:t>
            </w:r>
          </w:p>
        </w:tc>
        <w:tc>
          <w:tcPr>
            <w:tcW w:w="160" w:type="dxa"/>
            <w:vAlign w:val="bottom"/>
          </w:tcPr>
          <w:p>
            <w:pPr>
              <w:spacing w:after="0"/>
              <w:rPr>
                <w:sz w:val="14"/>
                <w:szCs w:val="14"/>
                <w:color w:val="auto"/>
              </w:rPr>
            </w:pPr>
          </w:p>
        </w:tc>
        <w:tc>
          <w:tcPr>
            <w:tcW w:w="2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1,300</w:t>
            </w:r>
          </w:p>
        </w:tc>
        <w:tc>
          <w:tcPr>
            <w:tcW w:w="260" w:type="dxa"/>
            <w:vAlign w:val="bottom"/>
          </w:tcPr>
          <w:p>
            <w:pPr>
              <w:spacing w:after="0"/>
              <w:rPr>
                <w:sz w:val="14"/>
                <w:szCs w:val="14"/>
                <w:color w:val="auto"/>
              </w:rPr>
            </w:pPr>
          </w:p>
        </w:tc>
        <w:tc>
          <w:tcPr>
            <w:tcW w:w="940" w:type="dxa"/>
            <w:vAlign w:val="bottom"/>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(513)</w:t>
            </w:r>
          </w:p>
        </w:tc>
        <w:tc>
          <w:tcPr>
            <w:tcW w:w="280" w:type="dxa"/>
            <w:vAlign w:val="bottom"/>
          </w:tcPr>
          <w:p>
            <w:pPr>
              <w:spacing w:after="0"/>
              <w:rPr>
                <w:sz w:val="14"/>
                <w:szCs w:val="14"/>
                <w:color w:val="auto"/>
              </w:rPr>
            </w:pPr>
          </w:p>
        </w:tc>
        <w:tc>
          <w:tcPr>
            <w:tcW w:w="1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(39.5)%</w:t>
            </w:r>
          </w:p>
        </w:tc>
      </w:tr>
      <w:tr>
        <w:trPr>
          <w:trHeight w:val="177"/>
        </w:trPr>
        <w:tc>
          <w:tcPr>
            <w:tcW w:w="47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(20,956)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(23,729)</w:t>
            </w:r>
          </w:p>
        </w:tc>
        <w:tc>
          <w:tcPr>
            <w:tcW w:w="94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2,773</w:t>
            </w: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11.7%</w:t>
            </w:r>
          </w:p>
        </w:tc>
      </w:tr>
      <w:tr>
        <w:trPr>
          <w:trHeight w:val="177"/>
        </w:trPr>
        <w:tc>
          <w:tcPr>
            <w:tcW w:w="4740" w:type="dxa"/>
            <w:vAlign w:val="bottom"/>
          </w:tcPr>
          <w:p>
            <w:pPr>
              <w:ind w:left="220"/>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5"/>
                <w:szCs w:val="15"/>
                <w:color w:val="auto"/>
              </w:rPr>
              <w:t>(2,392)</w:t>
            </w: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6,159</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(257.5)%</w:t>
            </w:r>
          </w:p>
        </w:tc>
      </w:tr>
      <w:tr>
        <w:trPr>
          <w:trHeight w:val="20"/>
        </w:trPr>
        <w:tc>
          <w:tcPr>
            <w:tcW w:w="47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r>
      <w:tr>
        <w:trPr>
          <w:trHeight w:val="168"/>
        </w:trPr>
        <w:tc>
          <w:tcPr>
            <w:tcW w:w="474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other income (expense)</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(16,402)</w:t>
            </w:r>
          </w:p>
        </w:tc>
        <w:tc>
          <w:tcPr>
            <w:tcW w:w="24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5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(24,821)</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8,419</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(33.9)%</w:t>
            </w: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r>
    </w:tbl>
    <w:p>
      <w:pPr>
        <w:spacing w:after="0" w:line="88" w:lineRule="exact"/>
        <w:rPr>
          <w:sz w:val="20"/>
          <w:szCs w:val="20"/>
          <w:color w:val="auto"/>
        </w:rPr>
      </w:pPr>
    </w:p>
    <w:p>
      <w:pPr>
        <w:ind w:right="100" w:firstLine="745"/>
        <w:spacing w:after="0" w:line="239" w:lineRule="auto"/>
        <w:rPr>
          <w:sz w:val="20"/>
          <w:szCs w:val="20"/>
          <w:color w:val="auto"/>
        </w:rPr>
      </w:pPr>
      <w:r>
        <w:rPr>
          <w:rFonts w:ascii="Arial" w:cs="Arial" w:eastAsia="Arial" w:hAnsi="Arial"/>
          <w:sz w:val="15"/>
          <w:szCs w:val="15"/>
          <w:color w:val="auto"/>
        </w:rPr>
        <w:t>Interest expense decreased in 2020 primarily due a decrease in interest rates year-over-year. The amounts in other income (expense), net, are primarily related to transaction gains and losses on foreign currency transactions and sublease income.</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77" w:right="3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3"/>
        </w:trPr>
        <w:tc>
          <w:tcPr>
            <w:tcW w:w="38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2"/>
                <w:szCs w:val="12"/>
                <w:b w:val="1"/>
                <w:bCs w:val="1"/>
                <w:color w:val="auto"/>
              </w:rPr>
              <w:t>Fiscal Year Ended</w:t>
            </w:r>
          </w:p>
        </w:tc>
        <w:tc>
          <w:tcPr>
            <w:tcW w:w="6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8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9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2020</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rPr>
              <w:t>December 31, 2019</w:t>
            </w:r>
          </w:p>
        </w:tc>
        <w:tc>
          <w:tcPr>
            <w:tcW w:w="14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38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Income tax expense (benefit)</w:t>
            </w:r>
          </w:p>
        </w:tc>
        <w:tc>
          <w:tcPr>
            <w:tcW w:w="2320" w:type="dxa"/>
            <w:vAlign w:val="bottom"/>
            <w:gridSpan w:val="2"/>
            <w:shd w:val="clear" w:color="auto" w:fill="CFF0FC"/>
          </w:tcPr>
          <w:p>
            <w:pPr>
              <w:jc w:val="right"/>
              <w:ind w:right="241"/>
              <w:spacing w:after="0" w:line="169"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42,492</w:t>
            </w:r>
          </w:p>
        </w:tc>
        <w:tc>
          <w:tcPr>
            <w:tcW w:w="26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354"/>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(69,886)</w:t>
            </w:r>
          </w:p>
        </w:tc>
        <w:tc>
          <w:tcPr>
            <w:tcW w:w="34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112,378</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160.8%</w:t>
            </w:r>
          </w:p>
        </w:tc>
      </w:tr>
    </w:tbl>
    <w:p>
      <w:pPr>
        <w:spacing w:after="0" w:line="177" w:lineRule="exact"/>
        <w:rPr>
          <w:sz w:val="20"/>
          <w:szCs w:val="20"/>
          <w:color w:val="auto"/>
        </w:rPr>
      </w:pPr>
    </w:p>
    <w:p>
      <w:pPr>
        <w:ind w:right="160" w:firstLine="737"/>
        <w:spacing w:after="0" w:line="239" w:lineRule="auto"/>
        <w:rPr>
          <w:sz w:val="20"/>
          <w:szCs w:val="20"/>
          <w:color w:val="auto"/>
        </w:rPr>
      </w:pPr>
      <w:r>
        <w:rPr>
          <w:rFonts w:ascii="Arial" w:cs="Arial" w:eastAsia="Arial" w:hAnsi="Arial"/>
          <w:sz w:val="15"/>
          <w:szCs w:val="15"/>
          <w:color w:val="auto"/>
        </w:rPr>
        <w:t>Income tax expense increased in fiscal 2020 primarily due to the nonrecurring tax items included in 2019 for tax benefits associated with the remeasurement of our net deferred tax assets as a result of our conversion from “S” Corporation to a “C” Corporation.</w:t>
      </w:r>
    </w:p>
    <w:p>
      <w:pPr>
        <w:spacing w:after="0" w:line="166" w:lineRule="exact"/>
        <w:rPr>
          <w:sz w:val="20"/>
          <w:szCs w:val="20"/>
          <w:color w:val="auto"/>
        </w:rPr>
      </w:pPr>
    </w:p>
    <w:p>
      <w:pPr>
        <w:ind w:firstLine="737"/>
        <w:spacing w:after="0" w:line="251" w:lineRule="auto"/>
        <w:rPr>
          <w:sz w:val="20"/>
          <w:szCs w:val="20"/>
          <w:color w:val="auto"/>
        </w:rPr>
      </w:pPr>
      <w:r>
        <w:rPr>
          <w:rFonts w:ascii="Arial" w:cs="Arial" w:eastAsia="Arial" w:hAnsi="Arial"/>
          <w:sz w:val="14"/>
          <w:szCs w:val="14"/>
          <w:color w:val="auto"/>
        </w:rPr>
        <w:t>Our effective tax rate was 26.3% and income tax expense was $42.5 million for the year ended December 31, 2020. As described in “Note 14 – Income Taxes,” in the notes to our consolidated financial statements included elsewhere in this Annual Report on Form 10-K, in connection with our IPO on May 8, 2019, we converted from an “S” Corporation to a “C” Corporation. On a pro forma basis, if we had been taxed as a “C” Corporation for the year ended December 31, 2019, the pro forma effective tax rate would have been 36.9%, and our pro forma income tax expense would have been $24.8 million. The most significant items contributing to the change in the effective tax rate relates to a change in jurisdictional earnings, federal research tax credits and a nonrecurring item included in 2019 associated with equity compensation. The difference between the statutory U.S. federal income tax rate of 21% and the effective tax rate for the year ended December 31, 2020 primarily relates to state income taxes and a recorded valuation allowance on foreign tax credits, partially offset by benefits related to income attributable to noncontrolling interest and federal research tax credits.</w:t>
      </w:r>
    </w:p>
    <w:p>
      <w:pPr>
        <w:spacing w:after="0" w:line="162" w:lineRule="exact"/>
        <w:rPr>
          <w:sz w:val="20"/>
          <w:szCs w:val="20"/>
          <w:color w:val="auto"/>
        </w:rPr>
      </w:pPr>
    </w:p>
    <w:p>
      <w:pPr>
        <w:ind w:right="80" w:firstLine="737"/>
        <w:spacing w:after="0" w:line="234" w:lineRule="auto"/>
        <w:rPr>
          <w:sz w:val="20"/>
          <w:szCs w:val="20"/>
          <w:color w:val="auto"/>
        </w:rPr>
      </w:pPr>
      <w:r>
        <w:rPr>
          <w:rFonts w:ascii="Arial" w:cs="Arial" w:eastAsia="Arial" w:hAnsi="Arial"/>
          <w:sz w:val="15"/>
          <w:szCs w:val="15"/>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At December 31, 2019, the Company had recorded a deferred tax benefit of $93.9 million for the estimated effect of the change in tax status, relating to the recognition of net deferred tax assets for temporary differences in existence on the date of conversion to a “C” Corporation. This estimated amount was adjusted to $90.0 million upon filing of the 2019 tax returns. This adjustment is included in income tax expense for the year ended December 31, 2020.</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 sets forth our results of operations for 2019 and 2018 as a percentage of 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560" w:type="dxa"/>
            <w:vAlign w:val="bottom"/>
            <w:tcBorders>
              <w:bottom w:val="single" w:sz="8" w:color="auto"/>
            </w:tcBorders>
            <w:gridSpan w:val="3"/>
          </w:tcPr>
          <w:p>
            <w:pPr>
              <w:ind w:left="1260"/>
              <w:spacing w:after="0"/>
              <w:rPr>
                <w:sz w:val="20"/>
                <w:szCs w:val="20"/>
                <w:color w:val="auto"/>
              </w:rPr>
            </w:pPr>
            <w:r>
              <w:rPr>
                <w:rFonts w:ascii="Arial" w:cs="Arial" w:eastAsia="Arial" w:hAnsi="Arial"/>
                <w:sz w:val="12"/>
                <w:szCs w:val="12"/>
                <w:b w:val="1"/>
                <w:bCs w:val="1"/>
                <w:color w:val="auto"/>
              </w:rPr>
              <w:t>Fiscal Year Ended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300" w:type="dxa"/>
            <w:vAlign w:val="bottom"/>
            <w:tcBorders>
              <w:bottom w:val="single" w:sz="8" w:color="CFF0FC"/>
            </w:tcBorders>
          </w:tcPr>
          <w:p>
            <w:pPr>
              <w:spacing w:after="0"/>
              <w:rPr>
                <w:sz w:val="11"/>
                <w:szCs w:val="11"/>
                <w:color w:val="auto"/>
              </w:rPr>
            </w:pPr>
          </w:p>
        </w:tc>
        <w:tc>
          <w:tcPr>
            <w:tcW w:w="2220" w:type="dxa"/>
            <w:vAlign w:val="bottom"/>
            <w:tcBorders>
              <w:bottom w:val="single" w:sz="8" w:color="CFF0FC"/>
            </w:tcBorders>
          </w:tcPr>
          <w:p>
            <w:pPr>
              <w:spacing w:after="0"/>
              <w:rPr>
                <w:sz w:val="11"/>
                <w:szCs w:val="11"/>
                <w:color w:val="auto"/>
              </w:rPr>
            </w:pPr>
          </w:p>
        </w:tc>
        <w:tc>
          <w:tcPr>
            <w:tcW w:w="1580" w:type="dxa"/>
            <w:vAlign w:val="bottom"/>
            <w:tcBorders>
              <w:bottom w:val="single" w:sz="8" w:color="auto"/>
            </w:tcBorders>
          </w:tcPr>
          <w:p>
            <w:pPr>
              <w:ind w:left="260"/>
              <w:spacing w:after="0" w:line="136" w:lineRule="exact"/>
              <w:rPr>
                <w:sz w:val="20"/>
                <w:szCs w:val="20"/>
                <w:color w:val="auto"/>
              </w:rPr>
            </w:pPr>
            <w:r>
              <w:rPr>
                <w:rFonts w:ascii="Arial" w:cs="Arial" w:eastAsia="Arial" w:hAnsi="Arial"/>
                <w:sz w:val="12"/>
                <w:szCs w:val="12"/>
                <w:b w:val="1"/>
                <w:bCs w:val="1"/>
                <w:color w:val="auto"/>
              </w:rPr>
              <w:t>December 31, 2019</w:t>
            </w:r>
          </w:p>
        </w:tc>
        <w:tc>
          <w:tcPr>
            <w:tcW w:w="380" w:type="dxa"/>
            <w:vAlign w:val="bottom"/>
            <w:tcBorders>
              <w:bottom w:val="single" w:sz="8" w:color="CFF0FC"/>
            </w:tcBorders>
          </w:tcPr>
          <w:p>
            <w:pPr>
              <w:spacing w:after="0"/>
              <w:rPr>
                <w:sz w:val="11"/>
                <w:szCs w:val="11"/>
                <w:color w:val="auto"/>
              </w:rPr>
            </w:pPr>
          </w:p>
        </w:tc>
        <w:tc>
          <w:tcPr>
            <w:tcW w:w="1600" w:type="dxa"/>
            <w:vAlign w:val="bottom"/>
            <w:tcBorders>
              <w:bottom w:val="single" w:sz="8" w:color="auto"/>
            </w:tcBorders>
          </w:tcPr>
          <w:p>
            <w:pPr>
              <w:ind w:left="260"/>
              <w:spacing w:after="0" w:line="136" w:lineRule="exact"/>
              <w:rPr>
                <w:sz w:val="20"/>
                <w:szCs w:val="20"/>
                <w:color w:val="auto"/>
              </w:rPr>
            </w:pPr>
            <w:r>
              <w:rPr>
                <w:rFonts w:ascii="Arial" w:cs="Arial" w:eastAsia="Arial" w:hAnsi="Arial"/>
                <w:sz w:val="12"/>
                <w:szCs w:val="12"/>
                <w:b w:val="1"/>
                <w:bCs w:val="1"/>
                <w:color w:val="auto"/>
              </w:rPr>
              <w:t>December 31, 2018</w:t>
            </w:r>
          </w:p>
        </w:tc>
        <w:tc>
          <w:tcPr>
            <w:tcW w:w="2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53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Revenues</w:t>
            </w:r>
          </w:p>
        </w:tc>
        <w:tc>
          <w:tcPr>
            <w:tcW w:w="4180" w:type="dxa"/>
            <w:vAlign w:val="bottom"/>
            <w:gridSpan w:val="3"/>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100.0%</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100.0%</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5"/>
                <w:szCs w:val="15"/>
                <w:color w:val="auto"/>
              </w:rPr>
              <w:t>Direct costs of contracts</w:t>
            </w:r>
          </w:p>
        </w:tc>
        <w:tc>
          <w:tcPr>
            <w:tcW w:w="4180" w:type="dxa"/>
            <w:vAlign w:val="bottom"/>
            <w:gridSpan w:val="3"/>
          </w:tcPr>
          <w:p>
            <w:pPr>
              <w:jc w:val="right"/>
              <w:ind w:right="240"/>
              <w:spacing w:after="0"/>
              <w:rPr>
                <w:sz w:val="20"/>
                <w:szCs w:val="20"/>
                <w:color w:val="auto"/>
              </w:rPr>
            </w:pPr>
            <w:r>
              <w:rPr>
                <w:rFonts w:ascii="Arial" w:cs="Arial" w:eastAsia="Arial" w:hAnsi="Arial"/>
                <w:sz w:val="15"/>
                <w:szCs w:val="15"/>
                <w:color w:val="auto"/>
              </w:rPr>
              <w:t>79.0%</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78.5%</w:t>
            </w:r>
          </w:p>
        </w:tc>
        <w:tc>
          <w:tcPr>
            <w:tcW w:w="0" w:type="dxa"/>
            <w:vAlign w:val="bottom"/>
          </w:tcPr>
          <w:p>
            <w:pPr>
              <w:spacing w:after="0"/>
              <w:rPr>
                <w:sz w:val="1"/>
                <w:szCs w:val="1"/>
                <w:color w:val="auto"/>
              </w:rPr>
            </w:pPr>
          </w:p>
        </w:tc>
      </w:tr>
      <w:tr>
        <w:trPr>
          <w:trHeight w:val="177"/>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Equity in earnings of unconsolidated joint ventures</w:t>
            </w:r>
          </w:p>
        </w:tc>
        <w:tc>
          <w:tcPr>
            <w:tcW w:w="4180" w:type="dxa"/>
            <w:vAlign w:val="bottom"/>
            <w:gridSpan w:val="3"/>
            <w:shd w:val="clear" w:color="auto" w:fill="CFF0FC"/>
          </w:tcPr>
          <w:p>
            <w:pPr>
              <w:jc w:val="right"/>
              <w:ind w:right="240"/>
              <w:spacing w:after="0"/>
              <w:rPr>
                <w:sz w:val="20"/>
                <w:szCs w:val="20"/>
                <w:color w:val="auto"/>
              </w:rPr>
            </w:pPr>
            <w:r>
              <w:rPr>
                <w:rFonts w:ascii="Arial" w:cs="Arial" w:eastAsia="Arial" w:hAnsi="Arial"/>
                <w:sz w:val="15"/>
                <w:szCs w:val="15"/>
                <w:color w:val="auto"/>
              </w:rPr>
              <w:t>1.1%</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5"/>
                <w:szCs w:val="15"/>
                <w:color w:val="auto"/>
              </w:rPr>
              <w:t>Indirect, general and administrative expenses</w:t>
            </w:r>
          </w:p>
        </w:tc>
        <w:tc>
          <w:tcPr>
            <w:tcW w:w="2220" w:type="dxa"/>
            <w:vAlign w:val="bottom"/>
          </w:tcPr>
          <w:p>
            <w:pPr>
              <w:spacing w:after="0"/>
              <w:rPr>
                <w:sz w:val="15"/>
                <w:szCs w:val="15"/>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5"/>
                <w:szCs w:val="15"/>
                <w:color w:val="auto"/>
              </w:rPr>
              <w:t>19.8%</w:t>
            </w:r>
          </w:p>
        </w:tc>
        <w:tc>
          <w:tcPr>
            <w:tcW w:w="1800" w:type="dxa"/>
            <w:vAlign w:val="bottom"/>
            <w:gridSpan w:val="2"/>
          </w:tcPr>
          <w:p>
            <w:pPr>
              <w:jc w:val="right"/>
              <w:ind w:right="60"/>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Operating income</w:t>
            </w:r>
          </w:p>
        </w:tc>
        <w:tc>
          <w:tcPr>
            <w:tcW w:w="222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2.3%</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tcPr>
          <w:p>
            <w:pPr>
              <w:spacing w:after="0" w:line="169" w:lineRule="exact"/>
              <w:rPr>
                <w:sz w:val="20"/>
                <w:szCs w:val="20"/>
                <w:color w:val="auto"/>
              </w:rPr>
            </w:pPr>
            <w:r>
              <w:rPr>
                <w:rFonts w:ascii="Arial" w:cs="Arial" w:eastAsia="Arial" w:hAnsi="Arial"/>
                <w:sz w:val="15"/>
                <w:szCs w:val="15"/>
                <w:color w:val="auto"/>
              </w:rPr>
              <w:t>Interest income</w:t>
            </w:r>
          </w:p>
        </w:tc>
        <w:tc>
          <w:tcPr>
            <w:tcW w:w="2220" w:type="dxa"/>
            <w:vAlign w:val="bottom"/>
          </w:tcPr>
          <w:p>
            <w:pPr>
              <w:spacing w:after="0"/>
              <w:rPr>
                <w:sz w:val="14"/>
                <w:szCs w:val="14"/>
                <w:color w:val="auto"/>
              </w:rPr>
            </w:pPr>
          </w:p>
        </w:tc>
        <w:tc>
          <w:tcPr>
            <w:tcW w:w="1960" w:type="dxa"/>
            <w:vAlign w:val="bottom"/>
            <w:gridSpan w:val="2"/>
          </w:tcPr>
          <w:p>
            <w:pPr>
              <w:jc w:val="right"/>
              <w:ind w:right="240"/>
              <w:spacing w:after="0" w:line="169" w:lineRule="exact"/>
              <w:rPr>
                <w:sz w:val="20"/>
                <w:szCs w:val="20"/>
                <w:color w:val="auto"/>
              </w:rPr>
            </w:pPr>
            <w:r>
              <w:rPr>
                <w:rFonts w:ascii="Arial" w:cs="Arial" w:eastAsia="Arial" w:hAnsi="Arial"/>
                <w:sz w:val="15"/>
                <w:szCs w:val="15"/>
                <w:color w:val="auto"/>
              </w:rPr>
              <w:t>0.0%</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77"/>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w:t>
            </w:r>
          </w:p>
        </w:tc>
        <w:tc>
          <w:tcPr>
            <w:tcW w:w="4180" w:type="dxa"/>
            <w:vAlign w:val="bottom"/>
            <w:gridSpan w:val="3"/>
            <w:shd w:val="clear" w:color="auto" w:fill="CFF0FC"/>
          </w:tcPr>
          <w:p>
            <w:pPr>
              <w:jc w:val="right"/>
              <w:ind w:right="200"/>
              <w:spacing w:after="0"/>
              <w:rPr>
                <w:sz w:val="20"/>
                <w:szCs w:val="20"/>
                <w:color w:val="auto"/>
              </w:rPr>
            </w:pPr>
            <w:r>
              <w:rPr>
                <w:rFonts w:ascii="Arial" w:cs="Arial" w:eastAsia="Arial" w:hAnsi="Arial"/>
                <w:sz w:val="15"/>
                <w:szCs w:val="15"/>
                <w:color w:val="auto"/>
              </w:rPr>
              <w:t>(0.6)%</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5"/>
                <w:szCs w:val="15"/>
                <w:color w:val="auto"/>
              </w:rPr>
              <w:t>Other income, net</w:t>
            </w:r>
          </w:p>
        </w:tc>
        <w:tc>
          <w:tcPr>
            <w:tcW w:w="4180" w:type="dxa"/>
            <w:vAlign w:val="bottom"/>
            <w:gridSpan w:val="3"/>
          </w:tcPr>
          <w:p>
            <w:pPr>
              <w:jc w:val="right"/>
              <w:ind w:right="200"/>
              <w:spacing w:after="0"/>
              <w:rPr>
                <w:sz w:val="20"/>
                <w:szCs w:val="20"/>
                <w:color w:val="auto"/>
              </w:rPr>
            </w:pPr>
            <w:r>
              <w:rPr>
                <w:rFonts w:ascii="Arial" w:cs="Arial" w:eastAsia="Arial" w:hAnsi="Arial"/>
                <w:sz w:val="15"/>
                <w:szCs w:val="15"/>
                <w:color w:val="auto"/>
              </w:rPr>
              <w:t>(0.1)%</w:t>
            </w:r>
          </w:p>
        </w:tc>
        <w:tc>
          <w:tcPr>
            <w:tcW w:w="1800" w:type="dxa"/>
            <w:vAlign w:val="bottom"/>
            <w:gridSpan w:val="2"/>
          </w:tcPr>
          <w:p>
            <w:pPr>
              <w:jc w:val="right"/>
              <w:ind w:right="2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77"/>
        </w:trPr>
        <w:tc>
          <w:tcPr>
            <w:tcW w:w="5300" w:type="dxa"/>
            <w:vAlign w:val="bottom"/>
            <w:shd w:val="clear" w:color="auto" w:fill="CFF0FC"/>
          </w:tcPr>
          <w:p>
            <w:pPr>
              <w:spacing w:after="0"/>
              <w:rPr>
                <w:sz w:val="20"/>
                <w:szCs w:val="20"/>
                <w:color w:val="auto"/>
              </w:rPr>
            </w:pPr>
            <w:r>
              <w:rPr>
                <w:rFonts w:ascii="Arial" w:cs="Arial" w:eastAsia="Arial" w:hAnsi="Arial"/>
                <w:sz w:val="15"/>
                <w:szCs w:val="15"/>
                <w:color w:val="auto"/>
              </w:rPr>
              <w:t>(Interest and other expense) gain associated with claim on long-term contract</w:t>
            </w:r>
          </w:p>
        </w:tc>
        <w:tc>
          <w:tcPr>
            <w:tcW w:w="2220" w:type="dxa"/>
            <w:vAlign w:val="bottom"/>
            <w:shd w:val="clear" w:color="auto" w:fill="CFF0FC"/>
          </w:tcPr>
          <w:p>
            <w:pPr>
              <w:spacing w:after="0"/>
              <w:rPr>
                <w:sz w:val="15"/>
                <w:szCs w:val="15"/>
                <w:color w:val="auto"/>
              </w:rPr>
            </w:pPr>
          </w:p>
        </w:tc>
        <w:tc>
          <w:tcPr>
            <w:tcW w:w="196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0.0%</w:t>
            </w:r>
          </w:p>
        </w:tc>
        <w:tc>
          <w:tcPr>
            <w:tcW w:w="18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tcPr>
          <w:p>
            <w:pPr>
              <w:ind w:left="220"/>
              <w:spacing w:after="0" w:line="169" w:lineRule="exact"/>
              <w:rPr>
                <w:sz w:val="20"/>
                <w:szCs w:val="20"/>
                <w:color w:val="auto"/>
              </w:rPr>
            </w:pPr>
            <w:r>
              <w:rPr>
                <w:rFonts w:ascii="Arial" w:cs="Arial" w:eastAsia="Arial" w:hAnsi="Arial"/>
                <w:sz w:val="15"/>
                <w:szCs w:val="15"/>
                <w:color w:val="auto"/>
              </w:rPr>
              <w:t>Total other income benefit (expense)</w:t>
            </w:r>
          </w:p>
        </w:tc>
        <w:tc>
          <w:tcPr>
            <w:tcW w:w="2220" w:type="dxa"/>
            <w:vAlign w:val="bottom"/>
          </w:tcPr>
          <w:p>
            <w:pPr>
              <w:spacing w:after="0"/>
              <w:rPr>
                <w:sz w:val="14"/>
                <w:szCs w:val="14"/>
                <w:color w:val="auto"/>
              </w:rPr>
            </w:pPr>
          </w:p>
        </w:tc>
        <w:tc>
          <w:tcPr>
            <w:tcW w:w="1960" w:type="dxa"/>
            <w:vAlign w:val="bottom"/>
            <w:gridSpan w:val="2"/>
          </w:tcPr>
          <w:p>
            <w:pPr>
              <w:jc w:val="right"/>
              <w:ind w:right="200"/>
              <w:spacing w:after="0" w:line="169" w:lineRule="exact"/>
              <w:rPr>
                <w:sz w:val="20"/>
                <w:szCs w:val="20"/>
                <w:color w:val="auto"/>
              </w:rPr>
            </w:pPr>
            <w:r>
              <w:rPr>
                <w:rFonts w:ascii="Arial" w:cs="Arial" w:eastAsia="Arial" w:hAnsi="Arial"/>
                <w:sz w:val="15"/>
                <w:szCs w:val="15"/>
                <w:color w:val="auto"/>
              </w:rPr>
              <w:t>(0.6)%</w:t>
            </w:r>
          </w:p>
        </w:tc>
        <w:tc>
          <w:tcPr>
            <w:tcW w:w="18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Income before income tax expense</w:t>
            </w:r>
          </w:p>
        </w:tc>
        <w:tc>
          <w:tcPr>
            <w:tcW w:w="222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1.7%</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5"/>
                <w:szCs w:val="15"/>
                <w:color w:val="auto"/>
              </w:rPr>
              <w:t>Income tax benefit (expense)</w:t>
            </w:r>
          </w:p>
        </w:tc>
        <w:tc>
          <w:tcPr>
            <w:tcW w:w="2220" w:type="dxa"/>
            <w:vAlign w:val="bottom"/>
          </w:tcPr>
          <w:p>
            <w:pPr>
              <w:spacing w:after="0"/>
              <w:rPr>
                <w:sz w:val="15"/>
                <w:szCs w:val="15"/>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5"/>
                <w:szCs w:val="15"/>
                <w:color w:val="auto"/>
              </w:rPr>
              <w:t>1.8%</w:t>
            </w:r>
          </w:p>
        </w:tc>
        <w:tc>
          <w:tcPr>
            <w:tcW w:w="1800" w:type="dxa"/>
            <w:vAlign w:val="bottom"/>
            <w:gridSpan w:val="2"/>
          </w:tcPr>
          <w:p>
            <w:pPr>
              <w:jc w:val="right"/>
              <w:ind w:right="2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222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3.5%</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77"/>
        </w:trPr>
        <w:tc>
          <w:tcPr>
            <w:tcW w:w="530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2220" w:type="dxa"/>
            <w:vAlign w:val="bottom"/>
          </w:tcPr>
          <w:p>
            <w:pPr>
              <w:spacing w:after="0"/>
              <w:rPr>
                <w:sz w:val="15"/>
                <w:szCs w:val="15"/>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5"/>
                <w:szCs w:val="15"/>
                <w:color w:val="auto"/>
              </w:rPr>
              <w:t>(0.4)%</w:t>
            </w:r>
          </w:p>
        </w:tc>
        <w:tc>
          <w:tcPr>
            <w:tcW w:w="1800" w:type="dxa"/>
            <w:vAlign w:val="bottom"/>
            <w:gridSpan w:val="2"/>
          </w:tcPr>
          <w:p>
            <w:pPr>
              <w:jc w:val="right"/>
              <w:ind w:right="2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222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0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2220" w:type="dxa"/>
            <w:vAlign w:val="bottom"/>
            <w:shd w:val="clear" w:color="auto" w:fill="CFF0FC"/>
          </w:tcPr>
          <w:p>
            <w:pPr>
              <w:spacing w:after="0"/>
              <w:rPr>
                <w:sz w:val="14"/>
                <w:szCs w:val="14"/>
                <w:color w:val="auto"/>
              </w:rPr>
            </w:pPr>
          </w:p>
        </w:tc>
        <w:tc>
          <w:tcPr>
            <w:tcW w:w="196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3.0%</w:t>
            </w:r>
          </w:p>
        </w:tc>
        <w:tc>
          <w:tcPr>
            <w:tcW w:w="180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220" w:type="dxa"/>
            <w:vAlign w:val="bottom"/>
            <w:tcBorders>
              <w:top w:val="single" w:sz="8" w:color="CFF0FC"/>
              <w:bottom w:val="single" w:sz="8" w:color="CFF0FC"/>
            </w:tcBorders>
            <w:vMerge w:val="restart"/>
          </w:tcPr>
          <w:p>
            <w:pPr>
              <w:jc w:val="right"/>
              <w:ind w:right="1726"/>
              <w:spacing w:after="0"/>
              <w:rPr>
                <w:sz w:val="20"/>
                <w:szCs w:val="20"/>
                <w:color w:val="auto"/>
              </w:rPr>
            </w:pPr>
            <w:r>
              <w:rPr>
                <w:rFonts w:ascii="Arial" w:cs="Arial" w:eastAsia="Arial" w:hAnsi="Arial"/>
                <w:sz w:val="15"/>
                <w:szCs w:val="15"/>
                <w:color w:val="auto"/>
              </w:rPr>
              <w:t>66</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530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5300" w:type="dxa"/>
            <w:vAlign w:val="bottom"/>
            <w:tcBorders>
              <w:bottom w:val="single" w:sz="8" w:color="9A9A9A"/>
            </w:tcBorders>
          </w:tcPr>
          <w:p>
            <w:pPr>
              <w:spacing w:after="0"/>
              <w:rPr>
                <w:sz w:val="6"/>
                <w:szCs w:val="6"/>
                <w:color w:val="auto"/>
              </w:rPr>
            </w:pPr>
          </w:p>
        </w:tc>
        <w:tc>
          <w:tcPr>
            <w:tcW w:w="2220" w:type="dxa"/>
            <w:vAlign w:val="bottom"/>
            <w:tcBorders>
              <w:bottom w:val="single" w:sz="8" w:color="9A9A9A"/>
            </w:tcBorders>
          </w:tcPr>
          <w:p>
            <w:pPr>
              <w:spacing w:after="0"/>
              <w:rPr>
                <w:sz w:val="6"/>
                <w:szCs w:val="6"/>
                <w:color w:val="auto"/>
              </w:rPr>
            </w:pPr>
          </w:p>
        </w:tc>
        <w:tc>
          <w:tcPr>
            <w:tcW w:w="15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60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351" w:right="319" w:bottom="1440" w:gutter="0" w:footer="0" w:header="0"/>
        </w:sectPr>
      </w:pPr>
    </w:p>
    <w:bookmarkStart w:id="70" w:name="page71"/>
    <w:bookmarkEnd w:id="70"/>
    <w:p>
      <w:pPr>
        <w:spacing w:after="0"/>
        <w:rPr>
          <w:sz w:val="20"/>
          <w:szCs w:val="20"/>
          <w:color w:val="auto"/>
        </w:rPr>
      </w:pPr>
      <w:r>
        <w:rPr>
          <w:rFonts w:ascii="Arial" w:cs="Arial" w:eastAsia="Arial" w:hAnsi="Arial"/>
          <w:sz w:val="15"/>
          <w:szCs w:val="15"/>
          <w:i w:val="1"/>
          <w:iCs w:val="1"/>
          <w:color w:val="auto"/>
        </w:rPr>
        <w:t>Revenue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Fiscal Year Ended</w:t>
            </w: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1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3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2440" w:type="dxa"/>
            <w:vAlign w:val="bottom"/>
            <w:gridSpan w:val="2"/>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394,304</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11.1%</w:t>
            </w:r>
          </w:p>
        </w:tc>
      </w:tr>
    </w:tbl>
    <w:p>
      <w:pPr>
        <w:spacing w:after="0" w:line="177" w:lineRule="exact"/>
        <w:rPr>
          <w:sz w:val="20"/>
          <w:szCs w:val="20"/>
          <w:color w:val="auto"/>
        </w:rPr>
      </w:pPr>
    </w:p>
    <w:p>
      <w:pPr>
        <w:ind w:right="20" w:firstLine="737"/>
        <w:spacing w:after="0" w:line="235" w:lineRule="auto"/>
        <w:rPr>
          <w:sz w:val="20"/>
          <w:szCs w:val="20"/>
          <w:color w:val="auto"/>
        </w:rPr>
      </w:pPr>
      <w:r>
        <w:rPr>
          <w:rFonts w:ascii="Arial" w:cs="Arial" w:eastAsia="Arial" w:hAnsi="Arial"/>
          <w:sz w:val="15"/>
          <w:szCs w:val="15"/>
          <w:color w:val="auto"/>
        </w:rPr>
        <w:t>Revenue for the year ended December 31, 2018 included $55.1 million related to the settlement of a claim that was resolved in favor of the Company on June 13, 2018, in our Critical Infrastructure segment. See “Results of Operations—Other income and expenses” above for a description of this matter. Excluding the claim settlement, revenue increased $449.4 million for the year ended December 31, 2019 when compared to the prior year, primarily due to an increase in revenue in our Federal Solutions segment of $408.9 million and an increase in our Critical Infrastructure segment of $40.5 million. See “—Segment Results” below for further discussion.</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Direct costs of contracts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6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Fiscal Year Ended</w:t>
            </w:r>
          </w:p>
        </w:tc>
        <w:tc>
          <w:tcPr>
            <w:tcW w:w="7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36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1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3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 of contracts</w:t>
            </w:r>
          </w:p>
        </w:tc>
        <w:tc>
          <w:tcPr>
            <w:tcW w:w="2440" w:type="dxa"/>
            <w:vAlign w:val="bottom"/>
            <w:gridSpan w:val="2"/>
            <w:shd w:val="clear" w:color="auto" w:fill="CFF0FC"/>
          </w:tcPr>
          <w:p>
            <w:pPr>
              <w:jc w:val="right"/>
              <w:ind w:right="141"/>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3,123,062</w:t>
            </w: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2,795,005</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328,057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11.7%</w:t>
            </w:r>
          </w:p>
        </w:tc>
      </w:tr>
    </w:tbl>
    <w:p>
      <w:pPr>
        <w:spacing w:after="0" w:line="177" w:lineRule="exact"/>
        <w:rPr>
          <w:sz w:val="20"/>
          <w:szCs w:val="20"/>
          <w:color w:val="auto"/>
        </w:rPr>
      </w:pPr>
    </w:p>
    <w:p>
      <w:pPr>
        <w:ind w:right="140" w:firstLine="737"/>
        <w:spacing w:after="0" w:line="256" w:lineRule="auto"/>
        <w:rPr>
          <w:sz w:val="20"/>
          <w:szCs w:val="20"/>
          <w:color w:val="auto"/>
        </w:rPr>
      </w:pPr>
      <w:r>
        <w:rPr>
          <w:rFonts w:ascii="Arial" w:cs="Arial" w:eastAsia="Arial" w:hAnsi="Arial"/>
          <w:sz w:val="14"/>
          <w:szCs w:val="14"/>
          <w:color w:val="auto"/>
        </w:rPr>
        <w:t>Direct cost of contracts increased in fiscal 2019 primarily due to an increase of $289.6 million in our Federal Solutions segment and an increase of $38.5 million in our Critical Infrastructure segment. The increase in our Federal Solutions segment was due primarily to business acquisitions, which added $239.4 million, and $50.2 million from an increase in business volume on existing contracts, offset by the completion of a significant contract. The change in our Critical Infrastructure segment was primarily due to an increase in business volume on existing contracts, along with normal course fluctuations in the winding down and starting up of contracts.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Equity in earnings of unconsolidated joint ventures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7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ind w:right="121"/>
              <w:spacing w:after="0"/>
              <w:rPr>
                <w:sz w:val="20"/>
                <w:szCs w:val="20"/>
                <w:color w:val="auto"/>
              </w:rPr>
            </w:pPr>
            <w:r>
              <w:rPr>
                <w:rFonts w:ascii="Arial" w:cs="Arial" w:eastAsia="Arial" w:hAnsi="Arial"/>
                <w:sz w:val="12"/>
                <w:szCs w:val="12"/>
                <w:b w:val="1"/>
                <w:bCs w:val="1"/>
                <w:color w:val="auto"/>
              </w:rPr>
              <w:t>Fiscal Year Ended</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ind w:left="2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574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20" w:type="dxa"/>
            <w:vAlign w:val="bottom"/>
            <w:tcBorders>
              <w:bottom w:val="single" w:sz="8" w:color="auto"/>
            </w:tcBorders>
            <w:gridSpan w:val="2"/>
          </w:tcPr>
          <w:p>
            <w:pPr>
              <w:jc w:val="right"/>
              <w:ind w:right="14"/>
              <w:spacing w:after="0" w:line="136" w:lineRule="exact"/>
              <w:rPr>
                <w:sz w:val="20"/>
                <w:szCs w:val="20"/>
                <w:color w:val="auto"/>
              </w:rPr>
            </w:pPr>
            <w:r>
              <w:rPr>
                <w:rFonts w:ascii="Arial" w:cs="Arial" w:eastAsia="Arial" w:hAnsi="Arial"/>
                <w:sz w:val="12"/>
                <w:szCs w:val="12"/>
                <w:b w:val="1"/>
                <w:bCs w:val="1"/>
                <w:color w:val="auto"/>
              </w:rPr>
              <w:t>December 31, 2019</w:t>
            </w:r>
          </w:p>
        </w:tc>
        <w:tc>
          <w:tcPr>
            <w:tcW w:w="24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4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Dollar</w:t>
            </w:r>
          </w:p>
        </w:tc>
        <w:tc>
          <w:tcPr>
            <w:tcW w:w="400" w:type="dxa"/>
            <w:vAlign w:val="bottom"/>
            <w:tcBorders>
              <w:bottom w:val="single" w:sz="8" w:color="auto"/>
            </w:tcBorders>
          </w:tcPr>
          <w:p>
            <w:pPr>
              <w:spacing w:after="0"/>
              <w:rPr>
                <w:sz w:val="11"/>
                <w:szCs w:val="11"/>
                <w:color w:val="auto"/>
              </w:rPr>
            </w:pP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57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Equity in earnings of unconsolidated joint ventures</w:t>
            </w:r>
          </w:p>
        </w:tc>
        <w:tc>
          <w:tcPr>
            <w:tcW w:w="420" w:type="dxa"/>
            <w:vAlign w:val="bottom"/>
            <w:shd w:val="clear" w:color="auto" w:fill="CFF0FC"/>
          </w:tcPr>
          <w:p>
            <w:pPr>
              <w:jc w:val="right"/>
              <w:ind w:right="274"/>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41,721</w:t>
            </w:r>
          </w:p>
        </w:tc>
        <w:tc>
          <w:tcPr>
            <w:tcW w:w="760" w:type="dxa"/>
            <w:vAlign w:val="bottom"/>
            <w:gridSpan w:val="2"/>
            <w:shd w:val="clear" w:color="auto" w:fill="CFF0FC"/>
          </w:tcPr>
          <w:p>
            <w:pPr>
              <w:jc w:val="right"/>
              <w:ind w:right="381"/>
              <w:spacing w:after="0" w:line="169" w:lineRule="exact"/>
              <w:rPr>
                <w:sz w:val="20"/>
                <w:szCs w:val="20"/>
                <w:color w:val="auto"/>
              </w:rPr>
            </w:pPr>
            <w:r>
              <w:rPr>
                <w:rFonts w:ascii="Arial" w:cs="Arial" w:eastAsia="Arial" w:hAnsi="Arial"/>
                <w:sz w:val="15"/>
                <w:szCs w:val="15"/>
                <w:color w:val="auto"/>
              </w:rPr>
              <w:t>$</w:t>
            </w:r>
          </w:p>
        </w:tc>
        <w:tc>
          <w:tcPr>
            <w:tcW w:w="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36,915</w:t>
            </w: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614"/>
              <w:spacing w:after="0" w:line="169" w:lineRule="exact"/>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4,806</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13.0%</w:t>
            </w:r>
          </w:p>
        </w:tc>
      </w:tr>
    </w:tbl>
    <w:p>
      <w:pPr>
        <w:spacing w:after="0" w:line="177" w:lineRule="exact"/>
        <w:rPr>
          <w:sz w:val="20"/>
          <w:szCs w:val="20"/>
          <w:color w:val="auto"/>
        </w:rPr>
      </w:pPr>
    </w:p>
    <w:p>
      <w:pPr>
        <w:ind w:right="300" w:firstLine="737"/>
        <w:spacing w:after="0" w:line="239" w:lineRule="auto"/>
        <w:rPr>
          <w:sz w:val="20"/>
          <w:szCs w:val="20"/>
          <w:color w:val="auto"/>
        </w:rPr>
      </w:pPr>
      <w:r>
        <w:rPr>
          <w:rFonts w:ascii="Arial" w:cs="Arial" w:eastAsia="Arial" w:hAnsi="Arial"/>
          <w:sz w:val="15"/>
          <w:szCs w:val="15"/>
          <w:color w:val="auto"/>
        </w:rPr>
        <w:t>Equity in earnings of unconsolidated joint ventures increased in fiscal 2019 primarily due to increased activity under a number of the Company’s existing joint ventures, offset by the completion of a significant joint venture during the year.</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Indirect, general and administrative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4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3"/>
          </w:tcPr>
          <w:p>
            <w:pPr>
              <w:jc w:val="right"/>
              <w:ind w:right="34"/>
              <w:spacing w:after="0"/>
              <w:rPr>
                <w:sz w:val="20"/>
                <w:szCs w:val="20"/>
                <w:color w:val="auto"/>
              </w:rPr>
            </w:pPr>
            <w:r>
              <w:rPr>
                <w:rFonts w:ascii="Arial" w:cs="Arial" w:eastAsia="Arial" w:hAnsi="Arial"/>
                <w:sz w:val="12"/>
                <w:szCs w:val="12"/>
                <w:b w:val="1"/>
                <w:bCs w:val="1"/>
                <w:color w:val="auto"/>
              </w:rPr>
              <w:t>Fiscal Year Ended</w:t>
            </w:r>
          </w:p>
        </w:tc>
        <w:tc>
          <w:tcPr>
            <w:tcW w:w="6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2"/>
                <w:szCs w:val="12"/>
                <w:b w:val="1"/>
                <w:bCs w:val="1"/>
                <w:color w:val="auto"/>
              </w:rPr>
              <w:t>Variance</w:t>
            </w: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440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2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26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36"/>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ind w:left="12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4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Indirect, general and administrative expenses</w:t>
            </w:r>
          </w:p>
        </w:tc>
        <w:tc>
          <w:tcPr>
            <w:tcW w:w="17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781,408</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334"/>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597,410</w:t>
            </w: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183,998</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30.8%</w:t>
            </w:r>
          </w:p>
        </w:tc>
      </w:tr>
    </w:tbl>
    <w:p>
      <w:pPr>
        <w:spacing w:after="0" w:line="177" w:lineRule="exact"/>
        <w:rPr>
          <w:sz w:val="20"/>
          <w:szCs w:val="20"/>
          <w:color w:val="auto"/>
        </w:rPr>
      </w:pPr>
    </w:p>
    <w:p>
      <w:pPr>
        <w:ind w:right="380" w:firstLine="737"/>
        <w:spacing w:after="0" w:line="231" w:lineRule="auto"/>
        <w:rPr>
          <w:sz w:val="20"/>
          <w:szCs w:val="20"/>
          <w:color w:val="auto"/>
        </w:rPr>
      </w:pPr>
      <w:r>
        <w:rPr>
          <w:rFonts w:ascii="Arial" w:cs="Arial" w:eastAsia="Arial" w:hAnsi="Arial"/>
          <w:sz w:val="15"/>
          <w:szCs w:val="15"/>
          <w:color w:val="auto"/>
        </w:rPr>
        <w:t>IG&amp;A for the years ended December 31, 2019 and December 31, 2018 include $65.7 million and $16.5 million, respectively, of compensation cost related to equity-based awards that primarily settle in cash. Cash settled awards are remeasured to an updated fair value at each reporting period until the award is</w:t>
      </w:r>
    </w:p>
    <w:p>
      <w:pPr>
        <w:spacing w:after="0"/>
        <w:rPr>
          <w:sz w:val="20"/>
          <w:szCs w:val="20"/>
          <w:color w:val="auto"/>
        </w:rPr>
      </w:pPr>
      <w:r>
        <w:rPr>
          <w:rFonts w:ascii="Arial" w:cs="Arial" w:eastAsia="Arial" w:hAnsi="Arial"/>
          <w:sz w:val="15"/>
          <w:szCs w:val="15"/>
          <w:color w:val="auto"/>
        </w:rPr>
        <w:t>settled. Compensation cost is trued-up at each reporting period for changes in fair value pro-rated for the portion of the requisite service period rendered.</w:t>
      </w:r>
    </w:p>
    <w:p>
      <w:pPr>
        <w:spacing w:after="0" w:line="82" w:lineRule="exact"/>
        <w:rPr>
          <w:sz w:val="20"/>
          <w:szCs w:val="20"/>
          <w:color w:val="auto"/>
        </w:rPr>
      </w:pPr>
    </w:p>
    <w:p>
      <w:pPr>
        <w:ind w:right="140" w:firstLine="745"/>
        <w:spacing w:after="0" w:line="239" w:lineRule="auto"/>
        <w:rPr>
          <w:sz w:val="20"/>
          <w:szCs w:val="20"/>
          <w:color w:val="auto"/>
        </w:rPr>
      </w:pPr>
      <w:r>
        <w:rPr>
          <w:rFonts w:ascii="Arial" w:cs="Arial" w:eastAsia="Arial" w:hAnsi="Arial"/>
          <w:sz w:val="15"/>
          <w:szCs w:val="15"/>
          <w:color w:val="auto"/>
        </w:rPr>
        <w:t>The significant increase in compensation cost related to these cash settled equity-based awards for the year ended December 31, 2019 is due to the significant difference in the fair value of a share of our common stock under Parsons ESOP valuation at December 31, 2018 compared to the fair value of a</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78" w:right="319" w:bottom="1440" w:gutter="0" w:footer="0" w:header="0"/>
        </w:sectPr>
      </w:pPr>
    </w:p>
    <w:bookmarkStart w:id="71" w:name="page72"/>
    <w:bookmarkEnd w:id="71"/>
    <w:p>
      <w:pPr>
        <w:spacing w:after="0" w:line="234" w:lineRule="auto"/>
        <w:rPr>
          <w:sz w:val="20"/>
          <w:szCs w:val="20"/>
          <w:color w:val="auto"/>
        </w:rPr>
      </w:pPr>
      <w:r>
        <w:rPr>
          <w:rFonts w:ascii="Arial" w:cs="Arial" w:eastAsia="Arial" w:hAnsi="Arial"/>
          <w:sz w:val="15"/>
          <w:szCs w:val="15"/>
          <w:color w:val="auto"/>
        </w:rPr>
        <w:t>share of our common stock in the public market at December 31, 2019. See Item 5 of Part II for ranges in the share price of our common stock since the consummation of the IPO and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in the notes to our consolidated financial statements included elsewhere in this Annual Report on Form 10-K for a description of how the ESOP share value is determined. See “Note 1—</w:t>
      </w:r>
      <w:r>
        <w:rPr>
          <w:rFonts w:ascii="Arial" w:cs="Arial" w:eastAsia="Arial" w:hAnsi="Arial"/>
          <w:sz w:val="15"/>
          <w:szCs w:val="15"/>
          <w:i w:val="1"/>
          <w:iCs w:val="1"/>
          <w:color w:val="auto"/>
        </w:rPr>
        <w:t>Description of Operations</w:t>
      </w:r>
      <w:r>
        <w:rPr>
          <w:rFonts w:ascii="Arial" w:cs="Arial" w:eastAsia="Arial" w:hAnsi="Arial"/>
          <w:sz w:val="15"/>
          <w:szCs w:val="15"/>
          <w:color w:val="auto"/>
        </w:rPr>
        <w:t>” in the notes to our consolidated financial statements included elsewhere in this Annual Report on Form 10-K for more detail regarding our IPO. The plans in which these awards were granted have been frozen and the Company does not currently intend to grant any further cash settled equity-based awards.</w:t>
      </w:r>
    </w:p>
    <w:p>
      <w:pPr>
        <w:spacing w:after="0" w:line="79" w:lineRule="exact"/>
        <w:rPr>
          <w:sz w:val="20"/>
          <w:szCs w:val="20"/>
          <w:color w:val="auto"/>
        </w:rPr>
      </w:pPr>
    </w:p>
    <w:p>
      <w:pPr>
        <w:ind w:right="340" w:firstLine="745"/>
        <w:spacing w:after="0" w:line="239" w:lineRule="auto"/>
        <w:rPr>
          <w:sz w:val="20"/>
          <w:szCs w:val="20"/>
          <w:color w:val="auto"/>
        </w:rPr>
      </w:pPr>
      <w:r>
        <w:rPr>
          <w:rFonts w:ascii="Arial" w:cs="Arial" w:eastAsia="Arial" w:hAnsi="Arial"/>
          <w:sz w:val="15"/>
          <w:szCs w:val="15"/>
          <w:color w:val="auto"/>
        </w:rPr>
        <w:t>Excluding the compensation costs discussed above, IG&amp;A for the years ended December 31, 2019 and December 31, 2018 were $715.7 million and $580.9 million, respectively.</w:t>
      </w:r>
    </w:p>
    <w:p>
      <w:pPr>
        <w:spacing w:after="0" w:line="78" w:lineRule="exact"/>
        <w:rPr>
          <w:sz w:val="20"/>
          <w:szCs w:val="20"/>
          <w:color w:val="auto"/>
        </w:rPr>
      </w:pPr>
    </w:p>
    <w:p>
      <w:pPr>
        <w:ind w:right="200" w:firstLine="745"/>
        <w:spacing w:after="0" w:line="235" w:lineRule="auto"/>
        <w:rPr>
          <w:sz w:val="20"/>
          <w:szCs w:val="20"/>
          <w:color w:val="auto"/>
        </w:rPr>
      </w:pPr>
      <w:r>
        <w:rPr>
          <w:rFonts w:ascii="Arial" w:cs="Arial" w:eastAsia="Arial" w:hAnsi="Arial"/>
          <w:sz w:val="15"/>
          <w:szCs w:val="15"/>
          <w:color w:val="auto"/>
        </w:rPr>
        <w:t>The increase in IG&amp;A of $134.8 million for the year ended December 31, 2019 when compared to the prior year was primarily due to our Federal Solutions segment, most of which is related to additional expenses of $47.8 million from business acquisitions, $50.9 million from the amortization of intangible assets related to our acquisitions and $11.2 million in acquisition-related expenses. The remaining increase of $24.9 million is related to additional bid and proposal costs and an increase in corporate functional group costs.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Total other income (expense)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5"/>
          </w:tcPr>
          <w:p>
            <w:pPr>
              <w:jc w:val="right"/>
              <w:ind w:right="949"/>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Variance</w:t>
            </w:r>
          </w:p>
        </w:tc>
        <w:tc>
          <w:tcPr>
            <w:tcW w:w="11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4740" w:type="dxa"/>
            <w:vAlign w:val="bottom"/>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90"/>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89"/>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b w:val="1"/>
                <w:bCs w:val="1"/>
                <w:color w:val="auto"/>
              </w:rPr>
              <w:t>Dollar</w:t>
            </w: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ind w:left="18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Pr>
          <w:p>
            <w:pPr>
              <w:spacing w:after="0"/>
              <w:rPr>
                <w:sz w:val="11"/>
                <w:szCs w:val="11"/>
                <w:color w:val="auto"/>
              </w:rPr>
            </w:pPr>
          </w:p>
        </w:tc>
      </w:tr>
      <w:tr>
        <w:trPr>
          <w:trHeight w:val="168"/>
        </w:trPr>
        <w:tc>
          <w:tcPr>
            <w:tcW w:w="4740" w:type="dxa"/>
            <w:vAlign w:val="bottom"/>
          </w:tcPr>
          <w:p>
            <w:pPr>
              <w:ind w:left="220"/>
              <w:spacing w:after="0" w:line="169" w:lineRule="exact"/>
              <w:rPr>
                <w:sz w:val="20"/>
                <w:szCs w:val="20"/>
                <w:color w:val="auto"/>
              </w:rPr>
            </w:pPr>
            <w:r>
              <w:rPr>
                <w:rFonts w:ascii="Arial" w:cs="Arial" w:eastAsia="Arial" w:hAnsi="Arial"/>
                <w:sz w:val="15"/>
                <w:szCs w:val="15"/>
                <w:color w:val="auto"/>
              </w:rPr>
              <w:t>Interest income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1,300</w:t>
            </w:r>
          </w:p>
        </w:tc>
        <w:tc>
          <w:tcPr>
            <w:tcW w:w="160" w:type="dxa"/>
            <w:vAlign w:val="bottom"/>
          </w:tcPr>
          <w:p>
            <w:pPr>
              <w:spacing w:after="0"/>
              <w:rPr>
                <w:sz w:val="14"/>
                <w:szCs w:val="14"/>
                <w:color w:val="auto"/>
              </w:rPr>
            </w:pPr>
          </w:p>
        </w:tc>
        <w:tc>
          <w:tcPr>
            <w:tcW w:w="2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2,710</w:t>
            </w:r>
          </w:p>
        </w:tc>
        <w:tc>
          <w:tcPr>
            <w:tcW w:w="260" w:type="dxa"/>
            <w:vAlign w:val="bottom"/>
          </w:tcPr>
          <w:p>
            <w:pPr>
              <w:spacing w:after="0"/>
              <w:rPr>
                <w:sz w:val="14"/>
                <w:szCs w:val="14"/>
                <w:color w:val="auto"/>
              </w:rPr>
            </w:pPr>
          </w:p>
        </w:tc>
        <w:tc>
          <w:tcPr>
            <w:tcW w:w="860" w:type="dxa"/>
            <w:vAlign w:val="bottom"/>
          </w:tcPr>
          <w:p>
            <w:pPr>
              <w:jc w:val="right"/>
              <w:ind w:right="711"/>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(1,410)</w:t>
            </w:r>
          </w:p>
        </w:tc>
        <w:tc>
          <w:tcPr>
            <w:tcW w:w="280" w:type="dxa"/>
            <w:vAlign w:val="bottom"/>
          </w:tcPr>
          <w:p>
            <w:pPr>
              <w:spacing w:after="0"/>
              <w:rPr>
                <w:sz w:val="14"/>
                <w:szCs w:val="14"/>
                <w:color w:val="auto"/>
              </w:rPr>
            </w:pPr>
          </w:p>
        </w:tc>
        <w:tc>
          <w:tcPr>
            <w:tcW w:w="1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(52.0)%</w:t>
            </w:r>
          </w:p>
        </w:tc>
      </w:tr>
      <w:tr>
        <w:trPr>
          <w:trHeight w:val="177"/>
        </w:trPr>
        <w:tc>
          <w:tcPr>
            <w:tcW w:w="47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Interest expense</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(23,729)</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(20,842)</w:t>
            </w: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(2,887)</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13.9%</w:t>
            </w:r>
          </w:p>
        </w:tc>
      </w:tr>
      <w:tr>
        <w:trPr>
          <w:trHeight w:val="177"/>
        </w:trPr>
        <w:tc>
          <w:tcPr>
            <w:tcW w:w="4740" w:type="dxa"/>
            <w:vAlign w:val="bottom"/>
          </w:tcPr>
          <w:p>
            <w:pPr>
              <w:ind w:left="220"/>
              <w:spacing w:after="0"/>
              <w:rPr>
                <w:sz w:val="20"/>
                <w:szCs w:val="20"/>
                <w:color w:val="auto"/>
              </w:rPr>
            </w:pPr>
            <w:r>
              <w:rPr>
                <w:rFonts w:ascii="Arial" w:cs="Arial" w:eastAsia="Arial" w:hAnsi="Arial"/>
                <w:sz w:val="15"/>
                <w:szCs w:val="15"/>
                <w:color w:val="auto"/>
              </w:rPr>
              <w:t>Other income (expense), net</w:t>
            </w:r>
          </w:p>
        </w:tc>
        <w:tc>
          <w:tcPr>
            <w:tcW w:w="120" w:type="dxa"/>
            <w:vAlign w:val="bottom"/>
          </w:tcPr>
          <w:p>
            <w:pPr>
              <w:spacing w:after="0"/>
              <w:rPr>
                <w:sz w:val="15"/>
                <w:szCs w:val="15"/>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5"/>
                <w:szCs w:val="15"/>
                <w:color w:val="auto"/>
              </w:rPr>
              <w:t>(2,392)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5"/>
                <w:szCs w:val="15"/>
                <w:color w:val="auto"/>
              </w:rPr>
              <w:t>(1,651)</w:t>
            </w:r>
          </w:p>
        </w:tc>
        <w:tc>
          <w:tcPr>
            <w:tcW w:w="86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5"/>
                <w:szCs w:val="15"/>
                <w:color w:val="auto"/>
              </w:rPr>
              <w:t>(741)</w:t>
            </w:r>
          </w:p>
        </w:tc>
        <w:tc>
          <w:tcPr>
            <w:tcW w:w="280" w:type="dxa"/>
            <w:vAlign w:val="bottom"/>
          </w:tcPr>
          <w:p>
            <w:pPr>
              <w:spacing w:after="0"/>
              <w:rPr>
                <w:sz w:val="15"/>
                <w:szCs w:val="15"/>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44.9%</w:t>
            </w:r>
          </w:p>
        </w:tc>
      </w:tr>
      <w:tr>
        <w:trPr>
          <w:trHeight w:val="177"/>
        </w:trPr>
        <w:tc>
          <w:tcPr>
            <w:tcW w:w="47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Gain associated with claim on long-term contract</w:t>
            </w: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74,578</w:t>
            </w:r>
          </w:p>
        </w:tc>
        <w:tc>
          <w:tcPr>
            <w:tcW w:w="26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(74,578)</w:t>
            </w:r>
          </w:p>
        </w:tc>
        <w:tc>
          <w:tcPr>
            <w:tcW w:w="28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(100.0)%</w:t>
            </w:r>
          </w:p>
        </w:tc>
      </w:tr>
      <w:tr>
        <w:trPr>
          <w:trHeight w:val="20"/>
        </w:trPr>
        <w:tc>
          <w:tcPr>
            <w:tcW w:w="4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4740" w:type="dxa"/>
            <w:vAlign w:val="bottom"/>
          </w:tcPr>
          <w:p>
            <w:pPr>
              <w:ind w:left="220"/>
              <w:spacing w:after="0" w:line="169" w:lineRule="exact"/>
              <w:rPr>
                <w:sz w:val="20"/>
                <w:szCs w:val="20"/>
                <w:color w:val="auto"/>
              </w:rPr>
            </w:pPr>
            <w:r>
              <w:rPr>
                <w:rFonts w:ascii="Arial" w:cs="Arial" w:eastAsia="Arial" w:hAnsi="Arial"/>
                <w:sz w:val="15"/>
                <w:szCs w:val="15"/>
                <w:color w:val="auto"/>
              </w:rPr>
              <w:t>Total other income (expense)</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(24,821)</w:t>
            </w:r>
          </w:p>
        </w:tc>
        <w:tc>
          <w:tcPr>
            <w:tcW w:w="24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69" w:lineRule="exact"/>
              <w:rPr>
                <w:sz w:val="20"/>
                <w:szCs w:val="20"/>
                <w:color w:val="auto"/>
              </w:rPr>
            </w:pPr>
            <w:r>
              <w:rPr>
                <w:rFonts w:ascii="Arial" w:cs="Arial" w:eastAsia="Arial" w:hAnsi="Arial"/>
                <w:sz w:val="15"/>
                <w:szCs w:val="15"/>
                <w:color w:val="auto"/>
              </w:rPr>
              <w:t>54,795</w:t>
            </w:r>
          </w:p>
        </w:tc>
        <w:tc>
          <w:tcPr>
            <w:tcW w:w="260" w:type="dxa"/>
            <w:vAlign w:val="bottom"/>
          </w:tcPr>
          <w:p>
            <w:pPr>
              <w:spacing w:after="0"/>
              <w:rPr>
                <w:sz w:val="14"/>
                <w:szCs w:val="14"/>
                <w:color w:val="auto"/>
              </w:rPr>
            </w:pPr>
          </w:p>
        </w:tc>
        <w:tc>
          <w:tcPr>
            <w:tcW w:w="860" w:type="dxa"/>
            <w:vAlign w:val="bottom"/>
          </w:tcPr>
          <w:p>
            <w:pPr>
              <w:jc w:val="right"/>
              <w:ind w:right="711"/>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(79,616)</w:t>
            </w:r>
          </w:p>
        </w:tc>
        <w:tc>
          <w:tcPr>
            <w:tcW w:w="280" w:type="dxa"/>
            <w:vAlign w:val="bottom"/>
          </w:tcPr>
          <w:p>
            <w:pPr>
              <w:spacing w:after="0"/>
              <w:rPr>
                <w:sz w:val="14"/>
                <w:szCs w:val="14"/>
                <w:color w:val="auto"/>
              </w:rPr>
            </w:pPr>
          </w:p>
        </w:tc>
        <w:tc>
          <w:tcPr>
            <w:tcW w:w="13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(145.3)%</w:t>
            </w:r>
          </w:p>
        </w:tc>
      </w:tr>
      <w:tr>
        <w:trPr>
          <w:trHeight w:val="20"/>
        </w:trPr>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8" w:lineRule="exact"/>
        <w:rPr>
          <w:sz w:val="20"/>
          <w:szCs w:val="20"/>
          <w:color w:val="auto"/>
        </w:rPr>
      </w:pPr>
    </w:p>
    <w:p>
      <w:pPr>
        <w:ind w:right="40" w:firstLine="745"/>
        <w:spacing w:after="0" w:line="236" w:lineRule="auto"/>
        <w:rPr>
          <w:sz w:val="20"/>
          <w:szCs w:val="20"/>
          <w:color w:val="auto"/>
        </w:rPr>
      </w:pPr>
      <w:r>
        <w:rPr>
          <w:rFonts w:ascii="Arial" w:cs="Arial" w:eastAsia="Arial" w:hAnsi="Arial"/>
          <w:sz w:val="15"/>
          <w:szCs w:val="15"/>
          <w:color w:val="auto"/>
        </w:rPr>
        <w:t>Interest income is related to interest earned on cash balances held. Interest expense is primarily due to debt related to our business acquisitions. During the year ended December 31, 2019, our term loan of $150 million was paid off and the amount of debt outstanding under our revolving credit facility was reduced. The amounts in other income (expense), net are primarily related to transaction gains and losses on foreign currency transactions and sublease income.</w:t>
      </w:r>
    </w:p>
    <w:p>
      <w:pPr>
        <w:spacing w:after="0" w:line="79" w:lineRule="exact"/>
        <w:rPr>
          <w:sz w:val="20"/>
          <w:szCs w:val="20"/>
          <w:color w:val="auto"/>
        </w:rPr>
      </w:pPr>
    </w:p>
    <w:p>
      <w:pPr>
        <w:ind w:right="200" w:firstLine="745"/>
        <w:spacing w:after="0" w:line="236" w:lineRule="auto"/>
        <w:rPr>
          <w:sz w:val="20"/>
          <w:szCs w:val="20"/>
          <w:color w:val="auto"/>
        </w:rPr>
      </w:pPr>
      <w:r>
        <w:rPr>
          <w:rFonts w:ascii="Arial" w:cs="Arial" w:eastAsia="Arial" w:hAnsi="Arial"/>
          <w:sz w:val="15"/>
          <w:szCs w:val="15"/>
          <w:color w:val="auto"/>
        </w:rPr>
        <w:t>The amount presented in gain associated with claim on long-term contract for the year ended December 31, 2018 relates to a lawsuit against a joint venture in which we are the managing partner. See “Results of Operations—Other income and expenses” above for a description of this matter, which was resolved in favor of the company on June 13, 2018.</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Income tax expense benefit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7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2"/>
                <w:szCs w:val="12"/>
                <w:b w:val="1"/>
                <w:bCs w:val="1"/>
                <w:color w:val="auto"/>
              </w:rPr>
              <w:t>Fiscal Year Ended</w:t>
            </w:r>
          </w:p>
        </w:tc>
        <w:tc>
          <w:tcPr>
            <w:tcW w:w="6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ind w:left="760"/>
              <w:spacing w:after="0"/>
              <w:rPr>
                <w:sz w:val="20"/>
                <w:szCs w:val="20"/>
                <w:color w:val="auto"/>
              </w:rPr>
            </w:pPr>
            <w:r>
              <w:rPr>
                <w:rFonts w:ascii="Arial" w:cs="Arial" w:eastAsia="Arial" w:hAnsi="Arial"/>
                <w:sz w:val="12"/>
                <w:szCs w:val="12"/>
                <w:b w:val="1"/>
                <w:bCs w:val="1"/>
                <w:color w:val="auto"/>
              </w:rPr>
              <w:t>Variance</w:t>
            </w:r>
          </w:p>
        </w:tc>
        <w:tc>
          <w:tcPr>
            <w:tcW w:w="9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57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140" w:type="dxa"/>
            <w:vAlign w:val="bottom"/>
            <w:tcBorders>
              <w:bottom w:val="single" w:sz="8" w:color="auto"/>
            </w:tcBorders>
            <w:gridSpan w:val="2"/>
          </w:tcPr>
          <w:p>
            <w:pPr>
              <w:ind w:left="40"/>
              <w:spacing w:after="0" w:line="136" w:lineRule="exact"/>
              <w:rPr>
                <w:sz w:val="20"/>
                <w:szCs w:val="20"/>
                <w:color w:val="auto"/>
              </w:rPr>
            </w:pPr>
            <w:r>
              <w:rPr>
                <w:rFonts w:ascii="Arial" w:cs="Arial" w:eastAsia="Arial" w:hAnsi="Arial"/>
                <w:sz w:val="12"/>
                <w:szCs w:val="12"/>
                <w:b w:val="1"/>
                <w:bCs w:val="1"/>
                <w:color w:val="auto"/>
                <w:w w:val="99"/>
              </w:rPr>
              <w:t>December 31, 2019</w:t>
            </w:r>
          </w:p>
        </w:tc>
        <w:tc>
          <w:tcPr>
            <w:tcW w:w="16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140" w:type="dxa"/>
            <w:vAlign w:val="bottom"/>
            <w:tcBorders>
              <w:bottom w:val="single" w:sz="8" w:color="auto"/>
            </w:tcBorders>
            <w:gridSpan w:val="2"/>
          </w:tcPr>
          <w:p>
            <w:pPr>
              <w:jc w:val="right"/>
              <w:spacing w:after="0" w:line="136" w:lineRule="exact"/>
              <w:rPr>
                <w:sz w:val="20"/>
                <w:szCs w:val="20"/>
                <w:color w:val="auto"/>
              </w:rPr>
            </w:pPr>
            <w:r>
              <w:rPr>
                <w:rFonts w:ascii="Arial" w:cs="Arial" w:eastAsia="Arial" w:hAnsi="Arial"/>
                <w:sz w:val="12"/>
                <w:szCs w:val="12"/>
                <w:b w:val="1"/>
                <w:bCs w:val="1"/>
                <w:color w:val="auto"/>
                <w:w w:val="99"/>
              </w:rPr>
              <w:t>December 31, 2018</w:t>
            </w:r>
          </w:p>
        </w:tc>
        <w:tc>
          <w:tcPr>
            <w:tcW w:w="26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60"/>
              <w:spacing w:after="0" w:line="136" w:lineRule="exact"/>
              <w:rPr>
                <w:sz w:val="20"/>
                <w:szCs w:val="20"/>
                <w:color w:val="auto"/>
              </w:rPr>
            </w:pPr>
            <w:r>
              <w:rPr>
                <w:rFonts w:ascii="Arial" w:cs="Arial" w:eastAsia="Arial" w:hAnsi="Arial"/>
                <w:sz w:val="12"/>
                <w:szCs w:val="12"/>
                <w:b w:val="1"/>
                <w:bCs w:val="1"/>
                <w:color w:val="auto"/>
              </w:rPr>
              <w:t>Dollar</w:t>
            </w:r>
          </w:p>
        </w:tc>
        <w:tc>
          <w:tcPr>
            <w:tcW w:w="24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ind w:left="10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r>
      <w:tr>
        <w:trPr>
          <w:trHeight w:val="168"/>
        </w:trPr>
        <w:tc>
          <w:tcPr>
            <w:tcW w:w="57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Income tax expense (benefit)</w:t>
            </w:r>
          </w:p>
        </w:tc>
        <w:tc>
          <w:tcPr>
            <w:tcW w:w="360" w:type="dxa"/>
            <w:vAlign w:val="bottom"/>
            <w:shd w:val="clear" w:color="auto" w:fill="CFF0FC"/>
          </w:tcPr>
          <w:p>
            <w:pPr>
              <w:jc w:val="right"/>
              <w:ind w:right="214"/>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(69,886)</w:t>
            </w:r>
          </w:p>
        </w:tc>
        <w:tc>
          <w:tcPr>
            <w:tcW w:w="620" w:type="dxa"/>
            <w:vAlign w:val="bottom"/>
            <w:gridSpan w:val="2"/>
            <w:shd w:val="clear" w:color="auto" w:fill="CFF0FC"/>
          </w:tcPr>
          <w:p>
            <w:pPr>
              <w:jc w:val="right"/>
              <w:ind w:right="381"/>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20,367</w:t>
            </w:r>
          </w:p>
        </w:tc>
        <w:tc>
          <w:tcPr>
            <w:tcW w:w="50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(90,253)</w:t>
            </w:r>
          </w:p>
        </w:tc>
        <w:tc>
          <w:tcPr>
            <w:tcW w:w="24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(443.1)%</w:t>
            </w:r>
          </w:p>
        </w:tc>
      </w:tr>
    </w:tbl>
    <w:p>
      <w:pPr>
        <w:spacing w:after="0" w:line="177" w:lineRule="exact"/>
        <w:rPr>
          <w:sz w:val="20"/>
          <w:szCs w:val="20"/>
          <w:color w:val="auto"/>
        </w:rPr>
      </w:pPr>
    </w:p>
    <w:p>
      <w:pPr>
        <w:ind w:right="440" w:firstLine="737"/>
        <w:spacing w:after="0" w:line="236" w:lineRule="auto"/>
        <w:rPr>
          <w:sz w:val="20"/>
          <w:szCs w:val="20"/>
          <w:color w:val="auto"/>
        </w:rPr>
      </w:pPr>
      <w:r>
        <w:rPr>
          <w:rFonts w:ascii="Arial" w:cs="Arial" w:eastAsia="Arial" w:hAnsi="Arial"/>
          <w:sz w:val="15"/>
          <w:szCs w:val="15"/>
          <w:color w:val="auto"/>
        </w:rPr>
        <w:t>Income tax expense decreased in fiscal 2019 primarily due to the revaluation of our deferred tax assets and liabilities as a result of our conversion from “S” Corporation to a “C” Corporation, partially offset by the impact of the increase in overall pre-tax earnings subject to taxation as a result of our conversion to a “C” Corporation.</w:t>
      </w:r>
    </w:p>
    <w:p>
      <w:pPr>
        <w:spacing w:after="0" w:line="167" w:lineRule="exact"/>
        <w:rPr>
          <w:sz w:val="20"/>
          <w:szCs w:val="20"/>
          <w:color w:val="auto"/>
        </w:rPr>
      </w:pPr>
    </w:p>
    <w:p>
      <w:pPr>
        <w:ind w:right="240" w:firstLine="780"/>
        <w:spacing w:after="0" w:line="236" w:lineRule="auto"/>
        <w:rPr>
          <w:sz w:val="20"/>
          <w:szCs w:val="20"/>
          <w:color w:val="auto"/>
        </w:rPr>
      </w:pPr>
      <w:r>
        <w:rPr>
          <w:rFonts w:ascii="Arial" w:cs="Arial" w:eastAsia="Arial" w:hAnsi="Arial"/>
          <w:sz w:val="15"/>
          <w:szCs w:val="15"/>
          <w:color w:val="auto"/>
        </w:rPr>
        <w:t>As described in “Note 14 – Income Taxes,” in the notes to our consolidated financial statements included elsewhere in this Annual Report on Form 10-K, in connection with our IPO on May 8, 2019, we converted from an “S” Corporation to a “C” Corporation. On a pro forma basis, if we had been taxed as a “C” Corporation for the years ended December 31, 2019 and December 31, 2018, the pro forma effective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72" w:name="page73"/>
    <w:bookmarkEnd w:id="72"/>
    <w:p>
      <w:pPr>
        <w:ind w:right="20"/>
        <w:spacing w:after="0" w:line="235" w:lineRule="auto"/>
        <w:rPr>
          <w:sz w:val="20"/>
          <w:szCs w:val="20"/>
          <w:color w:val="auto"/>
        </w:rPr>
      </w:pPr>
      <w:r>
        <w:rPr>
          <w:rFonts w:ascii="Arial" w:cs="Arial" w:eastAsia="Arial" w:hAnsi="Arial"/>
          <w:sz w:val="15"/>
          <w:szCs w:val="15"/>
          <w:color w:val="auto"/>
        </w:rPr>
        <w:t>tax rate would have been 36.89% and 28.77%, respectively, and our pro forma income tax expense would have been $24.8 million and $74.8 million, respectively. The most significant item contributing to the change in the effective tax rate relates to a change in jurisdictional earnings. The difference between the statutory U.S. federal income tax rate of 21% and the effective tax rate for the year ended December 31, 2019 primarily relates to foreign earnings which are subject to foreign income taxes at rates that exceed the U.S. income tax rate.</w:t>
      </w:r>
    </w:p>
    <w:p>
      <w:pPr>
        <w:spacing w:after="0" w:line="167" w:lineRule="exact"/>
        <w:rPr>
          <w:sz w:val="20"/>
          <w:szCs w:val="20"/>
          <w:color w:val="auto"/>
        </w:rPr>
      </w:pPr>
    </w:p>
    <w:p>
      <w:pPr>
        <w:ind w:firstLine="787"/>
        <w:spacing w:after="0" w:line="235" w:lineRule="auto"/>
        <w:rPr>
          <w:sz w:val="20"/>
          <w:szCs w:val="20"/>
          <w:color w:val="auto"/>
        </w:rPr>
      </w:pPr>
      <w:r>
        <w:rPr>
          <w:rFonts w:ascii="Arial" w:cs="Arial" w:eastAsia="Arial" w:hAnsi="Arial"/>
          <w:sz w:val="15"/>
          <w:szCs w:val="15"/>
          <w:color w:val="auto"/>
        </w:rPr>
        <w:t>The termination of the “S” Corporation status was treated as a change in tax status for Accounting Standards Codification 740, Income Taxes. These rules require that the deferred tax effects of a change in tax status to be recorded to income from continuing operations on the date the “S” Corporation status terminates. Through the year ended December 31, 2019, the Company recorded a deferred tax benefit of $93.9 million for the estimated effect of the change in tax status, relating to the recognition of net deferred tax assets for temporary differences in existence on the date of conversion to a “C” Corporation.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Segment Results</w:t>
      </w:r>
    </w:p>
    <w:p>
      <w:pPr>
        <w:spacing w:after="0" w:line="189" w:lineRule="exact"/>
        <w:rPr>
          <w:sz w:val="20"/>
          <w:szCs w:val="20"/>
          <w:color w:val="auto"/>
        </w:rPr>
      </w:pPr>
    </w:p>
    <w:p>
      <w:pPr>
        <w:ind w:right="20" w:firstLine="737"/>
        <w:spacing w:after="0" w:line="234" w:lineRule="auto"/>
        <w:rPr>
          <w:sz w:val="20"/>
          <w:szCs w:val="20"/>
          <w:color w:val="auto"/>
        </w:rPr>
      </w:pPr>
      <w:r>
        <w:rPr>
          <w:rFonts w:ascii="Arial" w:cs="Arial" w:eastAsia="Arial" w:hAnsi="Arial"/>
          <w:sz w:val="15"/>
          <w:szCs w:val="15"/>
          <w:color w:val="auto"/>
        </w:rPr>
        <w:t>We evaluate segment operating performance using segment revenue and segment Adjusted EBITDA attributable to Parsons Corporation. Adjusted EBITDA attributable to Parsons Corporation is Adjusted EBITDA excluding Adjusted EBITDA attributable to noncontrolling interests. See “Selected Financial Data” for a discussion of our definition of Adjusted EBITDA, how we use this metric, why we present this metric and the material limitations on the usefulness of this metric. See “Note 21—</w:t>
      </w:r>
      <w:r>
        <w:rPr>
          <w:rFonts w:ascii="Arial" w:cs="Arial" w:eastAsia="Arial" w:hAnsi="Arial"/>
          <w:sz w:val="15"/>
          <w:szCs w:val="15"/>
          <w:i w:val="1"/>
          <w:iCs w:val="1"/>
          <w:color w:val="auto"/>
        </w:rPr>
        <w:t>Segments</w:t>
      </w:r>
      <w:r>
        <w:rPr>
          <w:rFonts w:ascii="Arial" w:cs="Arial" w:eastAsia="Arial" w:hAnsi="Arial"/>
          <w:sz w:val="15"/>
          <w:szCs w:val="15"/>
          <w:color w:val="auto"/>
        </w:rPr>
        <w:t xml:space="preserve"> </w:t>
      </w:r>
      <w:r>
        <w:rPr>
          <w:rFonts w:ascii="Arial" w:cs="Arial" w:eastAsia="Arial" w:hAnsi="Arial"/>
          <w:sz w:val="15"/>
          <w:szCs w:val="15"/>
          <w:i w:val="1"/>
          <w:iCs w:val="1"/>
          <w:color w:val="auto"/>
        </w:rPr>
        <w:t>Information</w:t>
      </w:r>
      <w:r>
        <w:rPr>
          <w:rFonts w:ascii="Arial" w:cs="Arial" w:eastAsia="Arial" w:hAnsi="Arial"/>
          <w:sz w:val="15"/>
          <w:szCs w:val="15"/>
          <w:color w:val="auto"/>
        </w:rPr>
        <w:t>” in the notes to our consolidated financial statements included elsewhere in this Annual Report on Form 10-K for further discussion regarding our segment</w:t>
      </w:r>
      <w:r>
        <w:rPr>
          <w:rFonts w:ascii="Arial" w:cs="Arial" w:eastAsia="Arial" w:hAnsi="Arial"/>
          <w:sz w:val="15"/>
          <w:szCs w:val="15"/>
          <w:i w:val="1"/>
          <w:iCs w:val="1"/>
          <w:color w:val="auto"/>
        </w:rPr>
        <w:t xml:space="preserve"> </w:t>
      </w:r>
      <w:r>
        <w:rPr>
          <w:rFonts w:ascii="Arial" w:cs="Arial" w:eastAsia="Arial" w:hAnsi="Arial"/>
          <w:sz w:val="15"/>
          <w:szCs w:val="15"/>
          <w:color w:val="auto"/>
        </w:rPr>
        <w:t>Adjusted EBITDA attributable to Parsons Corporation.</w:t>
      </w:r>
    </w:p>
    <w:p>
      <w:pPr>
        <w:spacing w:after="0" w:line="79" w:lineRule="exact"/>
        <w:rPr>
          <w:sz w:val="20"/>
          <w:szCs w:val="20"/>
          <w:color w:val="auto"/>
        </w:rPr>
      </w:pPr>
    </w:p>
    <w:p>
      <w:pPr>
        <w:ind w:right="520" w:firstLine="745"/>
        <w:spacing w:after="0" w:line="239" w:lineRule="auto"/>
        <w:rPr>
          <w:sz w:val="20"/>
          <w:szCs w:val="20"/>
          <w:color w:val="auto"/>
        </w:rPr>
      </w:pPr>
      <w:r>
        <w:rPr>
          <w:rFonts w:ascii="Arial" w:cs="Arial" w:eastAsia="Arial" w:hAnsi="Arial"/>
          <w:sz w:val="15"/>
          <w:szCs w:val="15"/>
          <w:color w:val="auto"/>
        </w:rPr>
        <w:t>The following table shows Adjusted EBITDA attributable to Parsons Corporation for each of our reportable segments and Adjusted EBITDA attributable to noncontrolling interests: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86"/>
              <w:spacing w:after="0"/>
              <w:rPr>
                <w:sz w:val="20"/>
                <w:szCs w:val="20"/>
                <w:color w:val="auto"/>
              </w:rPr>
            </w:pPr>
            <w:r>
              <w:rPr>
                <w:rFonts w:ascii="Arial" w:cs="Arial" w:eastAsia="Arial" w:hAnsi="Arial"/>
                <w:sz w:val="12"/>
                <w:szCs w:val="12"/>
                <w:b w:val="1"/>
                <w:bCs w:val="1"/>
                <w:color w:val="auto"/>
              </w:rPr>
              <w:t>Fiscal Year Ended</w:t>
            </w:r>
          </w:p>
        </w:tc>
        <w:tc>
          <w:tcPr>
            <w:tcW w:w="2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3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28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20"/>
              <w:spacing w:after="0" w:line="136" w:lineRule="exact"/>
              <w:rPr>
                <w:sz w:val="20"/>
                <w:szCs w:val="20"/>
                <w:color w:val="auto"/>
              </w:rPr>
            </w:pPr>
            <w:r>
              <w:rPr>
                <w:rFonts w:ascii="Arial" w:cs="Arial" w:eastAsia="Arial" w:hAnsi="Arial"/>
                <w:sz w:val="12"/>
                <w:szCs w:val="12"/>
                <w:b w:val="1"/>
                <w:bCs w:val="1"/>
                <w:color w:val="auto"/>
                <w:w w:val="98"/>
              </w:rPr>
              <w:t>December 31, 2020</w:t>
            </w: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right"/>
              <w:ind w:right="66"/>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60" w:type="dxa"/>
            <w:vAlign w:val="bottom"/>
            <w:tcBorders>
              <w:bottom w:val="single" w:sz="8" w:color="CFF0FC"/>
            </w:tcBorders>
          </w:tcPr>
          <w:p>
            <w:pPr>
              <w:spacing w:after="0"/>
              <w:rPr>
                <w:sz w:val="11"/>
                <w:szCs w:val="11"/>
                <w:color w:val="auto"/>
              </w:rPr>
            </w:pPr>
          </w:p>
        </w:tc>
        <w:tc>
          <w:tcPr>
            <w:tcW w:w="1320" w:type="dxa"/>
            <w:vAlign w:val="bottom"/>
            <w:tcBorders>
              <w:bottom w:val="single" w:sz="8" w:color="auto"/>
            </w:tcBorders>
            <w:gridSpan w:val="4"/>
          </w:tcPr>
          <w:p>
            <w:pPr>
              <w:jc w:val="right"/>
              <w:ind w:right="140"/>
              <w:spacing w:after="0" w:line="136" w:lineRule="exact"/>
              <w:rPr>
                <w:sz w:val="20"/>
                <w:szCs w:val="20"/>
                <w:color w:val="auto"/>
              </w:rPr>
            </w:pPr>
            <w:r>
              <w:rPr>
                <w:rFonts w:ascii="Arial" w:cs="Arial" w:eastAsia="Arial" w:hAnsi="Arial"/>
                <w:sz w:val="12"/>
                <w:szCs w:val="12"/>
                <w:b w:val="1"/>
                <w:bCs w:val="1"/>
                <w:color w:val="auto"/>
              </w:rPr>
              <w:t>December 31, 2018</w:t>
            </w:r>
          </w:p>
        </w:tc>
        <w:tc>
          <w:tcPr>
            <w:tcW w:w="12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 Adjusted EBITDA attributable to Parsons Corporation</w:t>
            </w:r>
          </w:p>
        </w:tc>
        <w:tc>
          <w:tcPr>
            <w:tcW w:w="4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0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167,340</w:t>
            </w:r>
          </w:p>
        </w:tc>
        <w:tc>
          <w:tcPr>
            <w:tcW w:w="3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169,100</w:t>
            </w:r>
          </w:p>
        </w:tc>
        <w:tc>
          <w:tcPr>
            <w:tcW w:w="680" w:type="dxa"/>
            <w:vAlign w:val="bottom"/>
            <w:gridSpan w:val="2"/>
            <w:shd w:val="clear" w:color="auto" w:fill="CFF0FC"/>
          </w:tcPr>
          <w:p>
            <w:pPr>
              <w:jc w:val="right"/>
              <w:ind w:right="281"/>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121,986</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380" w:type="dxa"/>
            <w:vAlign w:val="bottom"/>
          </w:tcPr>
          <w:p>
            <w:pPr>
              <w:spacing w:after="0"/>
              <w:rPr>
                <w:sz w:val="20"/>
                <w:szCs w:val="20"/>
                <w:color w:val="auto"/>
              </w:rPr>
            </w:pPr>
            <w:r>
              <w:rPr>
                <w:rFonts w:ascii="Arial" w:cs="Arial" w:eastAsia="Arial" w:hAnsi="Arial"/>
                <w:sz w:val="15"/>
                <w:szCs w:val="15"/>
                <w:color w:val="auto"/>
              </w:rPr>
              <w:t>Critical Infrastructure Adjusted EBITDA attributable to Parsons Corporation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Arial" w:cs="Arial" w:eastAsia="Arial" w:hAnsi="Arial"/>
                <w:sz w:val="15"/>
                <w:szCs w:val="15"/>
                <w:color w:val="auto"/>
              </w:rPr>
              <w:t>154,528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jc w:val="right"/>
              <w:spacing w:after="0"/>
              <w:rPr>
                <w:sz w:val="20"/>
                <w:szCs w:val="20"/>
                <w:color w:val="auto"/>
              </w:rPr>
            </w:pPr>
            <w:r>
              <w:rPr>
                <w:rFonts w:ascii="Arial" w:cs="Arial" w:eastAsia="Arial" w:hAnsi="Arial"/>
                <w:sz w:val="15"/>
                <w:szCs w:val="15"/>
                <w:color w:val="auto"/>
              </w:rPr>
              <w:t>138,851</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106,851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38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noncontrolling interests</w:t>
            </w:r>
          </w:p>
        </w:tc>
        <w:tc>
          <w:tcPr>
            <w:tcW w:w="28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color w:val="auto"/>
              </w:rPr>
              <w:t>20,753</w:t>
            </w:r>
          </w:p>
        </w:tc>
        <w:tc>
          <w:tcPr>
            <w:tcW w:w="28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color w:val="auto"/>
              </w:rPr>
              <w:t>17,096</w:t>
            </w:r>
          </w:p>
        </w:tc>
        <w:tc>
          <w:tcPr>
            <w:tcW w:w="26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rPr>
              <w:t>17,407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380" w:type="dxa"/>
            <w:vAlign w:val="bottom"/>
          </w:tcPr>
          <w:p>
            <w:pPr>
              <w:ind w:left="220"/>
              <w:spacing w:after="0" w:line="169" w:lineRule="exact"/>
              <w:rPr>
                <w:sz w:val="20"/>
                <w:szCs w:val="20"/>
                <w:color w:val="auto"/>
              </w:rPr>
            </w:pPr>
            <w:r>
              <w:rPr>
                <w:rFonts w:ascii="Arial" w:cs="Arial" w:eastAsia="Arial" w:hAnsi="Arial"/>
                <w:sz w:val="15"/>
                <w:szCs w:val="15"/>
                <w:color w:val="auto"/>
              </w:rPr>
              <w:t>Total Adjusted EBITDA</w:t>
            </w:r>
          </w:p>
        </w:tc>
        <w:tc>
          <w:tcPr>
            <w:tcW w:w="4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0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342,621</w:t>
            </w:r>
          </w:p>
        </w:tc>
        <w:tc>
          <w:tcPr>
            <w:tcW w:w="38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325,047</w:t>
            </w:r>
          </w:p>
        </w:tc>
        <w:tc>
          <w:tcPr>
            <w:tcW w:w="680" w:type="dxa"/>
            <w:vAlign w:val="bottom"/>
            <w:gridSpan w:val="2"/>
          </w:tcPr>
          <w:p>
            <w:pPr>
              <w:jc w:val="right"/>
              <w:ind w:right="281"/>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246,244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5"/>
                <w:szCs w:val="15"/>
                <w:b w:val="1"/>
                <w:bCs w:val="1"/>
                <w:i w:val="1"/>
                <w:iCs w:val="1"/>
                <w:color w:val="auto"/>
              </w:rPr>
              <w:t>Year ended December 31, 2020 compared to year ended December 31, 2019</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63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380" w:type="dxa"/>
            <w:vAlign w:val="bottom"/>
          </w:tcPr>
          <w:p>
            <w:pPr>
              <w:spacing w:after="0"/>
              <w:rPr>
                <w:sz w:val="20"/>
                <w:szCs w:val="20"/>
                <w:color w:val="auto"/>
              </w:rPr>
            </w:pPr>
            <w:r>
              <w:rPr>
                <w:rFonts w:ascii="Arial" w:cs="Arial" w:eastAsia="Arial" w:hAnsi="Arial"/>
                <w:sz w:val="15"/>
                <w:szCs w:val="15"/>
                <w:i w:val="1"/>
                <w:iCs w:val="1"/>
                <w:color w:val="auto"/>
              </w:rPr>
              <w:t>Federal Solutions</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2"/>
                <w:szCs w:val="12"/>
                <w:b w:val="1"/>
                <w:bCs w:val="1"/>
                <w:color w:val="auto"/>
              </w:rPr>
              <w:t>The Year Ended</w:t>
            </w:r>
          </w:p>
        </w:tc>
        <w:tc>
          <w:tcPr>
            <w:tcW w:w="7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Variance</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260" w:type="dxa"/>
            <w:vAlign w:val="bottom"/>
            <w:tcBorders>
              <w:bottom w:val="single" w:sz="8" w:color="auto"/>
            </w:tcBorders>
            <w:gridSpan w:val="3"/>
          </w:tcPr>
          <w:p>
            <w:pPr>
              <w:jc w:val="right"/>
              <w:ind w:right="30"/>
              <w:spacing w:after="0" w:line="136" w:lineRule="exact"/>
              <w:rPr>
                <w:sz w:val="20"/>
                <w:szCs w:val="20"/>
                <w:color w:val="auto"/>
              </w:rPr>
            </w:pPr>
            <w:r>
              <w:rPr>
                <w:rFonts w:ascii="Arial" w:cs="Arial" w:eastAsia="Arial" w:hAnsi="Arial"/>
                <w:sz w:val="12"/>
                <w:szCs w:val="12"/>
                <w:b w:val="1"/>
                <w:bCs w:val="1"/>
                <w:color w:val="auto"/>
              </w:rPr>
              <w:t>December 31, 2020</w:t>
            </w: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30"/>
              <w:spacing w:after="0" w:line="136" w:lineRule="exact"/>
              <w:rPr>
                <w:sz w:val="20"/>
                <w:szCs w:val="20"/>
                <w:color w:val="auto"/>
              </w:rPr>
            </w:pPr>
            <w:r>
              <w:rPr>
                <w:rFonts w:ascii="Arial" w:cs="Arial" w:eastAsia="Arial" w:hAnsi="Arial"/>
                <w:sz w:val="12"/>
                <w:szCs w:val="12"/>
                <w:b w:val="1"/>
                <w:bCs w:val="1"/>
                <w:color w:val="auto"/>
                <w:w w:val="96"/>
              </w:rPr>
              <w:t>December 31, 2019</w:t>
            </w:r>
          </w:p>
        </w:tc>
        <w:tc>
          <w:tcPr>
            <w:tcW w:w="26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221"/>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jc w:val="right"/>
              <w:ind w:right="28"/>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280" w:type="dxa"/>
            <w:vAlign w:val="bottom"/>
            <w:shd w:val="clear" w:color="auto" w:fill="CFF0FC"/>
          </w:tcPr>
          <w:p>
            <w:pPr>
              <w:jc w:val="right"/>
              <w:ind w:right="129"/>
              <w:spacing w:after="0" w:line="169" w:lineRule="exact"/>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1,911,910</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1,887,907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6"/>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24,003</w:t>
            </w:r>
          </w:p>
        </w:tc>
        <w:tc>
          <w:tcPr>
            <w:tcW w:w="260" w:type="dxa"/>
            <w:vAlign w:val="bottom"/>
            <w:shd w:val="clear" w:color="auto" w:fill="CFF0FC"/>
          </w:tcPr>
          <w:p>
            <w:pPr>
              <w:spacing w:after="0"/>
              <w:rPr>
                <w:sz w:val="14"/>
                <w:szCs w:val="14"/>
                <w:color w:val="auto"/>
              </w:rPr>
            </w:pPr>
          </w:p>
        </w:tc>
        <w:tc>
          <w:tcPr>
            <w:tcW w:w="760" w:type="dxa"/>
            <w:vAlign w:val="bottom"/>
            <w:gridSpan w:val="3"/>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280" w:type="dxa"/>
            <w:vAlign w:val="bottom"/>
          </w:tcPr>
          <w:p>
            <w:pPr>
              <w:jc w:val="right"/>
              <w:ind w:right="129"/>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167,340</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169,100</w:t>
            </w:r>
          </w:p>
        </w:tc>
        <w:tc>
          <w:tcPr>
            <w:tcW w:w="26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20"/>
              <w:spacing w:after="0"/>
              <w:rPr>
                <w:sz w:val="20"/>
                <w:szCs w:val="20"/>
                <w:color w:val="auto"/>
              </w:rPr>
            </w:pPr>
            <w:r>
              <w:rPr>
                <w:rFonts w:ascii="Arial" w:cs="Arial" w:eastAsia="Arial" w:hAnsi="Arial"/>
                <w:sz w:val="15"/>
                <w:szCs w:val="15"/>
                <w:color w:val="auto"/>
              </w:rPr>
              <w:t>(1,760)</w:t>
            </w:r>
          </w:p>
        </w:tc>
        <w:tc>
          <w:tcPr>
            <w:tcW w:w="760" w:type="dxa"/>
            <w:vAlign w:val="bottom"/>
            <w:gridSpan w:val="3"/>
          </w:tcPr>
          <w:p>
            <w:pPr>
              <w:jc w:val="right"/>
              <w:ind w:right="2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680" w:firstLine="745"/>
        <w:spacing w:after="0" w:line="239" w:lineRule="auto"/>
        <w:rPr>
          <w:sz w:val="20"/>
          <w:szCs w:val="20"/>
          <w:color w:val="auto"/>
        </w:rPr>
      </w:pPr>
      <w:r>
        <w:rPr>
          <w:rFonts w:ascii="Arial" w:cs="Arial" w:eastAsia="Arial" w:hAnsi="Arial"/>
          <w:sz w:val="15"/>
          <w:szCs w:val="15"/>
          <w:color w:val="auto"/>
        </w:rPr>
        <w:t>The increase in Federal Solutions revenue for the year ended December 31, 2020 compared to the corresponding period last year was primarily due to incremental revenue from business acquisitions, which added $27.7 million.</w:t>
      </w:r>
    </w:p>
    <w:p>
      <w:pPr>
        <w:spacing w:after="0" w:line="78" w:lineRule="exact"/>
        <w:rPr>
          <w:sz w:val="20"/>
          <w:szCs w:val="20"/>
          <w:color w:val="auto"/>
        </w:rPr>
      </w:pPr>
    </w:p>
    <w:p>
      <w:pPr>
        <w:ind w:right="100" w:firstLine="745"/>
        <w:spacing w:after="0" w:line="239" w:lineRule="auto"/>
        <w:rPr>
          <w:sz w:val="20"/>
          <w:szCs w:val="20"/>
          <w:color w:val="auto"/>
        </w:rPr>
      </w:pPr>
      <w:r>
        <w:rPr>
          <w:rFonts w:ascii="Arial" w:cs="Arial" w:eastAsia="Arial" w:hAnsi="Arial"/>
          <w:sz w:val="15"/>
          <w:szCs w:val="15"/>
          <w:color w:val="auto"/>
        </w:rPr>
        <w:t>The decrease in Federal Solutions Adjusted EBITDA attributable to Parsons Corporation for the year ended December 31, 2020 compared to the prior year was primarily due to an increase in IG&amp;A, partially offset by an increase in business volume from business acquisitions and higher project margins.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73" w:name="page74"/>
    <w:bookmarkEnd w:id="73"/>
    <w:p>
      <w:pPr>
        <w:spacing w:after="0"/>
        <w:rPr>
          <w:sz w:val="20"/>
          <w:szCs w:val="20"/>
          <w:color w:val="auto"/>
        </w:rPr>
      </w:pPr>
      <w:r>
        <w:rPr>
          <w:rFonts w:ascii="Arial" w:cs="Arial" w:eastAsia="Arial" w:hAnsi="Arial"/>
          <w:sz w:val="15"/>
          <w:szCs w:val="15"/>
          <w:i w:val="1"/>
          <w:iCs w:val="1"/>
          <w:color w:val="auto"/>
        </w:rPr>
        <w:t>Critical Infrastructure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2"/>
                <w:szCs w:val="12"/>
                <w:b w:val="1"/>
                <w:bCs w:val="1"/>
                <w:color w:val="auto"/>
              </w:rPr>
              <w:t>The Year Ended</w:t>
            </w:r>
          </w:p>
        </w:tc>
        <w:tc>
          <w:tcPr>
            <w:tcW w:w="2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Variance</w:t>
            </w:r>
          </w:p>
        </w:tc>
        <w:tc>
          <w:tcPr>
            <w:tcW w:w="5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35"/>
        </w:trPr>
        <w:tc>
          <w:tcPr>
            <w:tcW w:w="63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31, 2020</w:t>
            </w:r>
          </w:p>
        </w:tc>
        <w:tc>
          <w:tcPr>
            <w:tcW w:w="2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1"/>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6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4"/>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ind w:left="40"/>
              <w:spacing w:after="0" w:line="136" w:lineRule="exact"/>
              <w:rPr>
                <w:sz w:val="20"/>
                <w:szCs w:val="20"/>
                <w:color w:val="auto"/>
              </w:rPr>
            </w:pPr>
            <w:r>
              <w:rPr>
                <w:rFonts w:ascii="Arial" w:cs="Arial" w:eastAsia="Arial" w:hAnsi="Arial"/>
                <w:sz w:val="12"/>
                <w:szCs w:val="12"/>
                <w:b w:val="1"/>
                <w:bCs w:val="1"/>
                <w:color w:val="auto"/>
              </w:rPr>
              <w:t>Percent</w:t>
            </w:r>
          </w:p>
        </w:tc>
        <w:tc>
          <w:tcPr>
            <w:tcW w:w="200" w:type="dxa"/>
            <w:vAlign w:val="bottom"/>
            <w:tcBorders>
              <w:bottom w:val="single" w:sz="8" w:color="CFF0FC"/>
            </w:tcBorders>
          </w:tcPr>
          <w:p>
            <w:pPr>
              <w:spacing w:after="0"/>
              <w:rPr>
                <w:sz w:val="11"/>
                <w:szCs w:val="11"/>
                <w:color w:val="auto"/>
              </w:rPr>
            </w:pPr>
          </w:p>
        </w:tc>
      </w:tr>
      <w:tr>
        <w:trPr>
          <w:trHeight w:val="168"/>
        </w:trPr>
        <w:tc>
          <w:tcPr>
            <w:tcW w:w="6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2,007,036</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2,066,905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6"/>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5"/>
                <w:szCs w:val="15"/>
                <w:color w:val="auto"/>
              </w:rPr>
              <w:t>(59,869)</w:t>
            </w:r>
          </w:p>
        </w:tc>
        <w:tc>
          <w:tcPr>
            <w:tcW w:w="7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(2.9)%</w:t>
            </w:r>
          </w:p>
        </w:tc>
      </w:tr>
      <w:tr>
        <w:trPr>
          <w:trHeight w:val="188"/>
        </w:trPr>
        <w:tc>
          <w:tcPr>
            <w:tcW w:w="638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154,528</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138,851</w:t>
            </w:r>
          </w:p>
        </w:tc>
        <w:tc>
          <w:tcPr>
            <w:tcW w:w="260" w:type="dxa"/>
            <w:vAlign w:val="bottom"/>
          </w:tcPr>
          <w:p>
            <w:pPr>
              <w:spacing w:after="0"/>
              <w:rPr>
                <w:sz w:val="16"/>
                <w:szCs w:val="16"/>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15,677</w:t>
            </w:r>
          </w:p>
        </w:tc>
        <w:tc>
          <w:tcPr>
            <w:tcW w:w="26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11.3%</w:t>
            </w:r>
          </w:p>
        </w:tc>
      </w:tr>
    </w:tbl>
    <w:p>
      <w:pPr>
        <w:spacing w:after="0" w:line="77" w:lineRule="exact"/>
        <w:rPr>
          <w:sz w:val="20"/>
          <w:szCs w:val="20"/>
          <w:color w:val="auto"/>
        </w:rPr>
      </w:pPr>
    </w:p>
    <w:p>
      <w:pPr>
        <w:ind w:right="60" w:firstLine="745"/>
        <w:spacing w:after="0" w:line="239" w:lineRule="auto"/>
        <w:rPr>
          <w:sz w:val="20"/>
          <w:szCs w:val="20"/>
          <w:color w:val="auto"/>
        </w:rPr>
      </w:pPr>
      <w:r>
        <w:rPr>
          <w:rFonts w:ascii="Arial" w:cs="Arial" w:eastAsia="Arial" w:hAnsi="Arial"/>
          <w:sz w:val="15"/>
          <w:szCs w:val="15"/>
          <w:color w:val="auto"/>
        </w:rPr>
        <w:t>The decrease in revenue for the year ended December 31, 2020 compared to the corresponding period last year was primarily related to a decrease in business volume on contracts with pass-through revenue, along with normal course net fluctuations in the winding down and starting up of contracts.</w:t>
      </w:r>
    </w:p>
    <w:p>
      <w:pPr>
        <w:spacing w:after="0" w:line="78" w:lineRule="exact"/>
        <w:rPr>
          <w:sz w:val="20"/>
          <w:szCs w:val="20"/>
          <w:color w:val="auto"/>
        </w:rPr>
      </w:pPr>
    </w:p>
    <w:p>
      <w:pPr>
        <w:ind w:right="20" w:firstLine="749"/>
        <w:spacing w:after="0" w:line="239" w:lineRule="auto"/>
        <w:rPr>
          <w:sz w:val="20"/>
          <w:szCs w:val="20"/>
          <w:color w:val="auto"/>
        </w:rPr>
      </w:pPr>
      <w:r>
        <w:rPr>
          <w:rFonts w:ascii="Arial" w:cs="Arial" w:eastAsia="Arial" w:hAnsi="Arial"/>
          <w:sz w:val="15"/>
          <w:szCs w:val="15"/>
          <w:color w:val="auto"/>
        </w:rPr>
        <w:t>The increase in Critical Infrastructure Adjusted EBITDA attributable to Parsons for the year ended December 31, 2020 compared to the corresponding period last year was primarily due to improved project margins offset in part by a decrease in equity in earnings.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Year ended December 31, 2019 compared to year ended December 31, 2018</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Federal Solutions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8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2"/>
                <w:szCs w:val="12"/>
                <w:b w:val="1"/>
                <w:bCs w:val="1"/>
                <w:color w:val="auto"/>
              </w:rPr>
              <w:t>The Year Ended</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ind w:left="460"/>
              <w:spacing w:after="0"/>
              <w:rPr>
                <w:sz w:val="20"/>
                <w:szCs w:val="20"/>
                <w:color w:val="auto"/>
              </w:rPr>
            </w:pPr>
            <w:r>
              <w:rPr>
                <w:rFonts w:ascii="Arial" w:cs="Arial" w:eastAsia="Arial" w:hAnsi="Arial"/>
                <w:sz w:val="12"/>
                <w:szCs w:val="12"/>
                <w:b w:val="1"/>
                <w:bCs w:val="1"/>
                <w:color w:val="auto"/>
                <w:w w:val="95"/>
              </w:rPr>
              <w:t>Variance</w:t>
            </w:r>
          </w:p>
        </w:tc>
        <w:tc>
          <w:tcPr>
            <w:tcW w:w="6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135"/>
        </w:trPr>
        <w:tc>
          <w:tcPr>
            <w:tcW w:w="638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31"/>
              <w:spacing w:after="0" w:line="136" w:lineRule="exact"/>
              <w:rPr>
                <w:sz w:val="20"/>
                <w:szCs w:val="20"/>
                <w:color w:val="auto"/>
              </w:rPr>
            </w:pPr>
            <w:r>
              <w:rPr>
                <w:rFonts w:ascii="Arial" w:cs="Arial" w:eastAsia="Arial" w:hAnsi="Arial"/>
                <w:sz w:val="12"/>
                <w:szCs w:val="12"/>
                <w:b w:val="1"/>
                <w:bCs w:val="1"/>
                <w:color w:val="auto"/>
                <w:w w:val="96"/>
              </w:rPr>
              <w:t>December 31, 2018</w:t>
            </w:r>
          </w:p>
        </w:tc>
        <w:tc>
          <w:tcPr>
            <w:tcW w:w="26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4"/>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620" w:type="dxa"/>
            <w:vAlign w:val="bottom"/>
            <w:tcBorders>
              <w:bottom w:val="single" w:sz="8" w:color="auto"/>
            </w:tcBorders>
          </w:tcPr>
          <w:p>
            <w:pPr>
              <w:ind w:left="80"/>
              <w:spacing w:after="0" w:line="136" w:lineRule="exact"/>
              <w:rPr>
                <w:sz w:val="20"/>
                <w:szCs w:val="20"/>
                <w:color w:val="auto"/>
              </w:rPr>
            </w:pPr>
            <w:r>
              <w:rPr>
                <w:rFonts w:ascii="Arial" w:cs="Arial" w:eastAsia="Arial" w:hAnsi="Arial"/>
                <w:sz w:val="12"/>
                <w:szCs w:val="12"/>
                <w:b w:val="1"/>
                <w:bCs w:val="1"/>
                <w:color w:val="auto"/>
              </w:rPr>
              <w:t>Percent</w:t>
            </w:r>
          </w:p>
        </w:tc>
        <w:tc>
          <w:tcPr>
            <w:tcW w:w="140" w:type="dxa"/>
            <w:vAlign w:val="bottom"/>
            <w:tcBorders>
              <w:bottom w:val="single" w:sz="8" w:color="CFF0FC"/>
            </w:tcBorders>
          </w:tcPr>
          <w:p>
            <w:pPr>
              <w:spacing w:after="0"/>
              <w:rPr>
                <w:sz w:val="11"/>
                <w:szCs w:val="11"/>
                <w:color w:val="auto"/>
              </w:rPr>
            </w:pPr>
          </w:p>
        </w:tc>
      </w:tr>
      <w:tr>
        <w:trPr>
          <w:trHeight w:val="168"/>
        </w:trPr>
        <w:tc>
          <w:tcPr>
            <w:tcW w:w="6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1,887,907</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1,479,007</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408,900</w:t>
            </w:r>
          </w:p>
        </w:tc>
        <w:tc>
          <w:tcPr>
            <w:tcW w:w="26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27.6%</w:t>
            </w:r>
          </w:p>
        </w:tc>
      </w:tr>
      <w:tr>
        <w:trPr>
          <w:trHeight w:val="188"/>
        </w:trPr>
        <w:tc>
          <w:tcPr>
            <w:tcW w:w="638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169,100</w:t>
            </w:r>
          </w:p>
        </w:tc>
        <w:tc>
          <w:tcPr>
            <w:tcW w:w="2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121,986</w:t>
            </w:r>
          </w:p>
        </w:tc>
        <w:tc>
          <w:tcPr>
            <w:tcW w:w="26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47,114</w:t>
            </w:r>
          </w:p>
        </w:tc>
        <w:tc>
          <w:tcPr>
            <w:tcW w:w="260" w:type="dxa"/>
            <w:vAlign w:val="bottom"/>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5"/>
                <w:szCs w:val="15"/>
                <w:color w:val="auto"/>
              </w:rPr>
              <w:t>38.6%</w:t>
            </w:r>
          </w:p>
        </w:tc>
      </w:tr>
    </w:tbl>
    <w:p>
      <w:pPr>
        <w:spacing w:after="0" w:line="77" w:lineRule="exact"/>
        <w:rPr>
          <w:sz w:val="20"/>
          <w:szCs w:val="20"/>
          <w:color w:val="auto"/>
        </w:rPr>
      </w:pPr>
    </w:p>
    <w:p>
      <w:pPr>
        <w:ind w:right="60" w:firstLine="745"/>
        <w:spacing w:after="0" w:line="236" w:lineRule="auto"/>
        <w:rPr>
          <w:sz w:val="20"/>
          <w:szCs w:val="20"/>
          <w:color w:val="auto"/>
        </w:rPr>
      </w:pPr>
      <w:r>
        <w:rPr>
          <w:rFonts w:ascii="Arial" w:cs="Arial" w:eastAsia="Arial" w:hAnsi="Arial"/>
          <w:sz w:val="15"/>
          <w:szCs w:val="15"/>
          <w:color w:val="auto"/>
        </w:rPr>
        <w:t>The increase in Federal Solutions revenue for the year ended December 31, 2019 compared to the previous year was primarily due to incremental revenue from business acquisitions, which added $317.4 million. Federal Solutions organic revenue grew $91.5 million, which included significant incentive fee recognition and an increase in business volume on existing contracts, offset by the completion of a significant contract.</w:t>
      </w:r>
    </w:p>
    <w:p>
      <w:pPr>
        <w:spacing w:after="0" w:line="79" w:lineRule="exact"/>
        <w:rPr>
          <w:sz w:val="20"/>
          <w:szCs w:val="20"/>
          <w:color w:val="auto"/>
        </w:rPr>
      </w:pPr>
    </w:p>
    <w:p>
      <w:pPr>
        <w:ind w:right="80" w:firstLine="745"/>
        <w:spacing w:after="0" w:line="235" w:lineRule="auto"/>
        <w:rPr>
          <w:sz w:val="20"/>
          <w:szCs w:val="20"/>
          <w:color w:val="auto"/>
        </w:rPr>
      </w:pPr>
      <w:r>
        <w:rPr>
          <w:rFonts w:ascii="Arial" w:cs="Arial" w:eastAsia="Arial" w:hAnsi="Arial"/>
          <w:sz w:val="15"/>
          <w:szCs w:val="15"/>
          <w:color w:val="auto"/>
        </w:rPr>
        <w:t>The increase in Federal Solutions Adjusted EBITDA attributable to Parsons Corporation for the year ended December 31, 2019 compared to the previous year was primarily due to business acquisitions, an increase in business volume on existing contracts, and generally higher profit margins driven by significant incentive fee recognition. These increases were partially offset by an increase in IG&amp;A, driven by an increase in bid and proposal costs and a greater allocation of corporate IG&amp;A in line with the segment’s growing share of overall business, as well as the completion of a significant contract.</w:t>
      </w: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Critical Infrastructure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2"/>
                <w:szCs w:val="12"/>
                <w:b w:val="1"/>
                <w:bCs w:val="1"/>
                <w:color w:val="auto"/>
              </w:rPr>
              <w:t>The Year Ended</w:t>
            </w:r>
          </w:p>
        </w:tc>
        <w:tc>
          <w:tcPr>
            <w:tcW w:w="2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Variance</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35"/>
        </w:trPr>
        <w:tc>
          <w:tcPr>
            <w:tcW w:w="4960" w:type="dxa"/>
            <w:vAlign w:val="bottom"/>
            <w:tcBorders>
              <w:bottom w:val="single" w:sz="8" w:color="CFF0FC"/>
            </w:tcBorders>
          </w:tcPr>
          <w:p>
            <w:pPr>
              <w:spacing w:after="0" w:line="136" w:lineRule="exact"/>
              <w:rPr>
                <w:sz w:val="20"/>
                <w:szCs w:val="20"/>
                <w:color w:val="auto"/>
              </w:rPr>
            </w:pPr>
            <w:r>
              <w:rPr>
                <w:rFonts w:ascii="Arial" w:cs="Arial" w:eastAsia="Arial" w:hAnsi="Arial"/>
                <w:sz w:val="12"/>
                <w:szCs w:val="12"/>
                <w:b w:val="1"/>
                <w:bCs w:val="1"/>
                <w:color w:val="auto"/>
              </w:rPr>
              <w:t>(U.S. dollars in thousands)</w:t>
            </w:r>
          </w:p>
        </w:tc>
        <w:tc>
          <w:tcPr>
            <w:tcW w:w="14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4"/>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26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31"/>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26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4"/>
              <w:spacing w:after="0" w:line="136" w:lineRule="exact"/>
              <w:rPr>
                <w:sz w:val="20"/>
                <w:szCs w:val="20"/>
                <w:color w:val="auto"/>
              </w:rPr>
            </w:pPr>
            <w:r>
              <w:rPr>
                <w:rFonts w:ascii="Arial" w:cs="Arial" w:eastAsia="Arial" w:hAnsi="Arial"/>
                <w:sz w:val="12"/>
                <w:szCs w:val="12"/>
                <w:b w:val="1"/>
                <w:bCs w:val="1"/>
                <w:color w:val="auto"/>
              </w:rPr>
              <w:t>Dollar</w:t>
            </w:r>
          </w:p>
        </w:tc>
        <w:tc>
          <w:tcPr>
            <w:tcW w:w="260" w:type="dxa"/>
            <w:vAlign w:val="bottom"/>
            <w:tcBorders>
              <w:bottom w:val="single" w:sz="8" w:color="CFF0FC"/>
            </w:tcBorders>
          </w:tcPr>
          <w:p>
            <w:pPr>
              <w:spacing w:after="0"/>
              <w:rPr>
                <w:sz w:val="11"/>
                <w:szCs w:val="11"/>
                <w:color w:val="auto"/>
              </w:rPr>
            </w:pPr>
          </w:p>
        </w:tc>
        <w:tc>
          <w:tcPr>
            <w:tcW w:w="520" w:type="dxa"/>
            <w:vAlign w:val="bottom"/>
            <w:tcBorders>
              <w:bottom w:val="single" w:sz="8" w:color="auto"/>
            </w:tcBorders>
          </w:tcPr>
          <w:p>
            <w:pPr>
              <w:ind w:left="40"/>
              <w:spacing w:after="0" w:line="136" w:lineRule="exact"/>
              <w:rPr>
                <w:sz w:val="20"/>
                <w:szCs w:val="20"/>
                <w:color w:val="auto"/>
              </w:rPr>
            </w:pPr>
            <w:r>
              <w:rPr>
                <w:rFonts w:ascii="Arial" w:cs="Arial" w:eastAsia="Arial" w:hAnsi="Arial"/>
                <w:sz w:val="12"/>
                <w:szCs w:val="12"/>
                <w:b w:val="1"/>
                <w:bCs w:val="1"/>
                <w:color w:val="auto"/>
              </w:rPr>
              <w:t>Percent</w:t>
            </w:r>
          </w:p>
        </w:tc>
        <w:tc>
          <w:tcPr>
            <w:tcW w:w="160" w:type="dxa"/>
            <w:vAlign w:val="bottom"/>
            <w:tcBorders>
              <w:bottom w:val="single" w:sz="8" w:color="CFF0FC"/>
            </w:tcBorders>
          </w:tcPr>
          <w:p>
            <w:pPr>
              <w:spacing w:after="0"/>
              <w:rPr>
                <w:sz w:val="11"/>
                <w:szCs w:val="11"/>
                <w:color w:val="auto"/>
              </w:rPr>
            </w:pPr>
          </w:p>
        </w:tc>
      </w:tr>
      <w:tr>
        <w:trPr>
          <w:trHeight w:val="168"/>
        </w:trPr>
        <w:tc>
          <w:tcPr>
            <w:tcW w:w="49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15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2,066,905</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1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2,081,501</w:t>
            </w: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(14,596)</w:t>
            </w:r>
          </w:p>
        </w:tc>
        <w:tc>
          <w:tcPr>
            <w:tcW w:w="6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-0.7%</w:t>
            </w:r>
          </w:p>
        </w:tc>
      </w:tr>
      <w:tr>
        <w:trPr>
          <w:trHeight w:val="188"/>
        </w:trPr>
        <w:tc>
          <w:tcPr>
            <w:tcW w:w="4960" w:type="dxa"/>
            <w:vAlign w:val="bottom"/>
          </w:tcPr>
          <w:p>
            <w:pPr>
              <w:spacing w:after="0"/>
              <w:rPr>
                <w:sz w:val="20"/>
                <w:szCs w:val="20"/>
                <w:color w:val="auto"/>
              </w:rPr>
            </w:pPr>
            <w:r>
              <w:rPr>
                <w:rFonts w:ascii="Arial" w:cs="Arial" w:eastAsia="Arial" w:hAnsi="Arial"/>
                <w:sz w:val="15"/>
                <w:szCs w:val="15"/>
                <w:color w:val="auto"/>
              </w:rPr>
              <w:t>Adjusted EBITDA attributable to Parsons Corporation</w:t>
            </w:r>
          </w:p>
        </w:tc>
        <w:tc>
          <w:tcPr>
            <w:tcW w:w="15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138,851</w:t>
            </w:r>
          </w:p>
        </w:tc>
        <w:tc>
          <w:tcPr>
            <w:tcW w:w="3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106,851</w:t>
            </w:r>
          </w:p>
        </w:tc>
        <w:tc>
          <w:tcPr>
            <w:tcW w:w="260" w:type="dxa"/>
            <w:vAlign w:val="bottom"/>
          </w:tcPr>
          <w:p>
            <w:pPr>
              <w:spacing w:after="0"/>
              <w:rPr>
                <w:sz w:val="16"/>
                <w:szCs w:val="16"/>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32,000</w:t>
            </w:r>
          </w:p>
        </w:tc>
        <w:tc>
          <w:tcPr>
            <w:tcW w:w="2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5"/>
                <w:szCs w:val="15"/>
                <w:color w:val="auto"/>
              </w:rPr>
              <w:t>29.9%</w:t>
            </w:r>
          </w:p>
        </w:tc>
      </w:tr>
    </w:tbl>
    <w:p>
      <w:pPr>
        <w:spacing w:after="0" w:line="71" w:lineRule="exact"/>
        <w:rPr>
          <w:sz w:val="20"/>
          <w:szCs w:val="20"/>
          <w:color w:val="auto"/>
        </w:rPr>
      </w:pPr>
    </w:p>
    <w:p>
      <w:pPr>
        <w:ind w:left="760"/>
        <w:spacing w:after="0"/>
        <w:rPr>
          <w:sz w:val="20"/>
          <w:szCs w:val="20"/>
          <w:color w:val="auto"/>
        </w:rPr>
      </w:pPr>
      <w:r>
        <w:rPr>
          <w:rFonts w:ascii="Arial" w:cs="Arial" w:eastAsia="Arial" w:hAnsi="Arial"/>
          <w:sz w:val="15"/>
          <w:szCs w:val="15"/>
          <w:color w:val="auto"/>
        </w:rPr>
        <w:t>As discussed above, Critical Infrastructure revenue for the year ended December 31, 2018 included $55.1 million related to the settlement of a claim that was</w:t>
      </w:r>
    </w:p>
    <w:p>
      <w:pPr>
        <w:spacing w:after="0" w:line="231" w:lineRule="auto"/>
        <w:rPr>
          <w:sz w:val="20"/>
          <w:szCs w:val="20"/>
          <w:color w:val="auto"/>
        </w:rPr>
      </w:pPr>
      <w:r>
        <w:rPr>
          <w:rFonts w:ascii="Arial" w:cs="Arial" w:eastAsia="Arial" w:hAnsi="Arial"/>
          <w:sz w:val="15"/>
          <w:szCs w:val="15"/>
          <w:color w:val="auto"/>
        </w:rPr>
        <w:t>resolved in favor of the Company. Excluding the claim settlement, revenue for the year ended December 31, 2019 compared to the previous year increased $44.2</w:t>
      </w:r>
    </w:p>
    <w:p>
      <w:pPr>
        <w:spacing w:after="0"/>
        <w:rPr>
          <w:sz w:val="20"/>
          <w:szCs w:val="20"/>
          <w:color w:val="auto"/>
        </w:rPr>
      </w:pPr>
      <w:r>
        <w:rPr>
          <w:rFonts w:ascii="Arial" w:cs="Arial" w:eastAsia="Arial" w:hAnsi="Arial"/>
          <w:sz w:val="14"/>
          <w:szCs w:val="14"/>
          <w:color w:val="auto"/>
        </w:rPr>
        <w:t>million. This increase in revenue was primarily related to an increase in business volume under existing contracts, along with normal course fluctuations in the winding down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and starting up of contracts.</w:t>
      </w:r>
    </w:p>
    <w:p>
      <w:pPr>
        <w:spacing w:after="0" w:line="82" w:lineRule="exact"/>
        <w:rPr>
          <w:sz w:val="20"/>
          <w:szCs w:val="20"/>
          <w:color w:val="auto"/>
        </w:rPr>
      </w:pPr>
    </w:p>
    <w:p>
      <w:pPr>
        <w:jc w:val="both"/>
        <w:ind w:right="480" w:firstLine="749"/>
        <w:spacing w:after="0" w:line="236" w:lineRule="auto"/>
        <w:rPr>
          <w:sz w:val="20"/>
          <w:szCs w:val="20"/>
          <w:color w:val="auto"/>
        </w:rPr>
      </w:pPr>
      <w:r>
        <w:rPr>
          <w:rFonts w:ascii="Arial" w:cs="Arial" w:eastAsia="Arial" w:hAnsi="Arial"/>
          <w:sz w:val="15"/>
          <w:szCs w:val="15"/>
          <w:color w:val="auto"/>
        </w:rPr>
        <w:t>The increase in Critical Infrastructure Adjusted EBITDA attributable to Parsons for the year ended December 31, 2019 compared to the previous year was primarily due to an increase in business volume, a decrease in IG&amp;A, primarily due to a lower allocation of corporate IG&amp;A in line with the segment’s share of overall business, and an increase in equity in earnings of unconsolidated joint ventures.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6" w:right="31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5"/>
          <w:szCs w:val="15"/>
          <w:b w:val="1"/>
          <w:bCs w:val="1"/>
          <w:color w:val="auto"/>
        </w:rPr>
        <w:t>Liquidity and Capital Resources</w:t>
      </w:r>
    </w:p>
    <w:p>
      <w:pPr>
        <w:spacing w:after="0" w:line="100" w:lineRule="exact"/>
        <w:rPr>
          <w:sz w:val="20"/>
          <w:szCs w:val="20"/>
          <w:color w:val="auto"/>
        </w:rPr>
      </w:pPr>
    </w:p>
    <w:p>
      <w:pPr>
        <w:ind w:right="60" w:firstLine="737"/>
        <w:spacing w:after="0" w:line="234" w:lineRule="auto"/>
        <w:rPr>
          <w:sz w:val="20"/>
          <w:szCs w:val="20"/>
          <w:color w:val="auto"/>
        </w:rPr>
      </w:pPr>
      <w:r>
        <w:rPr>
          <w:rFonts w:ascii="Arial" w:cs="Arial" w:eastAsia="Arial" w:hAnsi="Arial"/>
          <w:sz w:val="15"/>
          <w:szCs w:val="15"/>
          <w:color w:val="auto"/>
        </w:rPr>
        <w:t>We currently finance our operations and capital expenditures through a combination of internally generated cash from operations, our Senior Notes, Convertible Senior Notes, and periodic borrowings under our Revolving Credit Facility. Prior to November 3, 2019, we financed our operations, capital expenditures and redemptions of ESOP through a combination of internally generated cash from operations, our Senior Notes, and periodic borrowings under our Revolving Credit facility. After November 3, 2019, all shares held by the ESOP are redeemable by participants in shares of our common stock once vesting and eligibility requirements have been met. See “Critical Accounting Policies and Estimates” elsewhere in this Annual Report on Form 10-K for a discussion of the ESOP and related IPO matters.</w:t>
      </w:r>
    </w:p>
    <w:p>
      <w:pPr>
        <w:spacing w:after="0" w:line="79" w:lineRule="exact"/>
        <w:rPr>
          <w:sz w:val="20"/>
          <w:szCs w:val="20"/>
          <w:color w:val="auto"/>
        </w:rPr>
      </w:pPr>
    </w:p>
    <w:p>
      <w:pPr>
        <w:ind w:right="140" w:firstLine="737"/>
        <w:spacing w:after="0" w:line="235" w:lineRule="auto"/>
        <w:rPr>
          <w:sz w:val="20"/>
          <w:szCs w:val="20"/>
          <w:color w:val="auto"/>
        </w:rPr>
      </w:pPr>
      <w:r>
        <w:rPr>
          <w:rFonts w:ascii="Arial" w:cs="Arial" w:eastAsia="Arial" w:hAnsi="Arial"/>
          <w:sz w:val="15"/>
          <w:szCs w:val="15"/>
          <w:color w:val="auto"/>
        </w:rPr>
        <w:t>Generally, cash provided by operating activities has been adequate to fund our operations. Due to fluctuations in our cash flows and growth in our operations, it may be necessary from time to time in the future to borrow under our Credit Agreement to meet cash demands. Our management regularly monitors certain liquidity measures to monitor performance. We calculate our available liquidity as a sum of cash and cash equivalents from our consolidated balance sheet plus the amount available and unutilized on our Credit Agreement.</w:t>
      </w:r>
    </w:p>
    <w:p>
      <w:pPr>
        <w:spacing w:after="0" w:line="78" w:lineRule="exact"/>
        <w:rPr>
          <w:sz w:val="20"/>
          <w:szCs w:val="20"/>
          <w:color w:val="auto"/>
        </w:rPr>
      </w:pPr>
    </w:p>
    <w:p>
      <w:pPr>
        <w:ind w:right="140" w:firstLine="737"/>
        <w:spacing w:after="0" w:line="234" w:lineRule="auto"/>
        <w:rPr>
          <w:sz w:val="20"/>
          <w:szCs w:val="20"/>
          <w:color w:val="auto"/>
        </w:rPr>
      </w:pPr>
      <w:r>
        <w:rPr>
          <w:rFonts w:ascii="Arial" w:cs="Arial" w:eastAsia="Arial" w:hAnsi="Arial"/>
          <w:sz w:val="15"/>
          <w:szCs w:val="15"/>
          <w:color w:val="auto"/>
        </w:rPr>
        <w:t>There are likely to be certain impacts in our ability to collect accounts receivable as a result of the economic impacts from the COVID-19 pandemic. Accounts receivable reflect amounts due from both commercial and government customers. Our commercial customers are comprised principally of large, well-known and well-established companies. Our government customers are comprised principally of national, state and local agencies in the U.S. and Middle East. We have not seen and do not expect there to be a material risk of non-payment from either our government agency or commercial customers. We have experienced payment delays due to administrative limitations from both types of customers.</w:t>
      </w:r>
    </w:p>
    <w:p>
      <w:pPr>
        <w:spacing w:after="0" w:line="79" w:lineRule="exact"/>
        <w:rPr>
          <w:sz w:val="20"/>
          <w:szCs w:val="20"/>
          <w:color w:val="auto"/>
        </w:rPr>
      </w:pPr>
    </w:p>
    <w:p>
      <w:pPr>
        <w:jc w:val="both"/>
        <w:ind w:right="60" w:firstLine="737"/>
        <w:spacing w:after="0" w:line="235" w:lineRule="auto"/>
        <w:rPr>
          <w:sz w:val="20"/>
          <w:szCs w:val="20"/>
          <w:color w:val="auto"/>
        </w:rPr>
      </w:pPr>
      <w:r>
        <w:rPr>
          <w:rFonts w:ascii="Arial" w:cs="Arial" w:eastAsia="Arial" w:hAnsi="Arial"/>
          <w:sz w:val="15"/>
          <w:szCs w:val="15"/>
          <w:color w:val="auto"/>
        </w:rPr>
        <w:t>We believe we have adequate liquidity and capital resources to fund our operations, support our debt service and support our ongoing acquisition strategy for at least the next twelve months based on the liquidity from cash provided by our operating activities, cash and cash equivalents on-hand and our borrowing capacity under our Revolving Credit Facility. We do not anticipate that the COVID-19 pandemic-related economic impacts will impair our ability to continue to maintain compliance with its debt covenants or access available borrowing capacity from our banks.</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00"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Cash received from customers, either from the payment of invoices for work performed or for advances in excess of revenue recognized, is our primary source of cash. We generally do not begin work on contracts until funding is appropriated by the customers. Billing timetables and payment terms on our contracts vary based on a number of factors, including whether the contract type is cost-plus, time-and-materials, or fixed-price. We generally bill and collect cash more frequently under cost-plus and time-and-materials contracts, as we are authorized to bill as the costs are incurred or work is performed. In contrast, we may be limited to bill certain fixed-price contracts only when specified milestones, including deliveries, are achieved. A number of our contracts may provide for performance-based payments, which allow us to bill and collect cash prior to completing the work.</w:t>
      </w:r>
    </w:p>
    <w:p>
      <w:pPr>
        <w:spacing w:after="0" w:line="81" w:lineRule="exact"/>
        <w:rPr>
          <w:sz w:val="20"/>
          <w:szCs w:val="20"/>
          <w:color w:val="auto"/>
        </w:rPr>
      </w:pPr>
    </w:p>
    <w:p>
      <w:pPr>
        <w:ind w:right="560" w:firstLine="745"/>
        <w:spacing w:after="0" w:line="239" w:lineRule="auto"/>
        <w:rPr>
          <w:sz w:val="20"/>
          <w:szCs w:val="20"/>
          <w:color w:val="auto"/>
        </w:rPr>
      </w:pPr>
      <w:r>
        <w:rPr>
          <w:rFonts w:ascii="Arial" w:cs="Arial" w:eastAsia="Arial" w:hAnsi="Arial"/>
          <w:sz w:val="15"/>
          <w:szCs w:val="15"/>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78" w:lineRule="exact"/>
        <w:rPr>
          <w:sz w:val="20"/>
          <w:szCs w:val="20"/>
          <w:color w:val="auto"/>
        </w:rPr>
      </w:pPr>
    </w:p>
    <w:p>
      <w:pPr>
        <w:ind w:right="20" w:firstLine="737"/>
        <w:spacing w:after="0" w:line="233" w:lineRule="auto"/>
        <w:rPr>
          <w:sz w:val="20"/>
          <w:szCs w:val="20"/>
          <w:color w:val="auto"/>
        </w:rPr>
      </w:pPr>
      <w:r>
        <w:rPr>
          <w:rFonts w:ascii="Arial" w:cs="Arial" w:eastAsia="Arial" w:hAnsi="Arial"/>
          <w:sz w:val="15"/>
          <w:szCs w:val="15"/>
          <w:color w:val="auto"/>
        </w:rPr>
        <w:t>Accounts receivable is the principal component of our working capital and is generally driven by revenue growth. Accounts receivable includes billed and unbilled amounts. The total amount of our accounts receivable can vary significantly over time, but is generally sensitive to revenue levels. We experience delays in collections from time to time from Middle East customers. Net days sales outstanding, which we refer to as net DSO, is calculated by dividing (i) accounts receivable (net of project accruals, billings in excess of revenue and accounts payable) by (ii) average revenue per day (calculated by dividing trailing twelve months revenue by the number of days in that period). We focus on collecting outstanding receivables to reduce Net DSO and working capital. Net DSO was 64 days at December 31, 2020, 55 days at December 31, 2019 and 52 days at December 31, 2018. Our working capital (current assets less current liabilities) was $705.7 million at December 31, 2020, $382.0 million at December 31, 2019 and $482.6 million at December 31, 2018.</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76" w:right="339" w:bottom="1440" w:gutter="0" w:footer="0" w:header="0"/>
        </w:sectPr>
      </w:pPr>
    </w:p>
    <w:bookmarkStart w:id="75" w:name="page76"/>
    <w:bookmarkEnd w:id="75"/>
    <w:p>
      <w:pPr>
        <w:ind w:right="180" w:firstLine="737"/>
        <w:spacing w:after="0" w:line="236" w:lineRule="auto"/>
        <w:rPr>
          <w:sz w:val="20"/>
          <w:szCs w:val="20"/>
          <w:color w:val="auto"/>
        </w:rPr>
      </w:pPr>
      <w:r>
        <w:rPr>
          <w:rFonts w:ascii="Arial" w:cs="Arial" w:eastAsia="Arial" w:hAnsi="Arial"/>
          <w:sz w:val="15"/>
          <w:szCs w:val="15"/>
          <w:color w:val="auto"/>
        </w:rPr>
        <w:t>Our cash, cash equivalents and restricted cash increased by $206.0 million to $ 487.2 million at December 31, 2020 from $195.4 million at December 31, 2019. This compares to a decrease in cash, cash equivalents and restricted cash of $85.8 million to $195.4 million at December 31, 2019 from $281.2 million at December 31, 2018.</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following table summarizes our sources and uses of cash over the periods presented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Fiscal Year Ended</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666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49"/>
              <w:spacing w:after="0" w:line="136" w:lineRule="exact"/>
              <w:rPr>
                <w:sz w:val="20"/>
                <w:szCs w:val="20"/>
                <w:color w:val="auto"/>
              </w:rPr>
            </w:pPr>
            <w:r>
              <w:rPr>
                <w:rFonts w:ascii="Arial" w:cs="Arial" w:eastAsia="Arial" w:hAnsi="Arial"/>
                <w:sz w:val="12"/>
                <w:szCs w:val="12"/>
                <w:b w:val="1"/>
                <w:bCs w:val="1"/>
                <w:color w:val="auto"/>
                <w:w w:val="98"/>
              </w:rPr>
              <w:t>December 31, 2020</w:t>
            </w:r>
          </w:p>
        </w:tc>
        <w:tc>
          <w:tcPr>
            <w:tcW w:w="16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0"/>
              <w:spacing w:after="0" w:line="136" w:lineRule="exact"/>
              <w:rPr>
                <w:sz w:val="20"/>
                <w:szCs w:val="20"/>
                <w:color w:val="auto"/>
              </w:rPr>
            </w:pPr>
            <w:r>
              <w:rPr>
                <w:rFonts w:ascii="Arial" w:cs="Arial" w:eastAsia="Arial" w:hAnsi="Arial"/>
                <w:sz w:val="12"/>
                <w:szCs w:val="12"/>
                <w:b w:val="1"/>
                <w:bCs w:val="1"/>
                <w:color w:val="auto"/>
                <w:w w:val="98"/>
              </w:rPr>
              <w:t>December 31, 2019</w:t>
            </w:r>
          </w:p>
        </w:tc>
        <w:tc>
          <w:tcPr>
            <w:tcW w:w="16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9"/>
              <w:spacing w:after="0" w:line="136" w:lineRule="exact"/>
              <w:rPr>
                <w:sz w:val="20"/>
                <w:szCs w:val="20"/>
                <w:color w:val="auto"/>
              </w:rPr>
            </w:pPr>
            <w:r>
              <w:rPr>
                <w:rFonts w:ascii="Arial" w:cs="Arial" w:eastAsia="Arial" w:hAnsi="Arial"/>
                <w:sz w:val="12"/>
                <w:szCs w:val="12"/>
                <w:b w:val="1"/>
                <w:bCs w:val="1"/>
                <w:color w:val="auto"/>
                <w:w w:val="98"/>
              </w:rPr>
              <w:t>December 31, 2018</w:t>
            </w:r>
          </w:p>
        </w:tc>
        <w:tc>
          <w:tcPr>
            <w:tcW w:w="120" w:type="dxa"/>
            <w:vAlign w:val="bottom"/>
            <w:tcBorders>
              <w:bottom w:val="single" w:sz="8" w:color="CFF0FC"/>
            </w:tcBorders>
          </w:tcPr>
          <w:p>
            <w:pPr>
              <w:spacing w:after="0"/>
              <w:rPr>
                <w:sz w:val="11"/>
                <w:szCs w:val="1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cash provided by operating activities</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289,161</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220,240</w:t>
            </w:r>
          </w:p>
        </w:tc>
        <w:tc>
          <w:tcPr>
            <w:tcW w:w="160" w:type="dxa"/>
            <w:vAlign w:val="bottom"/>
            <w:shd w:val="clear" w:color="auto" w:fill="CFF0FC"/>
          </w:tcPr>
          <w:p>
            <w:pPr>
              <w:spacing w:after="0"/>
              <w:rPr>
                <w:sz w:val="14"/>
                <w:szCs w:val="14"/>
                <w:color w:val="auto"/>
              </w:rPr>
            </w:pPr>
          </w:p>
        </w:tc>
        <w:tc>
          <w:tcPr>
            <w:tcW w:w="2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284,634</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120" w:type="dxa"/>
            <w:vAlign w:val="bottom"/>
          </w:tcPr>
          <w:p>
            <w:pPr>
              <w:spacing w:after="0"/>
              <w:rPr>
                <w:sz w:val="15"/>
                <w:szCs w:val="15"/>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5"/>
                <w:szCs w:val="15"/>
                <w:color w:val="auto"/>
              </w:rPr>
              <w:t>(346,369)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(570,803)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(503,295)</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Net cash provided by financing activities</w:t>
            </w: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348,226</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266,036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55,411</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Effect of exchange rate changes</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823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(1,294)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5"/>
                <w:szCs w:val="15"/>
                <w:color w:val="auto"/>
              </w:rPr>
              <w:t>(1,699)</w:t>
            </w:r>
          </w:p>
        </w:tc>
      </w:tr>
      <w:tr>
        <w:trPr>
          <w:trHeight w:val="20"/>
        </w:trPr>
        <w:tc>
          <w:tcPr>
            <w:tcW w:w="66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increase (decrease) in cash and cash equivalents</w:t>
            </w:r>
          </w:p>
        </w:tc>
        <w:tc>
          <w:tcPr>
            <w:tcW w:w="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291,841</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(85,821)</w:t>
            </w:r>
          </w:p>
        </w:tc>
        <w:tc>
          <w:tcPr>
            <w:tcW w:w="2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34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(164,949)</w:t>
            </w: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98" w:lineRule="exact"/>
        <w:rPr>
          <w:sz w:val="20"/>
          <w:szCs w:val="20"/>
          <w:color w:val="auto"/>
        </w:rPr>
      </w:pPr>
    </w:p>
    <w:p>
      <w:pPr>
        <w:ind w:right="160" w:firstLine="737"/>
        <w:spacing w:after="0" w:line="234" w:lineRule="auto"/>
        <w:rPr>
          <w:sz w:val="20"/>
          <w:szCs w:val="20"/>
          <w:color w:val="auto"/>
        </w:rPr>
      </w:pPr>
      <w:r>
        <w:rPr>
          <w:rFonts w:ascii="Arial" w:cs="Arial" w:eastAsia="Arial" w:hAnsi="Arial"/>
          <w:sz w:val="15"/>
          <w:szCs w:val="15"/>
          <w:color w:val="auto"/>
        </w:rPr>
        <w:t>Net cash provided by operating activities consists primarily of net income adjusted for noncash items, such as: equity in earnings of unconsolidated joint ventures, contributions of treasury stock, depreciation and amortization of property and equipment and intangible assets, provisions for doubtful accounts, amortization of deferred gains, and impairment charges. The timing between the conversion of our billed and unbilled receivables into cash from our customers and disbursements to our employees and vendors is the primary driver of changes in our working capital. Our operating cash flows are primarily affected by our ability to invoice and collect from our clients in a timely manner, our ability to manage our vendor payments and the overall profitability of our contracts.</w:t>
      </w:r>
    </w:p>
    <w:p>
      <w:pPr>
        <w:spacing w:after="0" w:line="79" w:lineRule="exact"/>
        <w:rPr>
          <w:sz w:val="20"/>
          <w:szCs w:val="20"/>
          <w:color w:val="auto"/>
        </w:rPr>
      </w:pPr>
    </w:p>
    <w:p>
      <w:pPr>
        <w:ind w:right="60" w:firstLine="737"/>
        <w:spacing w:after="0" w:line="251" w:lineRule="auto"/>
        <w:rPr>
          <w:sz w:val="20"/>
          <w:szCs w:val="20"/>
          <w:color w:val="auto"/>
        </w:rPr>
      </w:pPr>
      <w:r>
        <w:rPr>
          <w:rFonts w:ascii="Arial" w:cs="Arial" w:eastAsia="Arial" w:hAnsi="Arial"/>
          <w:sz w:val="14"/>
          <w:szCs w:val="14"/>
          <w:color w:val="auto"/>
        </w:rPr>
        <w:t>Net cash provided by operating activities increased $68.9 million to $289.2 million during 2020 compared to $220.2 million during 2019. The increase in net cash provided by operating activities is primarily due to a $115.9 million change in net income after adjusting for non-cash items and a change in the use of cash related to our working capital accounts of $10.6 million (primarily from accounts receivable, contract assets, prepaid expenses and current assets, offset by accrued expenses and contract liabilities). Under the CARES Act, the Company received a net cash benefit of $35.2 million from the deferral of social security taxes otherwise due from April 10, 2020 through the year ended December 31, 2020. One-half of the deferred amount is due no later than December 31, 2021 and the second half no later than December 31, 2022. These positive changes in operating cash flows were offset, in part, by a $57.6 million change in other long-term liabilities, primarily driven by the payment of long-term employee incentives. Net DSOs increased from 55 days to 64 days primarily driven by the change in our working capital accounts discussed above.</w:t>
      </w:r>
    </w:p>
    <w:p>
      <w:pPr>
        <w:spacing w:after="0" w:line="162" w:lineRule="exact"/>
        <w:rPr>
          <w:sz w:val="20"/>
          <w:szCs w:val="20"/>
          <w:color w:val="auto"/>
        </w:rPr>
      </w:pPr>
    </w:p>
    <w:p>
      <w:pPr>
        <w:ind w:right="40" w:firstLine="737"/>
        <w:spacing w:after="0" w:line="234" w:lineRule="auto"/>
        <w:rPr>
          <w:sz w:val="20"/>
          <w:szCs w:val="20"/>
          <w:color w:val="auto"/>
        </w:rPr>
      </w:pPr>
      <w:r>
        <w:rPr>
          <w:rFonts w:ascii="Arial" w:cs="Arial" w:eastAsia="Arial" w:hAnsi="Arial"/>
          <w:sz w:val="15"/>
          <w:szCs w:val="15"/>
          <w:color w:val="auto"/>
        </w:rPr>
        <w:t>Net cash provided by operating activities decreased $ 64.4 million to $220.2 million during 2019 compared to $284.6 million during 2018. The decrease in net cash provided by operating activities is primarily due to a change in the use of cash related to our working capital accounts of $64.1 million (primarily driven by growth in accounts receivable and contract assets net of contract liabilities), and a $ 8.8 million change in net income after adjusting for non-cash items. These negative changes in operating cash flows were offset, in part, by a $8.6 million change in other long-term liabilities, primarily related to our insurance reserves. Net DSOs increased from 52 days to 55 days primarily driven by the change in our working capital accounts discussed above.</w:t>
      </w:r>
    </w:p>
    <w:p>
      <w:pPr>
        <w:spacing w:after="0" w:line="79" w:lineRule="exact"/>
        <w:rPr>
          <w:sz w:val="20"/>
          <w:szCs w:val="20"/>
          <w:color w:val="auto"/>
        </w:rPr>
      </w:pPr>
    </w:p>
    <w:p>
      <w:pPr>
        <w:ind w:right="240" w:firstLine="737"/>
        <w:spacing w:after="0" w:line="236" w:lineRule="auto"/>
        <w:rPr>
          <w:sz w:val="20"/>
          <w:szCs w:val="20"/>
          <w:color w:val="auto"/>
        </w:rPr>
      </w:pPr>
      <w:r>
        <w:rPr>
          <w:rFonts w:ascii="Arial" w:cs="Arial" w:eastAsia="Arial" w:hAnsi="Arial"/>
          <w:sz w:val="15"/>
          <w:szCs w:val="15"/>
          <w:color w:val="auto"/>
        </w:rPr>
        <w:t>In connection with our IPO on May 8, 2019, the Company converted from an “S” Corporation to a “C” Corporation as described in “Note 14 – Income Taxes” in the notes to our consolidated financial statements included elsewhere in this Annual Report on Form 10-K. As a “C” Corporation we are now subject to U.S. Income Taxes. During 2019 the Company made $60.5 million in tax payments compared with $17.1 million in tax payments during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05" w:right="319" w:bottom="1440" w:gutter="0" w:footer="0" w:header="0"/>
        </w:sectPr>
      </w:pPr>
    </w:p>
    <w:bookmarkStart w:id="76" w:name="page77"/>
    <w:bookmarkEnd w:id="76"/>
    <w:p>
      <w:pPr>
        <w:spacing w:after="0"/>
        <w:rPr>
          <w:sz w:val="20"/>
          <w:szCs w:val="20"/>
          <w:color w:val="auto"/>
        </w:rPr>
      </w:pPr>
      <w:r>
        <w:rPr>
          <w:rFonts w:ascii="Arial" w:cs="Arial" w:eastAsia="Arial" w:hAnsi="Arial"/>
          <w:sz w:val="15"/>
          <w:szCs w:val="15"/>
          <w:i w:val="1"/>
          <w:iCs w:val="1"/>
          <w:color w:val="auto"/>
        </w:rPr>
        <w:t>Investing Activities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5"/>
          <w:szCs w:val="15"/>
          <w:color w:val="auto"/>
        </w:rPr>
        <w:t>Net cash used in investing activities consists primarily of cash flows associated with capital expenditures and business acquisitions.</w:t>
      </w:r>
    </w:p>
    <w:p>
      <w:pPr>
        <w:spacing w:after="0" w:line="82" w:lineRule="exact"/>
        <w:rPr>
          <w:sz w:val="20"/>
          <w:szCs w:val="20"/>
          <w:color w:val="auto"/>
        </w:rPr>
      </w:pPr>
    </w:p>
    <w:p>
      <w:pPr>
        <w:jc w:val="both"/>
        <w:ind w:right="60" w:firstLine="745"/>
        <w:spacing w:after="0" w:line="236" w:lineRule="auto"/>
        <w:rPr>
          <w:sz w:val="20"/>
          <w:szCs w:val="20"/>
          <w:color w:val="auto"/>
        </w:rPr>
      </w:pPr>
      <w:r>
        <w:rPr>
          <w:rFonts w:ascii="Arial" w:cs="Arial" w:eastAsia="Arial" w:hAnsi="Arial"/>
          <w:sz w:val="15"/>
          <w:szCs w:val="15"/>
          <w:color w:val="auto"/>
        </w:rPr>
        <w:t>Net cash used in investing activities decreased $ 224.4 million during 2020 compared to 2019, primarily due to the use of $287.5 million, net of cash acquired, for the acquisition of OGSystems and the use of $208.2 million, net of cash acquired, for the acquisition of QRC Technologies in 2019, compared to $302.4 million, net of cash acquired, for the acquisition of Braxton in 2020.</w:t>
      </w:r>
    </w:p>
    <w:p>
      <w:pPr>
        <w:spacing w:after="0" w:line="79" w:lineRule="exact"/>
        <w:rPr>
          <w:sz w:val="20"/>
          <w:szCs w:val="20"/>
          <w:color w:val="auto"/>
        </w:rPr>
      </w:pPr>
    </w:p>
    <w:p>
      <w:pPr>
        <w:ind w:right="100" w:firstLine="745"/>
        <w:spacing w:after="0" w:line="236" w:lineRule="auto"/>
        <w:rPr>
          <w:sz w:val="20"/>
          <w:szCs w:val="20"/>
          <w:color w:val="auto"/>
        </w:rPr>
      </w:pPr>
      <w:r>
        <w:rPr>
          <w:rFonts w:ascii="Arial" w:cs="Arial" w:eastAsia="Arial" w:hAnsi="Arial"/>
          <w:sz w:val="15"/>
          <w:szCs w:val="15"/>
          <w:color w:val="auto"/>
        </w:rPr>
        <w:t>Net cash used in investing activities increased $67.5 million during 2019 compared to 2018, primarily due to an increase in cash used for capital expenditures of $38.3 million, principally related to our office space, investments in unconsolidated joint ventures of $19.9 million, and payments for acquisitions, net of cash acquired of $13.7 million.</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Financing Activities</w:t>
      </w:r>
    </w:p>
    <w:p>
      <w:pPr>
        <w:spacing w:after="0" w:line="187" w:lineRule="exact"/>
        <w:rPr>
          <w:sz w:val="20"/>
          <w:szCs w:val="20"/>
          <w:color w:val="auto"/>
        </w:rPr>
      </w:pPr>
    </w:p>
    <w:p>
      <w:pPr>
        <w:ind w:firstLine="745"/>
        <w:spacing w:after="0" w:line="235" w:lineRule="auto"/>
        <w:rPr>
          <w:sz w:val="20"/>
          <w:szCs w:val="20"/>
          <w:color w:val="auto"/>
        </w:rPr>
      </w:pPr>
      <w:r>
        <w:rPr>
          <w:rFonts w:ascii="Arial" w:cs="Arial" w:eastAsia="Arial" w:hAnsi="Arial"/>
          <w:sz w:val="15"/>
          <w:szCs w:val="15"/>
          <w:color w:val="auto"/>
        </w:rPr>
        <w:t>Net cash provided by financing activities is primarily associated with proceeds from debt, the repayment thereof, distributions to noncontrolling interests and payments to the ESOP in connection with the redemption of ESOP participants’ interests prior to the 180-day lock-up period which ended November 3, 2019. We spent $0 in 2020, $6.3 million in 2019, and $125.8 million in 2018 in connection with the redemption of ESOP participants’ interests. With a public market for our common stock, cash is no longer required for ESOP redemptions after November 3, 2019. Participants now receive distributions of their ESOP interests in shares of our common stock.</w:t>
      </w:r>
    </w:p>
    <w:p>
      <w:pPr>
        <w:spacing w:after="0" w:line="78" w:lineRule="exact"/>
        <w:rPr>
          <w:sz w:val="20"/>
          <w:szCs w:val="20"/>
          <w:color w:val="auto"/>
        </w:rPr>
      </w:pPr>
    </w:p>
    <w:p>
      <w:pPr>
        <w:ind w:firstLine="745"/>
        <w:spacing w:after="0" w:line="236" w:lineRule="auto"/>
        <w:rPr>
          <w:sz w:val="20"/>
          <w:szCs w:val="20"/>
          <w:color w:val="auto"/>
        </w:rPr>
      </w:pPr>
      <w:r>
        <w:rPr>
          <w:rFonts w:ascii="Arial" w:cs="Arial" w:eastAsia="Arial" w:hAnsi="Arial"/>
          <w:sz w:val="15"/>
          <w:szCs w:val="15"/>
          <w:color w:val="auto"/>
        </w:rPr>
        <w:t>Net cash provided by financing activities increased $82.2 million to $348.2 million in 2020 compared to $266.0 million in 2019. 2020 activities include $348.5 million of net proceeds from the issuance of Convertible Senior Notes. 2019 activities are primarily comprised of $536.9 million of net proceeds from the IPO, offset in part by net repayments under our revolving credit agreement of $180 million and payment of the IPO dividend of $52.1 million.</w:t>
      </w:r>
    </w:p>
    <w:p>
      <w:pPr>
        <w:spacing w:after="0" w:line="79" w:lineRule="exact"/>
        <w:rPr>
          <w:sz w:val="20"/>
          <w:szCs w:val="20"/>
          <w:color w:val="auto"/>
        </w:rPr>
      </w:pPr>
    </w:p>
    <w:p>
      <w:pPr>
        <w:ind w:right="100" w:firstLine="745"/>
        <w:spacing w:after="0" w:line="235" w:lineRule="auto"/>
        <w:rPr>
          <w:sz w:val="20"/>
          <w:szCs w:val="20"/>
          <w:color w:val="auto"/>
        </w:rPr>
      </w:pPr>
      <w:r>
        <w:rPr>
          <w:rFonts w:ascii="Arial" w:cs="Arial" w:eastAsia="Arial" w:hAnsi="Arial"/>
          <w:sz w:val="15"/>
          <w:szCs w:val="15"/>
          <w:color w:val="auto"/>
        </w:rPr>
        <w:t>Net cash provided by financing activities increased $210.6 million in 2019 compared to 2018, primarily due to $536.9 million of net proceeds from the IPO and a reduction of $119.5 million in the purchases of treasury stock related to redemptions of ESOP interests in 2019. These changes in cash flow provided by financing activities were offset, in part, by a change in net repayments under our revolving credit agreement of $360.0 million, payment of the IPO dividend of $52.1 million, an increase of $23.4 million in distributions to noncontrolling interests and a decrease of $10.6 million in contributions by noncontrolling interests.</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Letters of Credit</w:t>
      </w:r>
    </w:p>
    <w:p>
      <w:pPr>
        <w:spacing w:after="0" w:line="100" w:lineRule="exact"/>
        <w:rPr>
          <w:sz w:val="20"/>
          <w:szCs w:val="20"/>
          <w:color w:val="auto"/>
        </w:rPr>
      </w:pPr>
    </w:p>
    <w:p>
      <w:pPr>
        <w:ind w:right="120" w:firstLine="737"/>
        <w:spacing w:after="0" w:line="236" w:lineRule="auto"/>
        <w:rPr>
          <w:sz w:val="20"/>
          <w:szCs w:val="20"/>
          <w:color w:val="auto"/>
        </w:rPr>
      </w:pPr>
      <w:r>
        <w:rPr>
          <w:rFonts w:ascii="Arial" w:cs="Arial" w:eastAsia="Arial" w:hAnsi="Arial"/>
          <w:sz w:val="15"/>
          <w:szCs w:val="15"/>
          <w:color w:val="auto"/>
        </w:rPr>
        <w:t>We also have in place several secondary bank credit lines for issuing letters of credit, principally for foreign contracts, to support performance and completion guarantees. Letters of credit commitments outstanding under these bank lines aggregated $193.1 million as of December 31, 2020. Letters of credit outstanding under the Credit Agreement total $44.9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Contractual Obligations</w:t>
      </w:r>
    </w:p>
    <w:p>
      <w:pPr>
        <w:spacing w:after="0" w:line="189" w:lineRule="exact"/>
        <w:rPr>
          <w:sz w:val="20"/>
          <w:szCs w:val="20"/>
          <w:color w:val="auto"/>
        </w:rPr>
      </w:pPr>
    </w:p>
    <w:p>
      <w:pPr>
        <w:ind w:right="140" w:firstLine="737"/>
        <w:spacing w:after="0" w:line="239" w:lineRule="auto"/>
        <w:rPr>
          <w:sz w:val="20"/>
          <w:szCs w:val="20"/>
          <w:color w:val="auto"/>
        </w:rPr>
      </w:pPr>
      <w:r>
        <w:rPr>
          <w:rFonts w:ascii="Arial" w:cs="Arial" w:eastAsia="Arial" w:hAnsi="Arial"/>
          <w:sz w:val="15"/>
          <w:szCs w:val="15"/>
          <w:color w:val="auto"/>
        </w:rPr>
        <w:t>The following table summarizes our contractual obligations that require us to make future cash payments as of December 31, 2020. For contractual obligations, we included payments that we have an unconditional obligation to make.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2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(U.S. dollars in thousands)</w:t>
            </w:r>
          </w:p>
        </w:tc>
        <w:tc>
          <w:tcPr>
            <w:tcW w:w="17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2"/>
                <w:szCs w:val="12"/>
                <w:b w:val="1"/>
                <w:bCs w:val="1"/>
                <w:color w:val="auto"/>
              </w:rPr>
              <w:t>Total</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2021</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69"/>
              <w:spacing w:after="0"/>
              <w:rPr>
                <w:sz w:val="20"/>
                <w:szCs w:val="20"/>
                <w:color w:val="auto"/>
              </w:rPr>
            </w:pPr>
            <w:r>
              <w:rPr>
                <w:rFonts w:ascii="Arial" w:cs="Arial" w:eastAsia="Arial" w:hAnsi="Arial"/>
                <w:sz w:val="12"/>
                <w:szCs w:val="12"/>
                <w:b w:val="1"/>
                <w:bCs w:val="1"/>
                <w:color w:val="auto"/>
              </w:rPr>
              <w:t>2022-2023</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2024-2025</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49"/>
              <w:spacing w:after="0"/>
              <w:rPr>
                <w:sz w:val="20"/>
                <w:szCs w:val="20"/>
                <w:color w:val="auto"/>
              </w:rPr>
            </w:pPr>
            <w:r>
              <w:rPr>
                <w:rFonts w:ascii="Arial" w:cs="Arial" w:eastAsia="Arial" w:hAnsi="Arial"/>
                <w:sz w:val="12"/>
                <w:szCs w:val="12"/>
                <w:b w:val="1"/>
                <w:bCs w:val="1"/>
                <w:color w:val="auto"/>
              </w:rPr>
              <w:t>Thereafter</w:t>
            </w:r>
          </w:p>
        </w:tc>
        <w:tc>
          <w:tcPr>
            <w:tcW w:w="120" w:type="dxa"/>
            <w:vAlign w:val="bottom"/>
            <w:tcBorders>
              <w:bottom w:val="single" w:sz="8" w:color="CFF0FC"/>
            </w:tcBorders>
          </w:tcPr>
          <w:p>
            <w:pPr>
              <w:spacing w:after="0"/>
              <w:rPr>
                <w:sz w:val="12"/>
                <w:szCs w:val="12"/>
                <w:color w:val="auto"/>
              </w:rPr>
            </w:pPr>
          </w:p>
        </w:tc>
      </w:tr>
      <w:tr>
        <w:trPr>
          <w:trHeight w:val="168"/>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Senior notes (1)</w:t>
            </w:r>
          </w:p>
        </w:tc>
        <w:tc>
          <w:tcPr>
            <w:tcW w:w="19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309,976</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62,430</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20,420</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115,440</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111,686</w:t>
            </w:r>
          </w:p>
        </w:tc>
        <w:tc>
          <w:tcPr>
            <w:tcW w:w="120" w:type="dxa"/>
            <w:vAlign w:val="bottom"/>
            <w:shd w:val="clear" w:color="auto" w:fill="CFF0FC"/>
          </w:tcPr>
          <w:p>
            <w:pPr>
              <w:spacing w:after="0"/>
              <w:rPr>
                <w:sz w:val="14"/>
                <w:szCs w:val="14"/>
                <w:color w:val="auto"/>
              </w:rPr>
            </w:pPr>
          </w:p>
        </w:tc>
      </w:tr>
      <w:tr>
        <w:trPr>
          <w:trHeight w:val="177"/>
        </w:trPr>
        <w:tc>
          <w:tcPr>
            <w:tcW w:w="3520" w:type="dxa"/>
            <w:vAlign w:val="bottom"/>
          </w:tcPr>
          <w:p>
            <w:pPr>
              <w:spacing w:after="0"/>
              <w:rPr>
                <w:sz w:val="20"/>
                <w:szCs w:val="20"/>
                <w:color w:val="auto"/>
              </w:rPr>
            </w:pPr>
            <w:r>
              <w:rPr>
                <w:rFonts w:ascii="Arial" w:cs="Arial" w:eastAsia="Arial" w:hAnsi="Arial"/>
                <w:sz w:val="15"/>
                <w:szCs w:val="15"/>
                <w:color w:val="auto"/>
              </w:rPr>
              <w:t>Convertible senior notes (2)</w:t>
            </w:r>
          </w:p>
        </w:tc>
        <w:tc>
          <w:tcPr>
            <w:tcW w:w="1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405,000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2,000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402,000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7"/>
        </w:trPr>
        <w:tc>
          <w:tcPr>
            <w:tcW w:w="352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obligations</w:t>
            </w:r>
          </w:p>
        </w:tc>
        <w:tc>
          <w:tcPr>
            <w:tcW w:w="1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260,821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61,477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103,880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65,790</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29,674</w:t>
            </w:r>
          </w:p>
        </w:tc>
        <w:tc>
          <w:tcPr>
            <w:tcW w:w="120" w:type="dxa"/>
            <w:vAlign w:val="bottom"/>
            <w:shd w:val="clear" w:color="auto" w:fill="CFF0FC"/>
          </w:tcPr>
          <w:p>
            <w:pPr>
              <w:spacing w:after="0"/>
              <w:rPr>
                <w:sz w:val="15"/>
                <w:szCs w:val="15"/>
                <w:color w:val="auto"/>
              </w:rPr>
            </w:pPr>
          </w:p>
        </w:tc>
      </w:tr>
      <w:tr>
        <w:trPr>
          <w:trHeight w:val="177"/>
        </w:trPr>
        <w:tc>
          <w:tcPr>
            <w:tcW w:w="35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Finance lease obligations</w:t>
            </w:r>
          </w:p>
        </w:tc>
        <w:tc>
          <w:tcPr>
            <w:tcW w:w="17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3,331</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1,547</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1,525</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259</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5"/>
                <w:szCs w:val="15"/>
                <w:color w:val="auto"/>
              </w:rPr>
            </w:pPr>
          </w:p>
        </w:tc>
      </w:tr>
      <w:tr>
        <w:trPr>
          <w:trHeight w:val="168"/>
        </w:trPr>
        <w:tc>
          <w:tcPr>
            <w:tcW w:w="3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minimum payments</w:t>
            </w:r>
          </w:p>
        </w:tc>
        <w:tc>
          <w:tcPr>
            <w:tcW w:w="192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979,128</w:t>
            </w: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126,454</w:t>
            </w:r>
          </w:p>
        </w:tc>
        <w:tc>
          <w:tcPr>
            <w:tcW w:w="38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127,825</w:t>
            </w:r>
          </w:p>
        </w:tc>
        <w:tc>
          <w:tcPr>
            <w:tcW w:w="3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583,489</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95"/>
              </w:rPr>
              <w:t>$</w:t>
            </w:r>
          </w:p>
        </w:tc>
        <w:tc>
          <w:tcPr>
            <w:tcW w:w="8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141,360</w:t>
            </w:r>
          </w:p>
        </w:tc>
        <w:tc>
          <w:tcPr>
            <w:tcW w:w="120" w:type="dxa"/>
            <w:vAlign w:val="bottom"/>
            <w:shd w:val="clear" w:color="auto" w:fill="CFF0FC"/>
          </w:tcPr>
          <w:p>
            <w:pPr>
              <w:spacing w:after="0"/>
              <w:rPr>
                <w:sz w:val="14"/>
                <w:szCs w:val="14"/>
                <w:color w:val="auto"/>
              </w:rPr>
            </w:pPr>
          </w:p>
        </w:tc>
      </w:tr>
      <w:tr>
        <w:trPr>
          <w:trHeight w:val="20"/>
        </w:trPr>
        <w:tc>
          <w:tcPr>
            <w:tcW w:w="3520" w:type="dxa"/>
            <w:vAlign w:val="bottom"/>
            <w:tcBorders>
              <w:top w:val="single" w:sz="8" w:color="CFF0FC"/>
            </w:tcBorders>
          </w:tcPr>
          <w:p>
            <w:pPr>
              <w:spacing w:after="0" w:line="20" w:lineRule="exact"/>
              <w:rPr>
                <w:sz w:val="1"/>
                <w:szCs w:val="1"/>
                <w:color w:val="auto"/>
              </w:rPr>
            </w:pPr>
          </w:p>
        </w:tc>
        <w:tc>
          <w:tcPr>
            <w:tcW w:w="17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328"/>
        </w:trPr>
        <w:tc>
          <w:tcPr>
            <w:tcW w:w="35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ind w:right="448"/>
              <w:spacing w:after="0"/>
              <w:rPr>
                <w:sz w:val="20"/>
                <w:szCs w:val="20"/>
                <w:color w:val="auto"/>
              </w:rPr>
            </w:pPr>
            <w:r>
              <w:rPr>
                <w:rFonts w:ascii="Arial" w:cs="Arial" w:eastAsia="Arial" w:hAnsi="Arial"/>
                <w:sz w:val="15"/>
                <w:szCs w:val="15"/>
                <w:color w:val="auto"/>
              </w:rPr>
              <w:t>73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3520" w:type="dxa"/>
            <w:vAlign w:val="bottom"/>
            <w:tcBorders>
              <w:bottom w:val="single" w:sz="8" w:color="9A9A9A"/>
            </w:tcBorders>
          </w:tcPr>
          <w:p>
            <w:pPr>
              <w:spacing w:after="0"/>
              <w:rPr>
                <w:sz w:val="6"/>
                <w:szCs w:val="6"/>
                <w:color w:val="auto"/>
              </w:rPr>
            </w:pPr>
          </w:p>
        </w:tc>
        <w:tc>
          <w:tcPr>
            <w:tcW w:w="17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477" w:right="319" w:bottom="1440" w:gutter="0" w:footer="0" w:header="0"/>
        </w:sectPr>
      </w:pPr>
    </w:p>
    <w:bookmarkStart w:id="77" w:name="page78"/>
    <w:bookmarkEnd w:id="77"/>
    <w:p>
      <w:pPr>
        <w:ind w:left="760" w:right="580" w:hanging="751"/>
        <w:spacing w:after="0" w:line="260" w:lineRule="auto"/>
        <w:tabs>
          <w:tab w:leader="none" w:pos="7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Consists of our principal and interest obligations under Senior Notes. See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in the notes to our consolidated financial statements included elsewhere in this Annual Report on Form 10-K for additional information regarding our debt and related matters.</w:t>
      </w:r>
    </w:p>
    <w:p>
      <w:pPr>
        <w:spacing w:after="0" w:line="63" w:lineRule="exact"/>
        <w:rPr>
          <w:rFonts w:ascii="Arial" w:cs="Arial" w:eastAsia="Arial" w:hAnsi="Arial"/>
          <w:sz w:val="15"/>
          <w:szCs w:val="15"/>
          <w:color w:val="auto"/>
        </w:rPr>
      </w:pPr>
    </w:p>
    <w:p>
      <w:pPr>
        <w:ind w:left="760" w:right="560" w:hanging="751"/>
        <w:spacing w:after="0" w:line="236" w:lineRule="auto"/>
        <w:tabs>
          <w:tab w:leader="none" w:pos="7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August 2020, the Company issued an aggregate $400.0 million of 0.25% Convertible Senior Notes due 2025, unless earlier converted, redeemed, or repurchased. Contractual obligation consists of principal and interest. See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in the notes to our consolidated financial statements included elsewhere in this Annual Report on Form 10-K for additional information regarding our debt and related matters.</w:t>
      </w:r>
    </w:p>
    <w:p>
      <w:pPr>
        <w:spacing w:after="0" w:line="167" w:lineRule="exact"/>
        <w:rPr>
          <w:sz w:val="20"/>
          <w:szCs w:val="20"/>
          <w:color w:val="auto"/>
        </w:rPr>
      </w:pPr>
    </w:p>
    <w:p>
      <w:pPr>
        <w:jc w:val="both"/>
        <w:ind w:firstLine="737"/>
        <w:spacing w:after="0" w:line="236" w:lineRule="auto"/>
        <w:rPr>
          <w:sz w:val="20"/>
          <w:szCs w:val="20"/>
          <w:color w:val="auto"/>
        </w:rPr>
      </w:pPr>
      <w:r>
        <w:rPr>
          <w:rFonts w:ascii="Arial" w:cs="Arial" w:eastAsia="Arial" w:hAnsi="Arial"/>
          <w:sz w:val="15"/>
          <w:szCs w:val="15"/>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73" w:lineRule="exact"/>
        <w:rPr>
          <w:sz w:val="20"/>
          <w:szCs w:val="20"/>
          <w:color w:val="auto"/>
        </w:rPr>
      </w:pPr>
    </w:p>
    <w:p>
      <w:pPr>
        <w:ind w:right="60" w:firstLine="737"/>
        <w:spacing w:after="0" w:line="259" w:lineRule="auto"/>
        <w:rPr>
          <w:sz w:val="20"/>
          <w:szCs w:val="20"/>
          <w:color w:val="auto"/>
        </w:rPr>
      </w:pPr>
      <w:r>
        <w:rPr>
          <w:rFonts w:ascii="Arial" w:cs="Arial" w:eastAsia="Arial" w:hAnsi="Arial"/>
          <w:sz w:val="14"/>
          <w:szCs w:val="14"/>
          <w:color w:val="auto"/>
        </w:rPr>
        <w:t>Our significant accounting policies are described in “Note 2—</w:t>
      </w:r>
      <w:r>
        <w:rPr>
          <w:rFonts w:ascii="Arial" w:cs="Arial" w:eastAsia="Arial" w:hAnsi="Arial"/>
          <w:sz w:val="14"/>
          <w:szCs w:val="14"/>
          <w:i w:val="1"/>
          <w:iCs w:val="1"/>
          <w:color w:val="auto"/>
        </w:rPr>
        <w:t>Summary of Significant Accounting Policies</w:t>
      </w:r>
      <w:r>
        <w:rPr>
          <w:rFonts w:ascii="Arial" w:cs="Arial" w:eastAsia="Arial" w:hAnsi="Arial"/>
          <w:sz w:val="14"/>
          <w:szCs w:val="14"/>
          <w:color w:val="auto"/>
        </w:rPr>
        <w:t>” in the notes to our consolidated financial statements included elsewhere in this Annual Report on Form 10 -K. Management makes estimates and judgments in preparing our consolidated financial statements. These estimates and judgments affect the reported amounts of certain assets and liabilities and the revenues and expenses reported for the periods presented in the consolidated financial statements. Although such estimates and assumptions are based on information available through the date of the issuance of our consolidated financial statements, actual results could differ significantly from those estimates and assumptions. Our estimates, judgments and assumptions are evaluated periodically and adjusted accordingly.</w:t>
      </w:r>
    </w:p>
    <w:p>
      <w:pPr>
        <w:spacing w:after="0" w:line="156" w:lineRule="exact"/>
        <w:rPr>
          <w:sz w:val="20"/>
          <w:szCs w:val="20"/>
          <w:color w:val="auto"/>
        </w:rPr>
      </w:pPr>
    </w:p>
    <w:p>
      <w:pPr>
        <w:ind w:right="160" w:firstLine="737"/>
        <w:spacing w:after="0" w:line="236" w:lineRule="auto"/>
        <w:rPr>
          <w:sz w:val="20"/>
          <w:szCs w:val="20"/>
          <w:color w:val="auto"/>
        </w:rPr>
      </w:pPr>
      <w:r>
        <w:rPr>
          <w:rFonts w:ascii="Arial" w:cs="Arial" w:eastAsia="Arial" w:hAnsi="Arial"/>
          <w:sz w:val="15"/>
          <w:szCs w:val="15"/>
          <w:color w:val="auto"/>
        </w:rPr>
        <w:t>We believe that the following items are the most critical accounting policies and estimates that involved significant judgment as we prepared our financial statements. We consider an accounting policy or estimate to be critical if the policy or estimate requires assumptions to be made that were uncertain at the time they were made and if changes in these assumptions could have a material impact on our financial condition or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 Recognition and Cost Estimation</w:t>
      </w:r>
    </w:p>
    <w:p>
      <w:pPr>
        <w:spacing w:after="0" w:line="173" w:lineRule="exact"/>
        <w:rPr>
          <w:sz w:val="20"/>
          <w:szCs w:val="20"/>
          <w:color w:val="auto"/>
        </w:rPr>
      </w:pPr>
    </w:p>
    <w:p>
      <w:pPr>
        <w:ind w:firstLine="737"/>
        <w:spacing w:after="0" w:line="255" w:lineRule="auto"/>
        <w:rPr>
          <w:sz w:val="20"/>
          <w:szCs w:val="20"/>
          <w:color w:val="auto"/>
        </w:rPr>
      </w:pPr>
      <w:r>
        <w:rPr>
          <w:rFonts w:ascii="Arial" w:cs="Arial" w:eastAsia="Arial" w:hAnsi="Arial"/>
          <w:sz w:val="14"/>
          <w:szCs w:val="14"/>
          <w:color w:val="auto"/>
        </w:rPr>
        <w:t xml:space="preserve">On December 30, 2017, the Company adopted Accounting Standards Update (“ASU”)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(“ASC 606”), using the modified retrospective method, which provides for a cumulative effect adjustment to retained earnings beginning in fiscal 2018 for those uncompleted contracts impacted by the adoption of the new standard. The difference between the recognition criteria under ASC-606 and our previous recognition practices under ASC 605-35 was recognized through a cumulative adjustment of $4.7 million that was made to the opening balance of accumulated deficit as of December 30, 2017. The cumulative effect of adopting ASC 606 was primarily due to combining certain deliverables that were previously considered separate deliverables into a single performance obligation and the transition of certain cost-type contracts into the cost-to-cost measure of progress method. Consistent with the modified retrospective transition approach, the comparative fiscal 2017 period was not adjusted to conform to the current period presentation. The following are the significant policies and practices as applied to our business.</w:t>
      </w:r>
    </w:p>
    <w:p>
      <w:pPr>
        <w:spacing w:after="0" w:line="160" w:lineRule="exact"/>
        <w:rPr>
          <w:sz w:val="20"/>
          <w:szCs w:val="20"/>
          <w:color w:val="auto"/>
        </w:rPr>
      </w:pPr>
    </w:p>
    <w:p>
      <w:pPr>
        <w:ind w:firstLine="737"/>
        <w:spacing w:after="0" w:line="260" w:lineRule="auto"/>
        <w:rPr>
          <w:sz w:val="20"/>
          <w:szCs w:val="20"/>
          <w:color w:val="auto"/>
        </w:rPr>
      </w:pPr>
      <w:r>
        <w:rPr>
          <w:rFonts w:ascii="Arial" w:cs="Arial" w:eastAsia="Arial" w:hAnsi="Arial"/>
          <w:sz w:val="14"/>
          <w:szCs w:val="14"/>
          <w:color w:val="auto"/>
        </w:rPr>
        <w:t>In our industry, recognition of revenue and profit on long-term contracts requires the use of assumptions and estimates related to total contract revenue, total cost at completion, and the measurement of progress towards completion. Estimates are continually evaluated as work progresses and are revised when necessary. When a change in estimate is determined to have an impact on contract revenue or profit, we record a positive or negative adjustment to the consolidated statements of income.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389" w:right="339" w:bottom="1440" w:gutter="0" w:footer="0" w:header="0"/>
        </w:sectPr>
      </w:pPr>
    </w:p>
    <w:bookmarkStart w:id="78" w:name="page79"/>
    <w:bookmarkEnd w:id="78"/>
    <w:p>
      <w:pPr>
        <w:ind w:right="60" w:firstLine="737"/>
        <w:spacing w:after="0" w:line="250" w:lineRule="auto"/>
        <w:rPr>
          <w:sz w:val="20"/>
          <w:szCs w:val="20"/>
          <w:color w:val="auto"/>
        </w:rPr>
      </w:pPr>
      <w:r>
        <w:rPr>
          <w:rFonts w:ascii="Arial" w:cs="Arial" w:eastAsia="Arial" w:hAnsi="Arial"/>
          <w:sz w:val="14"/>
          <w:szCs w:val="14"/>
          <w:color w:val="auto"/>
        </w:rPr>
        <w:t>A performance obligation is a promise in a contract to transfer a distinct good or service to the customer and is the unit of account in ASC 606. The transaction price of a contract is allocated to each distinct performance obligation and recognized as revenue when, or as, the performance obligation is satisfied. To the extent a contract is deemed to have multiple performance obligations, we allocate the transaction price of the contract to each performance obligation using our best estimate of the standalone selling price of each distinct good or service in the contract. We determine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we provide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we are not liable for the construction of the asset, but have an overall responsibility to oversee, coordinate, measure, and evaluate the quality of construction work and the performance of the construction contractor on behalf of the customer. Customers are generally billed as we satisfy our performance obligations and payment terms typically range from 30 to 120 days from the invoice date. Billings under certain fixed-price contracts may be based upon the achievement of specified milestones, while some arrangements may require advance customer payment. Our contracts generally do not include a significant financing component.</w:t>
      </w:r>
    </w:p>
    <w:p>
      <w:pPr>
        <w:spacing w:after="0" w:line="160" w:lineRule="exact"/>
        <w:rPr>
          <w:sz w:val="20"/>
          <w:szCs w:val="20"/>
          <w:color w:val="auto"/>
        </w:rPr>
      </w:pPr>
    </w:p>
    <w:p>
      <w:pPr>
        <w:ind w:right="140" w:firstLine="737"/>
        <w:spacing w:after="0" w:line="235" w:lineRule="auto"/>
        <w:rPr>
          <w:sz w:val="20"/>
          <w:szCs w:val="20"/>
          <w:color w:val="auto"/>
        </w:rPr>
      </w:pPr>
      <w:r>
        <w:rPr>
          <w:rFonts w:ascii="Arial" w:cs="Arial" w:eastAsia="Arial" w:hAnsi="Arial"/>
          <w:sz w:val="15"/>
          <w:szCs w:val="15"/>
          <w:color w:val="auto"/>
        </w:rPr>
        <w:t>The transaction price for our contracts may include variable consideration, which includes increases to the transaction price for approved and unpriced change orders, claims and incentives, and reductions to transaction price for liquidated damages. We recognize adjustments in estimated profit on contracts under the cumulative catch-up method. Under this method, the impact of the adjustment on profit recorded to-date is recognized in the period the adjustment is identified. If at any time the estimate of contract profitability indicates an anticipated loss on the contract, we recognize the total loss in the quarter it is identified.</w:t>
      </w:r>
    </w:p>
    <w:p>
      <w:pPr>
        <w:spacing w:after="0" w:line="167" w:lineRule="exact"/>
        <w:rPr>
          <w:sz w:val="20"/>
          <w:szCs w:val="20"/>
          <w:color w:val="auto"/>
        </w:rPr>
      </w:pPr>
    </w:p>
    <w:p>
      <w:pPr>
        <w:ind w:right="40" w:firstLine="737"/>
        <w:spacing w:after="0" w:line="233" w:lineRule="auto"/>
        <w:rPr>
          <w:sz w:val="20"/>
          <w:szCs w:val="20"/>
          <w:color w:val="auto"/>
        </w:rPr>
      </w:pPr>
      <w:r>
        <w:rPr>
          <w:rFonts w:ascii="Arial" w:cs="Arial" w:eastAsia="Arial" w:hAnsi="Arial"/>
          <w:sz w:val="15"/>
          <w:szCs w:val="15"/>
          <w:color w:val="auto"/>
        </w:rPr>
        <w:t>Claims revenue is related to amounts in excess of agreed contract price that we seek to collect from clients or others for customer-caused delays, errors in specifications and designs, contract terminations, change orders that are either in dispute or are unapproved as to both price and scope, or other causes of unanticipated additional contract costs, including factors outside of our control, where we therefore believe we are entitled to additional compensation. Claims revenue, when recorded, is only recorded to the extent it is probable that a significant reversal of cumulative revenue recognized will not occur. We include certain unapproved claims in the transaction price when the claims are legally enforceable, we consider collection to be probable and believe we can reliably estimate the ultimate value. We continue to engage in negotiations with our customers on our outstanding claims. However, these claims may be resolved at amounts that differ from our current estimates, which could result in increases or decreases in future estimated contract profits or losses. Costs related to claims are recognized when they are incurred.</w:t>
      </w:r>
    </w:p>
    <w:p>
      <w:pPr>
        <w:spacing w:after="0" w:line="169"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Change orders, which are a normal and recurring part of our business, are generally not distinct and are accounted for as part of the existing contract. The effect of a change order that is not distinct on the transaction price and our measure of progress for the performance obligation to which it relates is recognized on a cumulative catch-up basis. To the extent change orders included in the transaction price are not resolved in our favor, there could be reductions in, or reversals of previously reported amounts of, revenues and profits, and charges against current earnings. Costs relating to change orders are recognized when they are incurred.</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4"/>
          <w:szCs w:val="14"/>
          <w:color w:val="auto"/>
        </w:rPr>
        <w:t>We recognize revenue for most of our contracts over time as performance obligations are satisfied, as we are continuously transferring control to the customer.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Typically, revenue is recognized over time using an input measure (i.e., costs incurred to date relative to total estimated costs at completion) to measure progress.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20"/>
          </w:cols>
          <w:pgMar w:left="300" w:top="493" w:right="379" w:bottom="1440" w:gutter="0" w:footer="0" w:header="0"/>
        </w:sectPr>
      </w:pPr>
    </w:p>
    <w:bookmarkStart w:id="79" w:name="page80"/>
    <w:bookmarkEnd w:id="79"/>
    <w:p>
      <w:pPr>
        <w:ind w:firstLine="737"/>
        <w:spacing w:after="0" w:line="236" w:lineRule="auto"/>
        <w:rPr>
          <w:sz w:val="20"/>
          <w:szCs w:val="20"/>
          <w:color w:val="auto"/>
        </w:rPr>
      </w:pPr>
      <w:r>
        <w:rPr>
          <w:rFonts w:ascii="Arial" w:cs="Arial" w:eastAsia="Arial" w:hAnsi="Arial"/>
          <w:sz w:val="15"/>
          <w:szCs w:val="15"/>
          <w:color w:val="auto"/>
        </w:rPr>
        <w:t>We often enter into contracts in which the amount billed to the customer corresponds directly with the amount of work performed. These contract types qualify for the “right to invoice” practical expedient method of measuring progress, in which the right to consideration corresponds directly with the value to the customer of our performance to date. For these contracts, revenue is recognized in the amount that we have the right to invoice.</w:t>
      </w:r>
    </w:p>
    <w:p>
      <w:pPr>
        <w:spacing w:after="0" w:line="167" w:lineRule="exact"/>
        <w:rPr>
          <w:sz w:val="20"/>
          <w:szCs w:val="20"/>
          <w:color w:val="auto"/>
        </w:rPr>
      </w:pPr>
    </w:p>
    <w:p>
      <w:pPr>
        <w:ind w:right="380" w:firstLine="737"/>
        <w:spacing w:after="0" w:line="239" w:lineRule="auto"/>
        <w:rPr>
          <w:sz w:val="20"/>
          <w:szCs w:val="20"/>
          <w:color w:val="auto"/>
        </w:rPr>
      </w:pPr>
      <w:r>
        <w:rPr>
          <w:rFonts w:ascii="Arial" w:cs="Arial" w:eastAsia="Arial" w:hAnsi="Arial"/>
          <w:sz w:val="15"/>
          <w:szCs w:val="15"/>
          <w:color w:val="auto"/>
        </w:rPr>
        <w:t>Provisions for anticipated losses on contracts, including those arising from disputes and other contingencies, are recorded in the period such loss becomes known; provisions not ultimately required are released as disputes or contingencies are resolved.</w:t>
      </w:r>
    </w:p>
    <w:p>
      <w:pPr>
        <w:spacing w:after="0" w:line="166" w:lineRule="exact"/>
        <w:rPr>
          <w:sz w:val="20"/>
          <w:szCs w:val="20"/>
          <w:color w:val="auto"/>
        </w:rPr>
      </w:pPr>
    </w:p>
    <w:p>
      <w:pPr>
        <w:ind w:right="80" w:firstLine="737"/>
        <w:spacing w:after="0" w:line="236" w:lineRule="auto"/>
        <w:rPr>
          <w:sz w:val="20"/>
          <w:szCs w:val="20"/>
          <w:color w:val="auto"/>
        </w:rPr>
      </w:pPr>
      <w:r>
        <w:rPr>
          <w:rFonts w:ascii="Arial" w:cs="Arial" w:eastAsia="Arial" w:hAnsi="Arial"/>
          <w:sz w:val="15"/>
          <w:szCs w:val="15"/>
          <w:color w:val="auto"/>
        </w:rPr>
        <w:t>Contract costs include labor and materials, amounts payable to subcontractors, direct overhead costs and 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Leases</w:t>
      </w:r>
    </w:p>
    <w:p>
      <w:pPr>
        <w:spacing w:after="0" w:line="100"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In February 2016, the FASB issued ASU 2016-02 “Leases (Topic 842)”, which is a new standard related to leases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167" w:lineRule="exact"/>
        <w:rPr>
          <w:sz w:val="20"/>
          <w:szCs w:val="20"/>
          <w:color w:val="auto"/>
        </w:rPr>
      </w:pPr>
    </w:p>
    <w:p>
      <w:pPr>
        <w:ind w:right="80" w:firstLine="737"/>
        <w:spacing w:after="0" w:line="231" w:lineRule="auto"/>
        <w:rPr>
          <w:sz w:val="20"/>
          <w:szCs w:val="20"/>
          <w:color w:val="auto"/>
        </w:rPr>
      </w:pPr>
      <w:r>
        <w:rPr>
          <w:rFonts w:ascii="Arial" w:cs="Arial" w:eastAsia="Arial" w:hAnsi="Arial"/>
          <w:sz w:val="15"/>
          <w:szCs w:val="15"/>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w:t>
      </w:r>
    </w:p>
    <w:p>
      <w:pPr>
        <w:spacing w:after="0" w:line="1" w:lineRule="exact"/>
        <w:rPr>
          <w:sz w:val="20"/>
          <w:szCs w:val="20"/>
          <w:color w:val="auto"/>
        </w:rPr>
      </w:pPr>
    </w:p>
    <w:p>
      <w:pPr>
        <w:ind w:right="160"/>
        <w:spacing w:after="0" w:line="239" w:lineRule="auto"/>
        <w:rPr>
          <w:sz w:val="20"/>
          <w:szCs w:val="20"/>
          <w:color w:val="auto"/>
        </w:rPr>
      </w:pPr>
      <w:r>
        <w:rPr>
          <w:rFonts w:ascii="Arial" w:cs="Arial" w:eastAsia="Arial" w:hAnsi="Arial"/>
          <w:sz w:val="15"/>
          <w:szCs w:val="15"/>
          <w:color w:val="auto"/>
        </w:rPr>
        <w:t>standard. Furthermore, the Company made an accounting policy election to not recognize a lease liability and ROU asset for leases with lease terms of twelve months or less.</w:t>
      </w:r>
    </w:p>
    <w:p>
      <w:pPr>
        <w:spacing w:after="0" w:line="166" w:lineRule="exact"/>
        <w:rPr>
          <w:sz w:val="20"/>
          <w:szCs w:val="20"/>
          <w:color w:val="auto"/>
        </w:rPr>
      </w:pPr>
    </w:p>
    <w:p>
      <w:pPr>
        <w:ind w:right="40" w:firstLine="737"/>
        <w:spacing w:after="0" w:line="239" w:lineRule="auto"/>
        <w:rPr>
          <w:sz w:val="20"/>
          <w:szCs w:val="20"/>
          <w:color w:val="auto"/>
        </w:rPr>
      </w:pPr>
      <w:r>
        <w:rPr>
          <w:rFonts w:ascii="Arial" w:cs="Arial" w:eastAsia="Arial" w:hAnsi="Arial"/>
          <w:sz w:val="15"/>
          <w:szCs w:val="15"/>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166" w:lineRule="exact"/>
        <w:rPr>
          <w:sz w:val="20"/>
          <w:szCs w:val="20"/>
          <w:color w:val="auto"/>
        </w:rPr>
      </w:pPr>
    </w:p>
    <w:p>
      <w:pPr>
        <w:ind w:right="40" w:firstLine="737"/>
        <w:spacing w:after="0" w:line="239" w:lineRule="auto"/>
        <w:rPr>
          <w:sz w:val="20"/>
          <w:szCs w:val="20"/>
          <w:color w:val="auto"/>
        </w:rPr>
      </w:pPr>
      <w:r>
        <w:rPr>
          <w:rFonts w:ascii="Arial" w:cs="Arial" w:eastAsia="Arial" w:hAnsi="Arial"/>
          <w:sz w:val="15"/>
          <w:szCs w:val="15"/>
          <w:color w:val="auto"/>
        </w:rPr>
        <w:t>The standard had a material impact on our consolidated balance sheets but did not have an impact on the consolidated income statements. The most significant impact was the recognition of ROU assets and lease liabilities for operating leases, while accounting for finance leases remained substantially unchanged.</w:t>
      </w:r>
    </w:p>
    <w:p>
      <w:pPr>
        <w:spacing w:after="0" w:line="166" w:lineRule="exact"/>
        <w:rPr>
          <w:sz w:val="20"/>
          <w:szCs w:val="20"/>
          <w:color w:val="auto"/>
        </w:rPr>
      </w:pPr>
    </w:p>
    <w:p>
      <w:pPr>
        <w:ind w:right="60" w:firstLine="737"/>
        <w:spacing w:after="0" w:line="235" w:lineRule="auto"/>
        <w:rPr>
          <w:sz w:val="20"/>
          <w:szCs w:val="20"/>
          <w:color w:val="auto"/>
        </w:rPr>
      </w:pPr>
      <w:r>
        <w:rPr>
          <w:rFonts w:ascii="Arial" w:cs="Arial" w:eastAsia="Arial" w:hAnsi="Arial"/>
          <w:sz w:val="15"/>
          <w:szCs w:val="15"/>
          <w:color w:val="auto"/>
        </w:rPr>
        <w:t>As a result of the adoption, we recorded a cumulative-effect adjustment to retained earnings of $52.6 million, net of a deferred tax asset adjustment of $0.7 million, representing the unamortized portion of a deferred gain previously recorded as a sale-leaseback transaction associated with the sale of an office building in 2011. We concluded the transaction resulted in the transfer of control of the office building to the buyer-lessor at market terms and would have qualified as a sale under Topic 842 with gain recognition in the period the sale was recognized.</w:t>
      </w:r>
    </w:p>
    <w:p>
      <w:pPr>
        <w:spacing w:after="0" w:line="167" w:lineRule="exact"/>
        <w:rPr>
          <w:sz w:val="20"/>
          <w:szCs w:val="20"/>
          <w:color w:val="auto"/>
        </w:rPr>
      </w:pPr>
    </w:p>
    <w:p>
      <w:pPr>
        <w:ind w:right="40" w:firstLine="737"/>
        <w:spacing w:after="0" w:line="236" w:lineRule="auto"/>
        <w:rPr>
          <w:sz w:val="20"/>
          <w:szCs w:val="20"/>
          <w:color w:val="auto"/>
        </w:rPr>
      </w:pPr>
      <w:r>
        <w:rPr>
          <w:rFonts w:ascii="Arial" w:cs="Arial" w:eastAsia="Arial" w:hAnsi="Arial"/>
          <w:sz w:val="15"/>
          <w:szCs w:val="15"/>
          <w:color w:val="auto"/>
        </w:rPr>
        <w:t>We determine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493" w:right="359" w:bottom="1440" w:gutter="0" w:footer="0" w:header="0"/>
        </w:sectPr>
      </w:pPr>
    </w:p>
    <w:bookmarkStart w:id="80" w:name="page81"/>
    <w:bookmarkEnd w:id="80"/>
    <w:p>
      <w:pPr>
        <w:ind w:right="40" w:firstLine="737"/>
        <w:spacing w:after="0" w:line="233" w:lineRule="auto"/>
        <w:rPr>
          <w:sz w:val="20"/>
          <w:szCs w:val="20"/>
          <w:color w:val="auto"/>
        </w:rPr>
      </w:pPr>
      <w:r>
        <w:rPr>
          <w:rFonts w:ascii="Arial" w:cs="Arial" w:eastAsia="Arial" w:hAnsi="Arial"/>
          <w:sz w:val="15"/>
          <w:szCs w:val="15"/>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interest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70" w:lineRule="exact"/>
        <w:rPr>
          <w:sz w:val="20"/>
          <w:szCs w:val="20"/>
          <w:color w:val="auto"/>
        </w:rPr>
      </w:pPr>
    </w:p>
    <w:p>
      <w:pPr>
        <w:ind w:right="20" w:firstLine="737"/>
        <w:spacing w:after="0" w:line="236" w:lineRule="auto"/>
        <w:rPr>
          <w:sz w:val="20"/>
          <w:szCs w:val="20"/>
          <w:color w:val="auto"/>
        </w:rPr>
      </w:pPr>
      <w:r>
        <w:rPr>
          <w:rFonts w:ascii="Arial" w:cs="Arial" w:eastAsia="Arial" w:hAnsi="Arial"/>
          <w:sz w:val="15"/>
          <w:szCs w:val="15"/>
          <w:color w:val="auto"/>
        </w:rPr>
        <w:t>We have lease agreements with lease and non-lease components, which are generally accounted for separately.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79"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We have operating and finance leases for corporate and project office spaces, vehicles, heavy machinery and office equipment. Our leases have remaining lease terms of one year to 10 years, some of which may include options to extend the leases for up to five years, and some of which may include options to terminate the leases up to the seventh year.</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00" w:lineRule="exact"/>
        <w:rPr>
          <w:sz w:val="20"/>
          <w:szCs w:val="20"/>
          <w:color w:val="auto"/>
        </w:rPr>
      </w:pPr>
    </w:p>
    <w:p>
      <w:pPr>
        <w:ind w:right="80" w:firstLine="737"/>
        <w:spacing w:after="0" w:line="251" w:lineRule="auto"/>
        <w:rPr>
          <w:sz w:val="20"/>
          <w:szCs w:val="20"/>
          <w:color w:val="auto"/>
        </w:rPr>
      </w:pPr>
      <w:r>
        <w:rPr>
          <w:rFonts w:ascii="Arial" w:cs="Arial" w:eastAsia="Arial" w:hAnsi="Arial"/>
          <w:sz w:val="14"/>
          <w:szCs w:val="14"/>
          <w:color w:val="auto"/>
        </w:rPr>
        <w:t>The cost of an acquired company is assigned to the tangible and intangible assets purchased and the liabilities assumed on the basis of their fair values at the date of acquisition. The determination of fair values of assets acquired and liabilities assumed requires us to make estimates and use valuation techniques when a market value is not readily available. Any excess of purchase price over the fair value of tangible and intangible assets acquired and obligations assumed is allocated to goodwill. Goodwill typically represents the value paid for the assembled workforce and enhancement of our service offerings. Transaction costs associated with business combinations are expensed as incurred. The determination of fair values of assets acquired and liabilities assumed requires the Company to make estimates and use valuation techniques when a market value is not readily available. The Company adjusts the preliminary purchase prices allocation, as necessary, during the measurement period of up to one year after the acquisition closing date as the Company obtains more information as to facts and circumstances existing at the acquisition date.</w:t>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Goodwill and Intangible Assets</w:t>
      </w:r>
    </w:p>
    <w:p>
      <w:pPr>
        <w:spacing w:after="0" w:line="100" w:lineRule="exact"/>
        <w:rPr>
          <w:sz w:val="20"/>
          <w:szCs w:val="20"/>
          <w:color w:val="auto"/>
        </w:rPr>
      </w:pPr>
    </w:p>
    <w:p>
      <w:pPr>
        <w:ind w:right="40" w:firstLine="737"/>
        <w:spacing w:after="0" w:line="233" w:lineRule="auto"/>
        <w:rPr>
          <w:sz w:val="20"/>
          <w:szCs w:val="20"/>
          <w:color w:val="auto"/>
        </w:rPr>
      </w:pPr>
      <w:r>
        <w:rPr>
          <w:rFonts w:ascii="Arial" w:cs="Arial" w:eastAsia="Arial" w:hAnsi="Arial"/>
          <w:sz w:val="15"/>
          <w:szCs w:val="15"/>
          <w:color w:val="auto"/>
        </w:rPr>
        <w:t>Goodwill is not amortized but is subject to an annual impairment test. Interim testing for impairment is performed if indicators of potential impairment exist. For purposes of impairment testing, goodwill is allocated to the applicable reporting units based on the current reporting structure. When evaluating goodwill for impairment, we may decide to first perform a qualitative assessment, or “step zero” impairment test, to determine whether it is more likely than not that impairment has occurred. If we do not perform a qualitative assessment, or if we determine that it is not more likely than not that the fair value of our reporting units exceeds their carrying amounts, we perform a quantitative assessment and calculate the estimated fair value of the respective reporting unit. If the carrying amount of a reporting unit’s goodwill exceeds the fair value of that goodwill, an impairment loss is recognized.</w:t>
      </w:r>
    </w:p>
    <w:p>
      <w:pPr>
        <w:spacing w:after="0" w:line="170" w:lineRule="exact"/>
        <w:rPr>
          <w:sz w:val="20"/>
          <w:szCs w:val="20"/>
          <w:color w:val="auto"/>
        </w:rPr>
      </w:pPr>
    </w:p>
    <w:p>
      <w:pPr>
        <w:ind w:right="140" w:firstLine="737"/>
        <w:spacing w:after="0" w:line="236" w:lineRule="auto"/>
        <w:rPr>
          <w:sz w:val="20"/>
          <w:szCs w:val="20"/>
          <w:color w:val="auto"/>
        </w:rPr>
      </w:pPr>
      <w:r>
        <w:rPr>
          <w:rFonts w:ascii="Arial" w:cs="Arial" w:eastAsia="Arial" w:hAnsi="Arial"/>
          <w:sz w:val="15"/>
          <w:szCs w:val="15"/>
          <w:color w:val="auto"/>
        </w:rPr>
        <w:t>Our decision to perform a qualitative impairment assessment in a given year is influenced by a number of factors, including the significance of the excess of our estimated fair value over carrying value at the last quantitative assessment date, the amount of time in between quantitative fair value assessments, and the date of the applicable acquisitions, if any.</w:t>
      </w:r>
    </w:p>
    <w:p>
      <w:pPr>
        <w:spacing w:after="0" w:line="167" w:lineRule="exact"/>
        <w:rPr>
          <w:sz w:val="20"/>
          <w:szCs w:val="20"/>
          <w:color w:val="auto"/>
        </w:rPr>
      </w:pPr>
    </w:p>
    <w:p>
      <w:pPr>
        <w:ind w:right="280" w:firstLine="737"/>
        <w:spacing w:after="0" w:line="236" w:lineRule="auto"/>
        <w:rPr>
          <w:sz w:val="20"/>
          <w:szCs w:val="20"/>
          <w:color w:val="auto"/>
        </w:rPr>
      </w:pPr>
      <w:r>
        <w:rPr>
          <w:rFonts w:ascii="Arial" w:cs="Arial" w:eastAsia="Arial" w:hAnsi="Arial"/>
          <w:sz w:val="15"/>
          <w:szCs w:val="15"/>
          <w:color w:val="auto"/>
        </w:rPr>
        <w:t>In 2019, we changed the date of its annual goodwill impairment testing from November 30 to October 1. This change results in better alignment of our annual impairment test with our annual budgeting cycle and provides a more reliable measurement using our interim closing processes. The change had no effect on our consolidated financial statements for the current or historical periods.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81" w:name="page82"/>
    <w:bookmarkEnd w:id="81"/>
    <w:p>
      <w:pPr>
        <w:ind w:right="40" w:firstLine="737"/>
        <w:spacing w:after="0" w:line="235" w:lineRule="auto"/>
        <w:rPr>
          <w:sz w:val="20"/>
          <w:szCs w:val="20"/>
          <w:color w:val="auto"/>
        </w:rPr>
      </w:pPr>
      <w:r>
        <w:rPr>
          <w:rFonts w:ascii="Arial" w:cs="Arial" w:eastAsia="Arial" w:hAnsi="Arial"/>
          <w:sz w:val="15"/>
          <w:szCs w:val="15"/>
          <w:color w:val="auto"/>
        </w:rPr>
        <w:t>We perform a goodwill impairment test on an annual basis for each reporting unit that requires certain assumptions and estimates be made regarding industry economic factors and future profitability. For the years ended December 31, 2020, December 31, 2019 and December 31, 2018, we performed a quantitative analysis for all of our reporting units. It was determined that the fair value of each of our reporting units substantially exceeded their carrying values. As a result, no goodwill impairments were identified for those periods.</w:t>
      </w:r>
    </w:p>
    <w:p>
      <w:pPr>
        <w:spacing w:after="0" w:line="167"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The goodwill impairment test involves determination of the fair value of our reporting units. This process requires significant judgments and estimates, including assumptions about our strategic plans for operations as well as the interpretation of current economic indicators. Development of the present value of future cash flow projections includes assumptions and estimates derived from a review of our expected revenue growth rates, profit margins, business plans, cost of capital and tax rates. We also make certain assumptions about future market conditions, market prices, interest rates and changes in business strategies. Changes in assumptions or estimates could materially affect the determination of the fair value of a reporting unit. This could eliminate the excess of fair value over carrying value of a reporting unit entirely and, in some cases, result in impairment. Such changes in assumptions could be caused by a loss of one or more significant contracts, reductions in government or commercial client spending, or a decline in the demand for our services due to changing economic conditions. In the event that we determine that our goodwill is impaired, we would be required to record a non-cash charge that could result in a material adverse effect on our results of operations or financial position.</w:t>
      </w:r>
    </w:p>
    <w:p>
      <w:pPr>
        <w:spacing w:after="0" w:line="168" w:lineRule="exact"/>
        <w:rPr>
          <w:sz w:val="20"/>
          <w:szCs w:val="20"/>
          <w:color w:val="auto"/>
        </w:rPr>
      </w:pPr>
    </w:p>
    <w:p>
      <w:pPr>
        <w:ind w:right="20" w:firstLine="737"/>
        <w:spacing w:after="0" w:line="249" w:lineRule="auto"/>
        <w:rPr>
          <w:sz w:val="20"/>
          <w:szCs w:val="20"/>
          <w:color w:val="auto"/>
        </w:rPr>
      </w:pPr>
      <w:r>
        <w:rPr>
          <w:rFonts w:ascii="Arial" w:cs="Arial" w:eastAsia="Arial" w:hAnsi="Arial"/>
          <w:sz w:val="14"/>
          <w:szCs w:val="14"/>
          <w:color w:val="auto"/>
        </w:rPr>
        <w:t>We use the Income Approach and Market Approach (Guideline Transaction and Guideline Company Method) to determine the fair value of reporting units. The Income Approach utilizes the discounted cash flow method, which focuses on the expected cash flow of the reporting unit. In applying this approach, the cash flow is calculated for a finite period of years. Beyond the finite period, a terminal value is developed using a sustainable long-term annual growth rate estimate. Then the finite period cash flows and the terminal value are discounted to present value to arrive at an indication of fair value. We utilized internal financial projections through fiscal 2025. The Market Approach utilizes market comparable transactions and comparable companies to calculate the estimated fair value. The guideline company approach focuses on comparing the reporting unit to select reasonably similar (or ”guideline”) publicly traded companies. Under this method, valuation multiples are derived from the median of the operating data of selected guideline companies and applied to the operating data of the reporting unit to arrive at an indicative value. In the similar transactions approach, consideration is given to prices paid in recent transactions that have occurred in the reporting unit's industry or in related industries. For the Federal Solutions reporting unit, only the Guideline Company Method is used as the Federal Solutions reporting unit has gone through multiple acquisitions during the past two years, thus making Guideline Transaction Method difficult to apply. For the Critical Infrastructure reporting unit, both the Guideline Transaction Method and Guideline Company Method are utilized to calculate the estimated fair value. Equal weighing is given to each of the methods used to estimate the fair value of reporting units. Our last review at October 1, 2020 (i.e. the first day of our fourth quarter in fiscal 2020), indicated that we had no impairment of goodwill, and all of our reporting units had estimated fair values that were in excess of their carrying values, including goodwill. We had no reporting units that had estimated fair values that exceeded their carrying values by less than 75%.</w:t>
      </w:r>
    </w:p>
    <w:p>
      <w:pPr>
        <w:spacing w:after="0" w:line="167" w:lineRule="exact"/>
        <w:rPr>
          <w:sz w:val="20"/>
          <w:szCs w:val="20"/>
          <w:color w:val="auto"/>
        </w:rPr>
      </w:pPr>
    </w:p>
    <w:p>
      <w:pPr>
        <w:ind w:right="100" w:firstLine="737"/>
        <w:spacing w:after="0" w:line="254" w:lineRule="auto"/>
        <w:rPr>
          <w:sz w:val="20"/>
          <w:szCs w:val="20"/>
          <w:color w:val="auto"/>
        </w:rPr>
      </w:pPr>
      <w:r>
        <w:rPr>
          <w:rFonts w:ascii="Arial" w:cs="Arial" w:eastAsia="Arial" w:hAnsi="Arial"/>
          <w:sz w:val="14"/>
          <w:szCs w:val="14"/>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backlog, and covenants not to compete. We assess the recoverability of the unamortized balance of our intangible assets when indicators of impairment are present based on expected future profitability and undiscounted expected cash flows and their contribution to overall operations. Should the review indicate that the carrying value is not fully recoverable, the excess of the carrying value over the fair value of the intangible assets would be recognized as an impairment loss.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493" w:right="319" w:bottom="1440" w:gutter="0" w:footer="0" w:header="0"/>
        </w:sectPr>
      </w:pPr>
    </w:p>
    <w:bookmarkStart w:id="82" w:name="page83"/>
    <w:bookmarkEnd w:id="82"/>
    <w:p>
      <w:pPr>
        <w:spacing w:after="0"/>
        <w:rPr>
          <w:sz w:val="20"/>
          <w:szCs w:val="20"/>
          <w:color w:val="auto"/>
        </w:rPr>
      </w:pPr>
      <w:r>
        <w:rPr>
          <w:rFonts w:ascii="Arial" w:cs="Arial" w:eastAsia="Arial" w:hAnsi="Arial"/>
          <w:sz w:val="15"/>
          <w:szCs w:val="15"/>
          <w:b w:val="1"/>
          <w:bCs w:val="1"/>
          <w:i w:val="1"/>
          <w:iCs w:val="1"/>
          <w:color w:val="auto"/>
        </w:rPr>
        <w:t>Consolidation of Joint Ventures and Variable Interest Entities</w:t>
      </w:r>
    </w:p>
    <w:p>
      <w:pPr>
        <w:spacing w:after="0" w:line="100" w:lineRule="exact"/>
        <w:rPr>
          <w:sz w:val="20"/>
          <w:szCs w:val="20"/>
          <w:color w:val="auto"/>
        </w:rPr>
      </w:pPr>
    </w:p>
    <w:p>
      <w:pPr>
        <w:ind w:right="100" w:firstLine="737"/>
        <w:spacing w:after="0" w:line="239" w:lineRule="auto"/>
        <w:rPr>
          <w:sz w:val="20"/>
          <w:szCs w:val="20"/>
          <w:color w:val="auto"/>
        </w:rPr>
      </w:pPr>
      <w:r>
        <w:rPr>
          <w:rFonts w:ascii="Arial" w:cs="Arial" w:eastAsia="Arial" w:hAnsi="Arial"/>
          <w:sz w:val="15"/>
          <w:szCs w:val="15"/>
          <w:color w:val="auto"/>
        </w:rPr>
        <w:t>We participate in joint ventures, which include partnerships and partially owned limited liability corporations, to bid, negotiate and complete specific projects. We are required to consolidate these joint ventures if we hold the majority voting interest or if we meet the criteria under the consolidation model as described below.</w:t>
      </w:r>
    </w:p>
    <w:p>
      <w:pPr>
        <w:spacing w:after="0" w:line="166"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A variable interest entity, or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Our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69" w:lineRule="exact"/>
        <w:rPr>
          <w:sz w:val="20"/>
          <w:szCs w:val="20"/>
          <w:color w:val="auto"/>
        </w:rPr>
      </w:pPr>
    </w:p>
    <w:p>
      <w:pPr>
        <w:ind w:right="20" w:firstLine="737"/>
        <w:spacing w:after="0" w:line="236" w:lineRule="auto"/>
        <w:rPr>
          <w:sz w:val="20"/>
          <w:szCs w:val="20"/>
          <w:color w:val="auto"/>
        </w:rPr>
      </w:pPr>
      <w:r>
        <w:rPr>
          <w:rFonts w:ascii="Arial" w:cs="Arial" w:eastAsia="Arial" w:hAnsi="Arial"/>
          <w:sz w:val="15"/>
          <w:szCs w:val="15"/>
          <w:color w:val="auto"/>
        </w:rPr>
        <w:t>We are required to perform an analysis to determine whether we are the primary beneficiary of our VIEs. We are deemed to be the primary beneficiary of a VIE if we have (i) the power to direct the activities of the VIE that most significantly impact the VIE’s economic performance; and (ii) the obligation to absorb losses or the right to receive benefits that could potentially be significant to the VIE.</w:t>
      </w:r>
    </w:p>
    <w:p>
      <w:pPr>
        <w:spacing w:after="0" w:line="167" w:lineRule="exact"/>
        <w:rPr>
          <w:sz w:val="20"/>
          <w:szCs w:val="20"/>
          <w:color w:val="auto"/>
        </w:rPr>
      </w:pPr>
    </w:p>
    <w:p>
      <w:pPr>
        <w:ind w:right="220" w:firstLine="737"/>
        <w:spacing w:after="0" w:line="233" w:lineRule="auto"/>
        <w:rPr>
          <w:sz w:val="20"/>
          <w:szCs w:val="20"/>
          <w:color w:val="auto"/>
        </w:rPr>
      </w:pPr>
      <w:r>
        <w:rPr>
          <w:rFonts w:ascii="Arial" w:cs="Arial" w:eastAsia="Arial" w:hAnsi="Arial"/>
          <w:sz w:val="15"/>
          <w:szCs w:val="15"/>
          <w:color w:val="auto"/>
        </w:rPr>
        <w:t>Many of the joint ventures we enter into are deemed to be VIEs because they lack sufficient equity to finance the activities of the joint venture. We use a qualitative approach to determine if we are the primary beneficiary of the VIE, which considers factors that indicate a party has the power to direct the activities that most significantly impact the joint venture’s economic performance. In determining whether we are the primary beneficiary of the VIE,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We analyze each joint venture initially to determine if it should be consolidated or unconsolidated into our financial statements:</w:t>
      </w:r>
    </w:p>
    <w:p>
      <w:pPr>
        <w:spacing w:after="0" w:line="80" w:lineRule="exact"/>
        <w:rPr>
          <w:sz w:val="20"/>
          <w:szCs w:val="20"/>
          <w:color w:val="auto"/>
        </w:rPr>
      </w:pPr>
    </w:p>
    <w:p>
      <w:pPr>
        <w:ind w:left="1020" w:hanging="280"/>
        <w:spacing w:after="0" w:line="239" w:lineRule="auto"/>
        <w:tabs>
          <w:tab w:leader="none" w:pos="10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 joint venture is consolidated into our financial statements if we are the primary beneficiary of a VIE or hold the majority of voting interests of a non-VIE (and no significant participative rights are available to the other partners).</w:t>
      </w:r>
    </w:p>
    <w:p>
      <w:pPr>
        <w:spacing w:after="0" w:line="77" w:lineRule="exact"/>
        <w:rPr>
          <w:rFonts w:ascii="Arial" w:cs="Arial" w:eastAsia="Arial" w:hAnsi="Arial"/>
          <w:sz w:val="15"/>
          <w:szCs w:val="15"/>
          <w:color w:val="auto"/>
        </w:rPr>
      </w:pPr>
    </w:p>
    <w:p>
      <w:pPr>
        <w:ind w:left="1020" w:hanging="280"/>
        <w:spacing w:after="0" w:line="239" w:lineRule="auto"/>
        <w:tabs>
          <w:tab w:leader="none" w:pos="10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 joint venture is not consolidated into our financial statements if we are not the primary beneficiary of a VIE, or do not hold the majority of voting interest of a non-VIE.</w:t>
      </w:r>
    </w:p>
    <w:p>
      <w:pPr>
        <w:spacing w:after="0" w:line="166" w:lineRule="exact"/>
        <w:rPr>
          <w:sz w:val="20"/>
          <w:szCs w:val="20"/>
          <w:color w:val="auto"/>
        </w:rPr>
      </w:pPr>
    </w:p>
    <w:p>
      <w:pPr>
        <w:ind w:right="320" w:firstLine="737"/>
        <w:spacing w:after="0" w:line="236" w:lineRule="auto"/>
        <w:rPr>
          <w:sz w:val="20"/>
          <w:szCs w:val="20"/>
          <w:color w:val="auto"/>
        </w:rPr>
      </w:pPr>
      <w:r>
        <w:rPr>
          <w:rFonts w:ascii="Arial" w:cs="Arial" w:eastAsia="Arial" w:hAnsi="Arial"/>
          <w:sz w:val="15"/>
          <w:szCs w:val="15"/>
          <w:color w:val="auto"/>
        </w:rPr>
        <w:t>We account for our unconsolidated joint ventures using the equity method of accounting. Under this method, we recognize our proportionate share of the net earnings of these joint ventures as “Equity in earnings (loss) of unconsolidated joint ventures”. Our maximum exposure to loss as a result of our investments in unconsolidated variable interest entities is typically limited to the aggregate of the carrying value of the investment and future funding commitments in these entities.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ESOP</w:t>
      </w:r>
    </w:p>
    <w:p>
      <w:pPr>
        <w:spacing w:after="0" w:line="100" w:lineRule="exact"/>
        <w:rPr>
          <w:sz w:val="20"/>
          <w:szCs w:val="20"/>
          <w:color w:val="auto"/>
        </w:rPr>
      </w:pPr>
    </w:p>
    <w:p>
      <w:pPr>
        <w:ind w:left="740"/>
        <w:spacing w:after="0"/>
        <w:rPr>
          <w:sz w:val="20"/>
          <w:szCs w:val="20"/>
          <w:color w:val="auto"/>
        </w:rPr>
      </w:pPr>
      <w:r>
        <w:rPr>
          <w:rFonts w:ascii="Arial" w:cs="Arial" w:eastAsia="Arial" w:hAnsi="Arial"/>
          <w:sz w:val="14"/>
          <w:szCs w:val="14"/>
          <w:color w:val="auto"/>
        </w:rPr>
        <w:t>On May 8, 2019, we consummated the IPO. At the IPO date, shares held by the ESOP were subject to a 180-day lock-up period which concluded on November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3, 2019.</w:t>
      </w:r>
    </w:p>
    <w:p>
      <w:pPr>
        <w:spacing w:after="0" w:line="82" w:lineRule="exact"/>
        <w:rPr>
          <w:sz w:val="20"/>
          <w:szCs w:val="20"/>
          <w:color w:val="auto"/>
        </w:rPr>
      </w:pPr>
    </w:p>
    <w:p>
      <w:pPr>
        <w:ind w:right="160" w:firstLine="737"/>
        <w:spacing w:after="0" w:line="236" w:lineRule="auto"/>
        <w:rPr>
          <w:sz w:val="20"/>
          <w:szCs w:val="20"/>
          <w:color w:val="auto"/>
        </w:rPr>
      </w:pPr>
      <w:r>
        <w:rPr>
          <w:rFonts w:ascii="Arial" w:cs="Arial" w:eastAsia="Arial" w:hAnsi="Arial"/>
          <w:sz w:val="15"/>
          <w:szCs w:val="15"/>
          <w:color w:val="auto"/>
        </w:rPr>
        <w:t>We contribute shares of our own stock to the ESOP each year. Shares held by the ESOP or committed to be contributed to the ESOP were presented as temporary equity at December 31, 2018 as they included a cash redemption feature that was not solely within our control. At the conclusion of the 180-day lock-up period, ESOP distributions are no longer made in cash and are now made in shares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76" w:right="339" w:bottom="1440" w:gutter="0" w:footer="0" w:header="0"/>
        </w:sectPr>
      </w:pPr>
    </w:p>
    <w:bookmarkStart w:id="83" w:name="page84"/>
    <w:bookmarkEnd w:id="83"/>
    <w:p>
      <w:pPr>
        <w:spacing w:after="0"/>
        <w:rPr>
          <w:sz w:val="20"/>
          <w:szCs w:val="20"/>
          <w:color w:val="auto"/>
        </w:rPr>
      </w:pPr>
      <w:r>
        <w:rPr>
          <w:rFonts w:ascii="Arial" w:cs="Arial" w:eastAsia="Arial" w:hAnsi="Arial"/>
          <w:sz w:val="15"/>
          <w:szCs w:val="15"/>
          <w:color w:val="auto"/>
        </w:rPr>
        <w:t>our common stock. Accordingly, at December 31, 2019, shares held by the ESOP were reclassified from temporary equity to permanent equity.</w:t>
      </w:r>
    </w:p>
    <w:p>
      <w:pPr>
        <w:spacing w:after="0" w:line="82"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Throughout the year, as employee services are rendered, we record compensation expense based on salaries of eligible employees. Contributions of our common stock to the ESOP are made annually in amounts determined by our board of directors and are held in trust for the sole benefit of the participants. Shares allocated to a participant’s account are fully vested after three years of credited service, or in the event(s) of reaching age 65, death or disability while an active employee.</w:t>
      </w:r>
    </w:p>
    <w:p>
      <w:pPr>
        <w:spacing w:after="0" w:line="167"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Prior to the IPO, participants’ interests were redeemable in cash based on share prices established by the ESOP Trustee. Subsequent to the IPO and during the 180-day lock-up period, participants’ interests were redeemable in cash based on quoted prices of a share of our common stock on the NYSE. Subsequent to the 180-day lock-up period, distributions from the ESOP of participants’ interests are made in our common stock based on quoted prices of a share of our common stock on the NYSE. A participant will be able to sell such shares of common stock in the market, subject to any requirements of the federal securities laws.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Valuation of Common Stock</w:t>
      </w:r>
    </w:p>
    <w:p>
      <w:pPr>
        <w:spacing w:after="0" w:line="100" w:lineRule="exact"/>
        <w:rPr>
          <w:sz w:val="20"/>
          <w:szCs w:val="20"/>
          <w:color w:val="auto"/>
        </w:rPr>
      </w:pPr>
    </w:p>
    <w:p>
      <w:pPr>
        <w:ind w:right="40" w:firstLine="737"/>
        <w:spacing w:after="0" w:line="233" w:lineRule="auto"/>
        <w:rPr>
          <w:sz w:val="20"/>
          <w:szCs w:val="20"/>
          <w:color w:val="auto"/>
        </w:rPr>
      </w:pPr>
      <w:r>
        <w:rPr>
          <w:rFonts w:ascii="Arial" w:cs="Arial" w:eastAsia="Arial" w:hAnsi="Arial"/>
          <w:sz w:val="15"/>
          <w:szCs w:val="15"/>
          <w:color w:val="auto"/>
        </w:rPr>
        <w:t>Prior to our IPO, our share price was determined using a combination of income- and market-based methods that utilized unobservable Level 3 inputs, including significant assumptions such as forecasted revenue and operating margins, working capital requirements and weighted average cost of capital. Given the absence of a public trading market for our common stock, for all purposes related to the fair market value of our common stock, we historically used the per share price of our common stock as established by the ESOP Trustee, taking into account, among other things, the advice of a third-party valuation consultant for the ESOP Trustee, as well as the ESOP Trustee’s knowledge of the Company as of December 31 for each calendar year. Subsequent to the IPO, the share price is based on quoted prices of the Company’s common stock on the NYSE.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Equity-Based Compensation</w:t>
      </w:r>
    </w:p>
    <w:p>
      <w:pPr>
        <w:spacing w:after="0" w:line="100" w:lineRule="exact"/>
        <w:rPr>
          <w:sz w:val="20"/>
          <w:szCs w:val="20"/>
          <w:color w:val="auto"/>
        </w:rPr>
      </w:pPr>
    </w:p>
    <w:p>
      <w:pPr>
        <w:ind w:right="140" w:firstLine="591"/>
        <w:spacing w:after="0" w:line="252" w:lineRule="auto"/>
        <w:rPr>
          <w:sz w:val="20"/>
          <w:szCs w:val="20"/>
          <w:color w:val="auto"/>
        </w:rPr>
      </w:pPr>
      <w:r>
        <w:rPr>
          <w:rFonts w:ascii="Arial" w:cs="Arial" w:eastAsia="Arial" w:hAnsi="Arial"/>
          <w:sz w:val="14"/>
          <w:szCs w:val="14"/>
          <w:color w:val="auto"/>
        </w:rPr>
        <w:t>We measures the value of services received from employees and directors in exchange for an equity-based award based on the grant date fair value. We issue equity-based awards that settle in shares of our common stock. Prior to the IPO, we issued equity-based awards that settle in cash. Cash settled awards are subsequently remeasured to an updated fair value at each reporting period until the award is settled. Awards containing performance measures are adjusted at each reporting period for the number of shares expected to be earned. Compensation cost for cash settled and performance awards are trued-up at each reporting period for changes in fair value and expected shares pro-rated for the portion of the requisite service period rendered. We recognize compensation costs for these awards on either a straight-line or accelerated basis over the vesting period of the award in “Indirect, general and administrative expenses” in the consolidated statements of income.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Self-Insurance</w:t>
      </w:r>
    </w:p>
    <w:p>
      <w:pPr>
        <w:spacing w:after="0" w:line="100" w:lineRule="exact"/>
        <w:rPr>
          <w:sz w:val="20"/>
          <w:szCs w:val="20"/>
          <w:color w:val="auto"/>
        </w:rPr>
      </w:pPr>
    </w:p>
    <w:p>
      <w:pPr>
        <w:ind w:right="20" w:firstLine="737"/>
        <w:spacing w:after="0" w:line="235" w:lineRule="auto"/>
        <w:rPr>
          <w:sz w:val="20"/>
          <w:szCs w:val="20"/>
          <w:color w:val="auto"/>
        </w:rPr>
      </w:pPr>
      <w:r>
        <w:rPr>
          <w:rFonts w:ascii="Arial" w:cs="Arial" w:eastAsia="Arial" w:hAnsi="Arial"/>
          <w:sz w:val="15"/>
          <w:szCs w:val="15"/>
          <w:color w:val="auto"/>
        </w:rPr>
        <w:t>We are self-insured for a portion of our losses and liabilities primarily associated with workers’ compensation, general, professional, automobile, employee matters, certain medical plans, and project specific liability claims. Losses are accrued based upon our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405" w:right="339" w:bottom="1440" w:gutter="0" w:footer="0" w:header="0"/>
        </w:sectPr>
      </w:pPr>
    </w:p>
    <w:bookmarkStart w:id="84" w:name="page85"/>
    <w:bookmarkEnd w:id="84"/>
    <w:p>
      <w:pPr>
        <w:jc w:val="center"/>
        <w:ind w:right="-39"/>
        <w:spacing w:after="0"/>
        <w:rPr>
          <w:sz w:val="20"/>
          <w:szCs w:val="20"/>
          <w:color w:val="auto"/>
        </w:rPr>
      </w:pPr>
      <w:r>
        <w:rPr>
          <w:rFonts w:ascii="Arial" w:cs="Arial" w:eastAsia="Arial" w:hAnsi="Arial"/>
          <w:sz w:val="15"/>
          <w:szCs w:val="15"/>
          <w:b w:val="1"/>
          <w:bCs w:val="1"/>
          <w:color w:val="auto"/>
        </w:rPr>
        <w:t>Recent Accounting Pronouncements</w:t>
      </w:r>
    </w:p>
    <w:p>
      <w:pPr>
        <w:spacing w:after="0" w:line="173" w:lineRule="exact"/>
        <w:rPr>
          <w:sz w:val="20"/>
          <w:szCs w:val="20"/>
          <w:color w:val="auto"/>
        </w:rPr>
      </w:pPr>
    </w:p>
    <w:p>
      <w:pPr>
        <w:ind w:right="480" w:firstLine="737"/>
        <w:spacing w:after="0" w:line="260" w:lineRule="auto"/>
        <w:rPr>
          <w:sz w:val="20"/>
          <w:szCs w:val="20"/>
          <w:color w:val="auto"/>
        </w:rPr>
      </w:pPr>
      <w:r>
        <w:rPr>
          <w:rFonts w:ascii="Arial" w:cs="Arial" w:eastAsia="Arial" w:hAnsi="Arial"/>
          <w:sz w:val="15"/>
          <w:szCs w:val="15"/>
          <w:color w:val="auto"/>
        </w:rPr>
        <w:t>See the information set forth in “Note 2—</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—Recently Adopted Accounting Pronouncements” in the notes to our consolidated financial statements included elsewhere in this Annual Report on Form 10-K.</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Off-Balance Sheet Arrangements</w:t>
      </w:r>
    </w:p>
    <w:p>
      <w:pPr>
        <w:spacing w:after="0" w:line="189" w:lineRule="exact"/>
        <w:rPr>
          <w:sz w:val="20"/>
          <w:szCs w:val="20"/>
          <w:color w:val="auto"/>
        </w:rPr>
      </w:pPr>
    </w:p>
    <w:p>
      <w:pPr>
        <w:ind w:right="500" w:firstLine="737"/>
        <w:spacing w:after="0" w:line="239" w:lineRule="auto"/>
        <w:rPr>
          <w:sz w:val="20"/>
          <w:szCs w:val="20"/>
          <w:color w:val="auto"/>
        </w:rPr>
      </w:pPr>
      <w:r>
        <w:rPr>
          <w:rFonts w:ascii="Arial" w:cs="Arial" w:eastAsia="Arial" w:hAnsi="Arial"/>
          <w:sz w:val="15"/>
          <w:szCs w:val="15"/>
          <w:color w:val="auto"/>
        </w:rPr>
        <w:t>As of December 31, 2020, we have no off-balance sheet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Commitments and Contingencies</w:t>
      </w:r>
    </w:p>
    <w:p>
      <w:pPr>
        <w:spacing w:after="0" w:line="189" w:lineRule="exact"/>
        <w:rPr>
          <w:sz w:val="20"/>
          <w:szCs w:val="20"/>
          <w:color w:val="auto"/>
        </w:rPr>
      </w:pPr>
    </w:p>
    <w:p>
      <w:pPr>
        <w:ind w:firstLine="737"/>
        <w:spacing w:after="0" w:line="233" w:lineRule="auto"/>
        <w:rPr>
          <w:sz w:val="20"/>
          <w:szCs w:val="20"/>
          <w:color w:val="auto"/>
        </w:rPr>
      </w:pPr>
      <w:r>
        <w:rPr>
          <w:rFonts w:ascii="Arial" w:cs="Arial" w:eastAsia="Arial" w:hAnsi="Arial"/>
          <w:sz w:val="15"/>
          <w:szCs w:val="15"/>
          <w:color w:val="auto"/>
        </w:rPr>
        <w:t>We are subject to certain claims and assessments that arise in the ordinary course of business. Additionally, Parsons has been named as a defendant in lawsuits alleging personal injuries as a result of contact with asbestos products at various project sites. We believe that any significant costs relating to these claims will be reimbursed by applicable insurance and do not expect any of these claims to have a material adverse effect on our financial condition or results of operations. We record a liability when we believe that it is both probable that a loss has been incurred and the amount can be reasonably estimated. Management judgment is required to determine the outcome and the estimated amount of a loss related to such matters. Management believes that there are no claims or assessments outstanding which would materially affect our consolidated results of operations or our financial position.</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Qualitative and Quantitative Disclosure About Market Risk</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00" w:lineRule="exact"/>
        <w:rPr>
          <w:sz w:val="20"/>
          <w:szCs w:val="20"/>
          <w:color w:val="auto"/>
        </w:rPr>
      </w:pPr>
    </w:p>
    <w:p>
      <w:pPr>
        <w:ind w:right="20" w:firstLine="737"/>
        <w:spacing w:after="0" w:line="234" w:lineRule="auto"/>
        <w:rPr>
          <w:sz w:val="20"/>
          <w:szCs w:val="20"/>
          <w:color w:val="auto"/>
        </w:rPr>
      </w:pPr>
      <w:r>
        <w:rPr>
          <w:rFonts w:ascii="Arial" w:cs="Arial" w:eastAsia="Arial" w:hAnsi="Arial"/>
          <w:sz w:val="15"/>
          <w:szCs w:val="15"/>
          <w:color w:val="auto"/>
        </w:rPr>
        <w:t>We are exposed to interest rate risks related to our Revolving Credit Facility. As of December 31, 2020, we had no loan amounts outstanding under the Revolving Credit Facility. Borrowings under the Revolving Credit Facility bear interest, at our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2020 and December 31, 2019 were 1.87% and 3.02%,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Foreign Currency Exchange Risk</w:t>
      </w:r>
    </w:p>
    <w:p>
      <w:pPr>
        <w:spacing w:after="0" w:line="100" w:lineRule="exact"/>
        <w:rPr>
          <w:sz w:val="20"/>
          <w:szCs w:val="20"/>
          <w:color w:val="auto"/>
        </w:rPr>
      </w:pPr>
    </w:p>
    <w:p>
      <w:pPr>
        <w:jc w:val="both"/>
        <w:ind w:right="340" w:firstLine="737"/>
        <w:spacing w:after="0" w:line="236" w:lineRule="auto"/>
        <w:rPr>
          <w:sz w:val="20"/>
          <w:szCs w:val="20"/>
          <w:color w:val="auto"/>
        </w:rPr>
      </w:pPr>
      <w:r>
        <w:rPr>
          <w:rFonts w:ascii="Arial" w:cs="Arial" w:eastAsia="Arial" w:hAnsi="Arial"/>
          <w:sz w:val="15"/>
          <w:szCs w:val="15"/>
          <w:color w:val="auto"/>
        </w:rPr>
        <w:t>We are exposed to foreign currency exchange rate risk resulting from our operations outside of the U.S. We limit exposure to foreign currency fluctuations in most of our contracts through provisions that require client payments in currencies corresponding to the currency in which costs are incurred. As a result of this natural hedge, we generally do not need to hedge foreign currency cash flows for contract work performed.</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94"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information required by this item 8 is submitted as a separate section beginning on page F-1 of this Annual Report on Form 10-K and is incorporated by</w:t>
      </w:r>
    </w:p>
    <w:p>
      <w:pPr>
        <w:spacing w:after="0"/>
        <w:rPr>
          <w:sz w:val="20"/>
          <w:szCs w:val="20"/>
          <w:color w:val="auto"/>
        </w:rPr>
      </w:pPr>
      <w:r>
        <w:rPr>
          <w:rFonts w:ascii="Arial" w:cs="Arial" w:eastAsia="Arial" w:hAnsi="Arial"/>
          <w:sz w:val="15"/>
          <w:szCs w:val="15"/>
          <w:color w:val="auto"/>
        </w:rPr>
        <w:t>reference.</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564" w:right="339" w:bottom="1440" w:gutter="0" w:footer="0" w:header="0"/>
        </w:sectPr>
      </w:pPr>
    </w:p>
    <w:bookmarkStart w:id="85" w:name="page86"/>
    <w:bookmarkEnd w:id="85"/>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82" w:lineRule="exact"/>
        <w:rPr>
          <w:sz w:val="20"/>
          <w:szCs w:val="20"/>
          <w:color w:val="auto"/>
        </w:rPr>
      </w:pPr>
    </w:p>
    <w:p>
      <w:pPr>
        <w:ind w:left="740"/>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00" w:lineRule="exact"/>
        <w:rPr>
          <w:sz w:val="20"/>
          <w:szCs w:val="20"/>
          <w:color w:val="auto"/>
        </w:rPr>
      </w:pPr>
    </w:p>
    <w:p>
      <w:pPr>
        <w:ind w:right="120" w:firstLine="737"/>
        <w:spacing w:after="0" w:line="233" w:lineRule="auto"/>
        <w:rPr>
          <w:sz w:val="20"/>
          <w:szCs w:val="20"/>
          <w:color w:val="auto"/>
        </w:rPr>
      </w:pPr>
      <w:r>
        <w:rPr>
          <w:rFonts w:ascii="Arial" w:cs="Arial" w:eastAsia="Arial" w:hAnsi="Arial"/>
          <w:sz w:val="15"/>
          <w:szCs w:val="15"/>
          <w:color w:val="auto"/>
        </w:rPr>
        <w:t>Our management carried out, as of December 31, 2020, with the participation of our Chief Executive Officer and our Chief Financial Officer, an evaluation of the effectiveness of our disclosure controls and procedures (as defined in Rules 13a-15(e) and 15d-15(e) under the Securities Exchange Act of 1934, as amended (the “Exchange Act”). Based on that evaluation, our Chief Executive Officer and Chief Financial Officer concluded that, as of December 31, 2020, our disclosure controls and procedures were effective to provide reasonable assurance that information required to be disclosed by us in reports we file or submit under the Exchange Act is recorded, processed, summarized and reported within the time periods specified in the SEC rules and forms and that information required to be disclosed by us in the reports we file or submit under the Exchange Act is accumulated and communicated to our management, including our Chief Executive Officer and Chief Financial Officer, as appropriate to allow timely decisions regarding required disclosure.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Management’s Annual Report on Internal Control Over Financial Reporting</w:t>
      </w:r>
    </w:p>
    <w:p>
      <w:pPr>
        <w:spacing w:after="0" w:line="100" w:lineRule="exact"/>
        <w:rPr>
          <w:sz w:val="20"/>
          <w:szCs w:val="20"/>
          <w:color w:val="auto"/>
        </w:rPr>
      </w:pPr>
    </w:p>
    <w:p>
      <w:pPr>
        <w:ind w:firstLine="434"/>
        <w:spacing w:after="0" w:line="234" w:lineRule="auto"/>
        <w:rPr>
          <w:sz w:val="20"/>
          <w:szCs w:val="20"/>
          <w:color w:val="auto"/>
        </w:rPr>
      </w:pPr>
      <w:r>
        <w:rPr>
          <w:rFonts w:ascii="Arial" w:cs="Arial" w:eastAsia="Arial" w:hAnsi="Arial"/>
          <w:sz w:val="15"/>
          <w:szCs w:val="15"/>
          <w:color w:val="auto"/>
        </w:rPr>
        <w:t>Management is responsible for establishing and maintaining for the Company adequate internal control over financial reporting, as defined in Rule 13a-15(f) under the Exchange Act. Management, with the participation of its Chair and Chief Executive Officer (principal executive officer) and Chief Financial Officer (principal financial officer), has assessed the effectiveness of the Company’s internal control over financial reporting as of December 31, 2020 based on the framework established in “Internal Control —Integrated Framework,” issued by the Committee of Sponsoring Organizations of the Treadway Commission (2013 framework). Based on this assessment, management has concluded that the Company’s internal control over financial reporting was effective as of December 31, 2020.</w:t>
      </w:r>
    </w:p>
    <w:p>
      <w:pPr>
        <w:spacing w:after="0" w:line="79" w:lineRule="exact"/>
        <w:rPr>
          <w:sz w:val="20"/>
          <w:szCs w:val="20"/>
          <w:color w:val="auto"/>
        </w:rPr>
      </w:pPr>
    </w:p>
    <w:p>
      <w:pPr>
        <w:ind w:right="140" w:firstLine="434"/>
        <w:spacing w:after="0" w:line="236" w:lineRule="auto"/>
        <w:rPr>
          <w:sz w:val="20"/>
          <w:szCs w:val="20"/>
          <w:color w:val="auto"/>
        </w:rPr>
      </w:pPr>
      <w:r>
        <w:rPr>
          <w:rFonts w:ascii="Arial" w:cs="Arial" w:eastAsia="Arial" w:hAnsi="Arial"/>
          <w:sz w:val="15"/>
          <w:szCs w:val="15"/>
          <w:color w:val="auto"/>
        </w:rPr>
        <w:t>The Company’s independent registered public accounting firm, PricewaterhouseCoopers LLP, which audited the Company’s consolidated financial statements included in this Annual Report on Form 10-K, also audited the effectiveness of our internal control over financial reporting as of December 31, 2020, as stated in their audit report included in this Annual Report on Form 10-K.</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00" w:lineRule="exact"/>
        <w:rPr>
          <w:sz w:val="20"/>
          <w:szCs w:val="20"/>
          <w:color w:val="auto"/>
        </w:rPr>
      </w:pPr>
    </w:p>
    <w:p>
      <w:pPr>
        <w:ind w:right="140" w:firstLine="434"/>
        <w:spacing w:after="0" w:line="272" w:lineRule="auto"/>
        <w:rPr>
          <w:sz w:val="20"/>
          <w:szCs w:val="20"/>
          <w:color w:val="auto"/>
        </w:rPr>
      </w:pPr>
      <w:r>
        <w:rPr>
          <w:rFonts w:ascii="Arial" w:cs="Arial" w:eastAsia="Arial" w:hAnsi="Arial"/>
          <w:sz w:val="14"/>
          <w:szCs w:val="14"/>
          <w:color w:val="auto"/>
        </w:rPr>
        <w:t>There have been no changes in our internal control over financial reporting, as defined in Rules 13a-15(f) and 15d-15(f) of the Securities Exchange Act of 1934, that occurred during the quarter ended December 31, 2020 that materially affected, or are reasonably likely to materially affect, our internal control over financial reporting.</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64" w:right="31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5"/>
          <w:szCs w:val="15"/>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00" w:lineRule="exact"/>
        <w:rPr>
          <w:sz w:val="20"/>
          <w:szCs w:val="20"/>
          <w:color w:val="auto"/>
        </w:rPr>
      </w:pPr>
    </w:p>
    <w:p>
      <w:pPr>
        <w:ind w:right="400" w:firstLine="434"/>
        <w:spacing w:after="0" w:line="239" w:lineRule="auto"/>
        <w:rPr>
          <w:sz w:val="20"/>
          <w:szCs w:val="20"/>
          <w:color w:val="auto"/>
        </w:rPr>
      </w:pPr>
      <w:r>
        <w:rPr>
          <w:rFonts w:ascii="Arial" w:cs="Arial" w:eastAsia="Arial" w:hAnsi="Arial"/>
          <w:sz w:val="15"/>
          <w:szCs w:val="15"/>
          <w:color w:val="auto"/>
        </w:rPr>
        <w:t>Information related to our directors set forth under the caption “Proposal 1: Election of Directors” of our Proxy Statement for our Annual Meeting of Stockholders scheduled for April 20, 2021 (the “2021 Proxy Statement”). Such information is incorporated herein by reference.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Information relating to our Executive Officers is included in Part I of this Annual Report under the caption “Executive Officers.”</w:t>
      </w:r>
    </w:p>
    <w:p>
      <w:pPr>
        <w:spacing w:after="0" w:line="171" w:lineRule="exact"/>
        <w:rPr>
          <w:sz w:val="20"/>
          <w:szCs w:val="20"/>
          <w:color w:val="auto"/>
        </w:rPr>
      </w:pPr>
    </w:p>
    <w:p>
      <w:pPr>
        <w:jc w:val="both"/>
        <w:ind w:firstLine="434"/>
        <w:spacing w:after="0" w:line="239" w:lineRule="auto"/>
        <w:rPr>
          <w:sz w:val="20"/>
          <w:szCs w:val="20"/>
          <w:color w:val="auto"/>
        </w:rPr>
      </w:pPr>
      <w:r>
        <w:rPr>
          <w:rFonts w:ascii="Arial" w:cs="Arial" w:eastAsia="Arial" w:hAnsi="Arial"/>
          <w:sz w:val="15"/>
          <w:szCs w:val="15"/>
          <w:color w:val="auto"/>
        </w:rPr>
        <w:t>Information relating to compliance with Section 16(a) of the Exchange Act is set forth under the caption “Section 16(a) Beneficial Ownership Reporting Compliance” of our 2021 Proxy Statement. Such information is incorporated herein by reference.</w:t>
      </w:r>
    </w:p>
    <w:p>
      <w:pPr>
        <w:spacing w:after="0" w:line="166" w:lineRule="exact"/>
        <w:rPr>
          <w:sz w:val="20"/>
          <w:szCs w:val="20"/>
          <w:color w:val="auto"/>
        </w:rPr>
      </w:pPr>
    </w:p>
    <w:p>
      <w:pPr>
        <w:ind w:right="340" w:firstLine="434"/>
        <w:spacing w:after="0" w:line="239" w:lineRule="auto"/>
        <w:rPr>
          <w:sz w:val="20"/>
          <w:szCs w:val="20"/>
          <w:color w:val="auto"/>
        </w:rPr>
      </w:pPr>
      <w:r>
        <w:rPr>
          <w:rFonts w:ascii="Arial" w:cs="Arial" w:eastAsia="Arial" w:hAnsi="Arial"/>
          <w:sz w:val="15"/>
          <w:szCs w:val="15"/>
          <w:color w:val="auto"/>
        </w:rPr>
        <w:t>Information related to our code of ethics is set forth under the caption “Corporate Governance and General Information Concerning the Board of Directors and its Committees” of our 2021 Proxy Statement. Such information is incorporated herein by reference.</w:t>
      </w:r>
    </w:p>
    <w:p>
      <w:pPr>
        <w:spacing w:after="0" w:line="166" w:lineRule="exact"/>
        <w:rPr>
          <w:sz w:val="20"/>
          <w:szCs w:val="20"/>
          <w:color w:val="auto"/>
        </w:rPr>
      </w:pPr>
    </w:p>
    <w:p>
      <w:pPr>
        <w:jc w:val="both"/>
        <w:ind w:firstLine="434"/>
        <w:spacing w:after="0" w:line="236" w:lineRule="auto"/>
        <w:rPr>
          <w:sz w:val="20"/>
          <w:szCs w:val="20"/>
          <w:color w:val="auto"/>
        </w:rPr>
      </w:pPr>
      <w:r>
        <w:rPr>
          <w:rFonts w:ascii="Arial" w:cs="Arial" w:eastAsia="Arial" w:hAnsi="Arial"/>
          <w:sz w:val="15"/>
          <w:szCs w:val="15"/>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2021 Proxy Statement. Such information is incorporated herein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89" w:lineRule="exact"/>
        <w:rPr>
          <w:sz w:val="20"/>
          <w:szCs w:val="20"/>
          <w:color w:val="auto"/>
        </w:rPr>
      </w:pPr>
    </w:p>
    <w:p>
      <w:pPr>
        <w:ind w:right="320" w:firstLine="434"/>
        <w:spacing w:after="0" w:line="236" w:lineRule="auto"/>
        <w:rPr>
          <w:sz w:val="20"/>
          <w:szCs w:val="20"/>
          <w:color w:val="auto"/>
        </w:rPr>
      </w:pPr>
      <w:r>
        <w:rPr>
          <w:rFonts w:ascii="Arial" w:cs="Arial" w:eastAsia="Arial" w:hAnsi="Arial"/>
          <w:sz w:val="15"/>
          <w:szCs w:val="15"/>
          <w:color w:val="auto"/>
        </w:rPr>
        <w:t>Information relating to this item is set forth under the captions “Compensation Discussion and Analysis,” “Director Compensation,” “Compensation Committee Interlocks and Insider Participation” and “Compensation Committee Report on Executive Compensation” of our 2021 Proxy Statement. Such information is incorporated herein by reference.</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278" w:lineRule="exact"/>
        <w:rPr>
          <w:sz w:val="20"/>
          <w:szCs w:val="20"/>
          <w:color w:val="auto"/>
        </w:rPr>
      </w:pPr>
    </w:p>
    <w:p>
      <w:pPr>
        <w:ind w:right="300" w:firstLine="542"/>
        <w:spacing w:after="0" w:line="239" w:lineRule="auto"/>
        <w:rPr>
          <w:sz w:val="20"/>
          <w:szCs w:val="20"/>
          <w:color w:val="auto"/>
        </w:rPr>
      </w:pPr>
      <w:r>
        <w:rPr>
          <w:rFonts w:ascii="Arial" w:cs="Arial" w:eastAsia="Arial" w:hAnsi="Arial"/>
          <w:sz w:val="15"/>
          <w:szCs w:val="15"/>
          <w:color w:val="auto"/>
        </w:rPr>
        <w:t>Information relating to the security ownership of certain beneficial owners and management is included in our 2021 Proxy Statement under the caption “Security Ownership of Certain Beneficial Owners and Management” and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278" w:lineRule="exact"/>
        <w:rPr>
          <w:sz w:val="20"/>
          <w:szCs w:val="20"/>
          <w:color w:val="auto"/>
        </w:rPr>
      </w:pPr>
    </w:p>
    <w:p>
      <w:pPr>
        <w:ind w:right="440" w:firstLine="434"/>
        <w:spacing w:after="0" w:line="239" w:lineRule="auto"/>
        <w:rPr>
          <w:sz w:val="20"/>
          <w:szCs w:val="20"/>
          <w:color w:val="auto"/>
        </w:rPr>
      </w:pPr>
      <w:r>
        <w:rPr>
          <w:rFonts w:ascii="Arial" w:cs="Arial" w:eastAsia="Arial" w:hAnsi="Arial"/>
          <w:sz w:val="15"/>
          <w:szCs w:val="15"/>
          <w:color w:val="auto"/>
        </w:rPr>
        <w:t>Information relating to this item is set forth under the captions “Certain Relationships and Related Party Transactions” and “Corporate Governance and General Information Concerning the Board of Directors and its Committees” of our 2021 Proxy Statement. Such information is incorporated herein by reference.</w:t>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Accounting Fees and Services.</w:t>
      </w:r>
    </w:p>
    <w:p>
      <w:pPr>
        <w:spacing w:after="0" w:line="189" w:lineRule="exact"/>
        <w:rPr>
          <w:sz w:val="20"/>
          <w:szCs w:val="20"/>
          <w:color w:val="auto"/>
        </w:rPr>
      </w:pPr>
    </w:p>
    <w:p>
      <w:pPr>
        <w:ind w:firstLine="434"/>
        <w:spacing w:after="0" w:line="239" w:lineRule="auto"/>
        <w:rPr>
          <w:sz w:val="20"/>
          <w:szCs w:val="20"/>
          <w:color w:val="auto"/>
        </w:rPr>
      </w:pPr>
      <w:r>
        <w:rPr>
          <w:rFonts w:ascii="Arial" w:cs="Arial" w:eastAsia="Arial" w:hAnsi="Arial"/>
          <w:sz w:val="15"/>
          <w:szCs w:val="15"/>
          <w:color w:val="auto"/>
        </w:rPr>
        <w:t>Information relating to this item is set forth under the caption “Independent Registered Public Accounting Firm Fees” of our 2021 Proxy Statement. Such information is incorporated herein by reference.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5"/>
          <w:szCs w:val="15"/>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15. Exhibits, Financial Statement Schedules.</w:t>
      </w:r>
    </w:p>
    <w:p>
      <w:pPr>
        <w:spacing w:after="0" w:line="100" w:lineRule="exact"/>
        <w:rPr>
          <w:sz w:val="20"/>
          <w:szCs w:val="20"/>
          <w:color w:val="auto"/>
        </w:rPr>
      </w:pPr>
    </w:p>
    <w:p>
      <w:pPr>
        <w:ind w:left="1180" w:hanging="584"/>
        <w:spacing w:after="0"/>
        <w:tabs>
          <w:tab w:leader="none" w:pos="1180" w:val="left"/>
        </w:tabs>
        <w:numPr>
          <w:ilvl w:val="0"/>
          <w:numId w:val="44"/>
        </w:numPr>
        <w:rPr>
          <w:rFonts w:ascii="Arial" w:cs="Arial" w:eastAsia="Arial" w:hAnsi="Arial"/>
          <w:sz w:val="15"/>
          <w:szCs w:val="15"/>
          <w:color w:val="auto"/>
        </w:rPr>
      </w:pPr>
      <w:r>
        <w:rPr>
          <w:rFonts w:ascii="Arial" w:cs="Arial" w:eastAsia="Arial" w:hAnsi="Arial"/>
          <w:sz w:val="15"/>
          <w:szCs w:val="15"/>
          <w:color w:val="auto"/>
        </w:rPr>
        <w:t>List the following documents filed as a part of the report:</w:t>
      </w:r>
    </w:p>
    <w:p>
      <w:pPr>
        <w:spacing w:after="0" w:line="82" w:lineRule="exact"/>
        <w:rPr>
          <w:rFonts w:ascii="Arial" w:cs="Arial" w:eastAsia="Arial" w:hAnsi="Arial"/>
          <w:sz w:val="15"/>
          <w:szCs w:val="15"/>
          <w:color w:val="auto"/>
        </w:rPr>
      </w:pPr>
    </w:p>
    <w:p>
      <w:pPr>
        <w:ind w:left="1780" w:right="100" w:hanging="597"/>
        <w:spacing w:after="0" w:line="236" w:lineRule="auto"/>
        <w:tabs>
          <w:tab w:leader="none" w:pos="17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The Company’s Consolidated Financial Statements at December 31, 2020 and December 31, 2019 and for each of the three years in the period ended December 31, 2020, and the notes thereto, together with the report of the independent auditors on those Consolidated Financial Statements, are hereby filed as part of this report, beginning on page F-1.</w:t>
      </w:r>
    </w:p>
    <w:p>
      <w:pPr>
        <w:spacing w:after="0" w:line="78" w:lineRule="exact"/>
        <w:rPr>
          <w:rFonts w:ascii="Arial" w:cs="Arial" w:eastAsia="Arial" w:hAnsi="Arial"/>
          <w:sz w:val="15"/>
          <w:szCs w:val="15"/>
          <w:color w:val="auto"/>
        </w:rPr>
      </w:pPr>
    </w:p>
    <w:p>
      <w:pPr>
        <w:ind w:left="1780" w:hanging="597"/>
        <w:spacing w:after="0" w:line="239" w:lineRule="auto"/>
        <w:tabs>
          <w:tab w:leader="none" w:pos="17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Valuation &amp; Qualifying Accounts for each of the three years in the period ended December 31, 2020 are hereby filed as part of this report on page F-55.</w:t>
      </w:r>
    </w:p>
    <w:p>
      <w:pPr>
        <w:spacing w:after="0" w:line="77" w:lineRule="exact"/>
        <w:rPr>
          <w:rFonts w:ascii="Arial" w:cs="Arial" w:eastAsia="Arial" w:hAnsi="Arial"/>
          <w:sz w:val="15"/>
          <w:szCs w:val="15"/>
          <w:color w:val="auto"/>
        </w:rPr>
      </w:pPr>
    </w:p>
    <w:p>
      <w:pPr>
        <w:ind w:left="1780" w:hanging="597"/>
        <w:spacing w:after="0"/>
        <w:tabs>
          <w:tab w:leader="none" w:pos="1780" w:val="left"/>
        </w:tabs>
        <w:numPr>
          <w:ilvl w:val="1"/>
          <w:numId w:val="44"/>
        </w:numPr>
        <w:rPr>
          <w:rFonts w:ascii="Arial" w:cs="Arial" w:eastAsia="Arial" w:hAnsi="Arial"/>
          <w:sz w:val="15"/>
          <w:szCs w:val="15"/>
          <w:color w:val="auto"/>
        </w:rPr>
      </w:pPr>
      <w:r>
        <w:rPr>
          <w:rFonts w:ascii="Arial" w:cs="Arial" w:eastAsia="Arial" w:hAnsi="Arial"/>
          <w:sz w:val="15"/>
          <w:szCs w:val="15"/>
          <w:color w:val="auto"/>
        </w:rPr>
        <w:t>See Exhibit Index below.</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None.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298" w:right="3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6"/>
        </w:trPr>
        <w:tc>
          <w:tcPr>
            <w:tcW w:w="118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Exhibit</w:t>
            </w:r>
          </w:p>
        </w:tc>
        <w:tc>
          <w:tcPr>
            <w:tcW w:w="1420" w:type="dxa"/>
            <w:vAlign w:val="bottom"/>
          </w:tcPr>
          <w:p>
            <w:pPr>
              <w:spacing w:after="0"/>
              <w:rPr>
                <w:sz w:val="17"/>
                <w:szCs w:val="17"/>
                <w:color w:val="auto"/>
              </w:rPr>
            </w:pPr>
          </w:p>
        </w:tc>
        <w:tc>
          <w:tcPr>
            <w:tcW w:w="8680" w:type="dxa"/>
            <w:vAlign w:val="bottom"/>
            <w:gridSpan w:val="2"/>
          </w:tcPr>
          <w:p>
            <w:pPr>
              <w:ind w:left="2580"/>
              <w:spacing w:after="0"/>
              <w:rPr>
                <w:sz w:val="20"/>
                <w:szCs w:val="20"/>
                <w:color w:val="auto"/>
              </w:rPr>
            </w:pPr>
            <w:r>
              <w:rPr>
                <w:rFonts w:ascii="Arial" w:cs="Arial" w:eastAsia="Arial" w:hAnsi="Arial"/>
                <w:sz w:val="15"/>
                <w:szCs w:val="15"/>
                <w:b w:val="1"/>
                <w:bCs w:val="1"/>
                <w:color w:val="auto"/>
              </w:rPr>
              <w:t>Exhibit Index</w:t>
            </w:r>
          </w:p>
        </w:tc>
        <w:tc>
          <w:tcPr>
            <w:tcW w:w="0" w:type="dxa"/>
            <w:vAlign w:val="bottom"/>
          </w:tcPr>
          <w:p>
            <w:pPr>
              <w:spacing w:after="0"/>
              <w:rPr>
                <w:sz w:val="1"/>
                <w:szCs w:val="1"/>
                <w:color w:val="auto"/>
              </w:rPr>
            </w:pPr>
          </w:p>
        </w:tc>
      </w:tr>
      <w:tr>
        <w:trPr>
          <w:trHeight w:val="112"/>
        </w:trPr>
        <w:tc>
          <w:tcPr>
            <w:tcW w:w="1180" w:type="dxa"/>
            <w:vAlign w:val="bottom"/>
            <w:gridSpan w:val="2"/>
            <w:vMerge w:val="continue"/>
          </w:tcPr>
          <w:p>
            <w:pPr>
              <w:spacing w:after="0"/>
              <w:rPr>
                <w:sz w:val="9"/>
                <w:szCs w:val="9"/>
                <w:color w:val="auto"/>
              </w:rPr>
            </w:pPr>
          </w:p>
        </w:tc>
        <w:tc>
          <w:tcPr>
            <w:tcW w:w="1420" w:type="dxa"/>
            <w:vAlign w:val="bottom"/>
          </w:tcPr>
          <w:p>
            <w:pPr>
              <w:spacing w:after="0"/>
              <w:rPr>
                <w:sz w:val="9"/>
                <w:szCs w:val="9"/>
                <w:color w:val="auto"/>
              </w:rPr>
            </w:pPr>
          </w:p>
        </w:tc>
        <w:tc>
          <w:tcPr>
            <w:tcW w:w="800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Number</w:t>
            </w:r>
          </w:p>
        </w:tc>
        <w:tc>
          <w:tcPr>
            <w:tcW w:w="10100" w:type="dxa"/>
            <w:vAlign w:val="bottom"/>
            <w:gridSpan w:val="3"/>
          </w:tcPr>
          <w:p>
            <w:pPr>
              <w:ind w:left="8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368"/>
        </w:trPr>
        <w:tc>
          <w:tcPr>
            <w:tcW w:w="1060" w:type="dxa"/>
            <w:vAlign w:val="bottom"/>
            <w:tcBorders>
              <w:top w:val="single" w:sz="8" w:color="auto"/>
            </w:tcBorders>
          </w:tcPr>
          <w:p>
            <w:pPr>
              <w:ind w:left="180"/>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10100" w:type="dxa"/>
            <w:vAlign w:val="bottom"/>
            <w:tcBorders>
              <w:top w:val="single" w:sz="8" w:color="auto"/>
            </w:tcBorders>
            <w:gridSpan w:val="3"/>
          </w:tcPr>
          <w:p>
            <w:pPr>
              <w:spacing w:after="0"/>
              <w:rPr>
                <w:rFonts w:ascii="Arial" w:cs="Arial" w:eastAsia="Arial" w:hAnsi="Arial"/>
                <w:sz w:val="15"/>
                <w:szCs w:val="15"/>
                <w:color w:val="0000EE"/>
              </w:rPr>
            </w:pPr>
            <w:hyperlink r:id="rId109">
              <w:r>
                <w:rPr>
                  <w:rFonts w:ascii="Arial" w:cs="Arial" w:eastAsia="Arial" w:hAnsi="Arial"/>
                  <w:sz w:val="15"/>
                  <w:szCs w:val="15"/>
                  <w:u w:val="single" w:color="auto"/>
                  <w:color w:val="0000EE"/>
                </w:rPr>
                <w:t>Amended and Restated Certificate of Incorporation of Parsons Corporation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80"/>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10">
              <w:r>
                <w:rPr>
                  <w:rFonts w:ascii="Arial" w:cs="Arial" w:eastAsia="Arial" w:hAnsi="Arial"/>
                  <w:sz w:val="15"/>
                  <w:szCs w:val="15"/>
                  <w:u w:val="single" w:color="auto"/>
                  <w:color w:val="0000EE"/>
                </w:rPr>
                <w:t>Amended and Restated Bylaws of Parsons Corporation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80"/>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r:id="rId111">
              <w:r>
                <w:rPr>
                  <w:rFonts w:ascii="Arial" w:cs="Arial" w:eastAsia="Arial" w:hAnsi="Arial"/>
                  <w:sz w:val="15"/>
                  <w:szCs w:val="15"/>
                  <w:u w:val="single" w:color="auto"/>
                  <w:color w:val="0000EE"/>
                </w:rPr>
                <w:t>Description of Capital Stock of Parsons Corporation.</w:t>
              </w:r>
            </w:hyperlink>
          </w:p>
        </w:tc>
        <w:tc>
          <w:tcPr>
            <w:tcW w:w="0" w:type="dxa"/>
            <w:vAlign w:val="bottom"/>
          </w:tcPr>
          <w:p>
            <w:pPr>
              <w:spacing w:after="0"/>
              <w:rPr>
                <w:sz w:val="1"/>
                <w:szCs w:val="1"/>
                <w:color w:val="auto"/>
              </w:rPr>
            </w:pPr>
          </w:p>
        </w:tc>
      </w:tr>
      <w:tr>
        <w:trPr>
          <w:trHeight w:val="288"/>
        </w:trPr>
        <w:tc>
          <w:tcPr>
            <w:tcW w:w="1060" w:type="dxa"/>
            <w:vAlign w:val="bottom"/>
          </w:tcPr>
          <w:p>
            <w:pPr>
              <w:ind w:left="180"/>
              <w:spacing w:after="0"/>
              <w:rPr>
                <w:sz w:val="20"/>
                <w:szCs w:val="20"/>
                <w:color w:val="auto"/>
              </w:rPr>
            </w:pPr>
            <w:r>
              <w:rPr>
                <w:rFonts w:ascii="Arial" w:cs="Arial" w:eastAsia="Arial" w:hAnsi="Arial"/>
                <w:sz w:val="15"/>
                <w:szCs w:val="15"/>
                <w:color w:val="auto"/>
              </w:rPr>
              <w:t>4.2#</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r:id="rId112">
              <w:r>
                <w:rPr>
                  <w:rFonts w:ascii="Arial" w:cs="Arial" w:eastAsia="Arial" w:hAnsi="Arial"/>
                  <w:sz w:val="15"/>
                  <w:szCs w:val="15"/>
                  <w:u w:val="single" w:color="auto"/>
                  <w:color w:val="0000EE"/>
                </w:rPr>
                <w:t>Indenture, dated as of August 20, 2020, between Parsons Corporation and U.S. Bank National Association.</w:t>
              </w:r>
            </w:hyperlink>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13">
              <w:r>
                <w:rPr>
                  <w:rFonts w:ascii="Arial" w:cs="Arial" w:eastAsia="Arial" w:hAnsi="Arial"/>
                  <w:sz w:val="15"/>
                  <w:szCs w:val="15"/>
                  <w:u w:val="single" w:color="auto"/>
                  <w:color w:val="0000EE"/>
                </w:rPr>
                <w:t>2012 Amendment and Restatement of Parsons Employee Stock Ownership Plan (including all amendments to date), currently in effect</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10.2#</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14">
              <w:r>
                <w:rPr>
                  <w:rFonts w:ascii="Arial" w:cs="Arial" w:eastAsia="Arial" w:hAnsi="Arial"/>
                  <w:sz w:val="15"/>
                  <w:szCs w:val="15"/>
                  <w:u w:val="single" w:color="auto"/>
                  <w:color w:val="0000EE"/>
                </w:rPr>
                <w:t>2019 Amendment and Restatement of Parsons Employee Stock Ownership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99"/>
        </w:trPr>
        <w:tc>
          <w:tcPr>
            <w:tcW w:w="1060" w:type="dxa"/>
            <w:vAlign w:val="bottom"/>
          </w:tcPr>
          <w:p>
            <w:pPr>
              <w:ind w:left="100"/>
              <w:spacing w:after="0"/>
              <w:rPr>
                <w:sz w:val="20"/>
                <w:szCs w:val="20"/>
                <w:color w:val="auto"/>
              </w:rPr>
            </w:pPr>
            <w:r>
              <w:rPr>
                <w:rFonts w:ascii="Arial" w:cs="Arial" w:eastAsia="Arial" w:hAnsi="Arial"/>
                <w:sz w:val="15"/>
                <w:szCs w:val="15"/>
                <w:color w:val="auto"/>
              </w:rPr>
              <w:t>10.3*</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w:anchor="page152">
              <w:r>
                <w:rPr>
                  <w:rFonts w:ascii="Arial" w:cs="Arial" w:eastAsia="Arial" w:hAnsi="Arial"/>
                  <w:sz w:val="15"/>
                  <w:szCs w:val="15"/>
                  <w:u w:val="single" w:color="auto"/>
                  <w:color w:val="0000EE"/>
                </w:rPr>
                <w:t>First Amendment to the 2019 Amendment and Restatement of Parsons Employee Stock Ownership Plan, effective January 1, 2020</w:t>
              </w:r>
            </w:hyperlink>
          </w:p>
        </w:tc>
        <w:tc>
          <w:tcPr>
            <w:tcW w:w="0" w:type="dxa"/>
            <w:vAlign w:val="bottom"/>
          </w:tcPr>
          <w:p>
            <w:pPr>
              <w:spacing w:after="0"/>
              <w:rPr>
                <w:sz w:val="1"/>
                <w:szCs w:val="1"/>
                <w:color w:val="auto"/>
              </w:rPr>
            </w:pPr>
          </w:p>
        </w:tc>
      </w:tr>
      <w:tr>
        <w:trPr>
          <w:trHeight w:val="277"/>
        </w:trPr>
        <w:tc>
          <w:tcPr>
            <w:tcW w:w="1060" w:type="dxa"/>
            <w:vAlign w:val="bottom"/>
          </w:tcPr>
          <w:p>
            <w:pPr>
              <w:ind w:left="100"/>
              <w:spacing w:after="0"/>
              <w:rPr>
                <w:sz w:val="20"/>
                <w:szCs w:val="20"/>
                <w:color w:val="auto"/>
              </w:rPr>
            </w:pPr>
            <w:r>
              <w:rPr>
                <w:rFonts w:ascii="Arial" w:cs="Arial" w:eastAsia="Arial" w:hAnsi="Arial"/>
                <w:sz w:val="15"/>
                <w:szCs w:val="15"/>
                <w:color w:val="auto"/>
              </w:rPr>
              <w:t>10.4#</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r:id="rId115">
              <w:r>
                <w:rPr>
                  <w:rFonts w:ascii="Arial" w:cs="Arial" w:eastAsia="Arial" w:hAnsi="Arial"/>
                  <w:sz w:val="15"/>
                  <w:szCs w:val="15"/>
                  <w:u w:val="single" w:color="auto"/>
                  <w:color w:val="0000EE"/>
                </w:rPr>
                <w:t>Second Amendment to the 2019 Amendment and Restatement of Parsons Employee Stock Ownership Plan, effective May 8, 2019.</w:t>
              </w:r>
            </w:hyperlink>
          </w:p>
        </w:tc>
        <w:tc>
          <w:tcPr>
            <w:tcW w:w="0" w:type="dxa"/>
            <w:vAlign w:val="bottom"/>
          </w:tcPr>
          <w:p>
            <w:pPr>
              <w:spacing w:after="0"/>
              <w:rPr>
                <w:sz w:val="1"/>
                <w:szCs w:val="1"/>
                <w:color w:val="auto"/>
              </w:rPr>
            </w:pPr>
          </w:p>
        </w:tc>
      </w:tr>
      <w:tr>
        <w:trPr>
          <w:trHeight w:val="255"/>
        </w:trPr>
        <w:tc>
          <w:tcPr>
            <w:tcW w:w="1060" w:type="dxa"/>
            <w:vAlign w:val="bottom"/>
          </w:tcPr>
          <w:p>
            <w:pPr>
              <w:ind w:left="100"/>
              <w:spacing w:after="0"/>
              <w:rPr>
                <w:sz w:val="20"/>
                <w:szCs w:val="20"/>
                <w:color w:val="auto"/>
              </w:rPr>
            </w:pPr>
            <w:r>
              <w:rPr>
                <w:rFonts w:ascii="Arial" w:cs="Arial" w:eastAsia="Arial" w:hAnsi="Arial"/>
                <w:sz w:val="15"/>
                <w:szCs w:val="15"/>
                <w:color w:val="auto"/>
              </w:rPr>
              <w:t>10.5#</w:t>
            </w:r>
          </w:p>
        </w:tc>
        <w:tc>
          <w:tcPr>
            <w:tcW w:w="120" w:type="dxa"/>
            <w:vAlign w:val="bottom"/>
          </w:tcPr>
          <w:p>
            <w:pPr>
              <w:spacing w:after="0"/>
              <w:rPr>
                <w:sz w:val="22"/>
                <w:szCs w:val="22"/>
                <w:color w:val="auto"/>
              </w:rPr>
            </w:pPr>
          </w:p>
        </w:tc>
        <w:tc>
          <w:tcPr>
            <w:tcW w:w="10100" w:type="dxa"/>
            <w:vAlign w:val="bottom"/>
            <w:gridSpan w:val="3"/>
          </w:tcPr>
          <w:p>
            <w:pPr>
              <w:spacing w:after="0"/>
              <w:rPr>
                <w:rFonts w:ascii="Arial" w:cs="Arial" w:eastAsia="Arial" w:hAnsi="Arial"/>
                <w:sz w:val="15"/>
                <w:szCs w:val="15"/>
                <w:color w:val="0000EE"/>
              </w:rPr>
            </w:pPr>
            <w:hyperlink r:id="rId116">
              <w:r>
                <w:rPr>
                  <w:rFonts w:ascii="Arial" w:cs="Arial" w:eastAsia="Arial" w:hAnsi="Arial"/>
                  <w:sz w:val="15"/>
                  <w:szCs w:val="15"/>
                  <w:u w:val="single" w:color="auto"/>
                  <w:color w:val="0000EE"/>
                </w:rPr>
                <w:t>Parsons Corporation Employee Stock Ownership Trust Agreement, effective as of December 31, 2005</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10.6#+</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17">
              <w:r>
                <w:rPr>
                  <w:rFonts w:ascii="Arial" w:cs="Arial" w:eastAsia="Arial" w:hAnsi="Arial"/>
                  <w:sz w:val="15"/>
                  <w:szCs w:val="15"/>
                  <w:u w:val="single" w:color="auto"/>
                  <w:color w:val="0000EE"/>
                </w:rPr>
                <w:t>Parsons Corporation Restricted Award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10.7#+</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18">
              <w:r>
                <w:rPr>
                  <w:rFonts w:ascii="Arial" w:cs="Arial" w:eastAsia="Arial" w:hAnsi="Arial"/>
                  <w:sz w:val="15"/>
                  <w:szCs w:val="15"/>
                  <w:u w:val="single" w:color="auto"/>
                  <w:color w:val="0000EE"/>
                </w:rPr>
                <w:t>Form of Restricted Award Units agreement under the Parsons Corporation Restricted Award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w:anchor="page154">
              <w:r>
                <w:rPr>
                  <w:rFonts w:ascii="Arial" w:cs="Arial" w:eastAsia="Arial" w:hAnsi="Arial"/>
                  <w:sz w:val="15"/>
                  <w:szCs w:val="15"/>
                  <w:u w:val="single" w:color="auto"/>
                  <w:color w:val="0000EE"/>
                </w:rPr>
                <w:t>Parsons Corporation Annual Incentive Plan dated January 1, 2020</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99"/>
        </w:trPr>
        <w:tc>
          <w:tcPr>
            <w:tcW w:w="1060" w:type="dxa"/>
            <w:vAlign w:val="bottom"/>
          </w:tcPr>
          <w:p>
            <w:pPr>
              <w:ind w:left="100"/>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w:anchor="page163">
              <w:r>
                <w:rPr>
                  <w:rFonts w:ascii="Arial" w:cs="Arial" w:eastAsia="Arial" w:hAnsi="Arial"/>
                  <w:sz w:val="15"/>
                  <w:szCs w:val="15"/>
                  <w:u w:val="single" w:color="auto"/>
                  <w:color w:val="0000EE"/>
                </w:rPr>
                <w:t>Parsons Corporation Annual Incentive Plan Amended as of October 19, 2020.</w:t>
              </w:r>
            </w:hyperlink>
          </w:p>
        </w:tc>
        <w:tc>
          <w:tcPr>
            <w:tcW w:w="0" w:type="dxa"/>
            <w:vAlign w:val="bottom"/>
          </w:tcPr>
          <w:p>
            <w:pPr>
              <w:spacing w:after="0"/>
              <w:rPr>
                <w:sz w:val="1"/>
                <w:szCs w:val="1"/>
                <w:color w:val="auto"/>
              </w:rPr>
            </w:pPr>
          </w:p>
        </w:tc>
      </w:tr>
      <w:tr>
        <w:trPr>
          <w:trHeight w:val="277"/>
        </w:trPr>
        <w:tc>
          <w:tcPr>
            <w:tcW w:w="1060" w:type="dxa"/>
            <w:vAlign w:val="bottom"/>
          </w:tcPr>
          <w:p>
            <w:pPr>
              <w:ind w:left="100"/>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19">
              <w:r>
                <w:rPr>
                  <w:rFonts w:ascii="Arial" w:cs="Arial" w:eastAsia="Arial" w:hAnsi="Arial"/>
                  <w:sz w:val="15"/>
                  <w:szCs w:val="15"/>
                  <w:u w:val="single" w:color="auto"/>
                  <w:color w:val="0000EE"/>
                </w:rPr>
                <w:t>Parsons Corporation Shareholder Value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10.11#+</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20">
              <w:r>
                <w:rPr>
                  <w:rFonts w:ascii="Arial" w:cs="Arial" w:eastAsia="Arial" w:hAnsi="Arial"/>
                  <w:sz w:val="15"/>
                  <w:szCs w:val="15"/>
                  <w:u w:val="single" w:color="auto"/>
                  <w:color w:val="0000EE"/>
                </w:rPr>
                <w:t>Parsons Corporation Long Term Growth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10.12#+</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21">
              <w:r>
                <w:rPr>
                  <w:rFonts w:ascii="Arial" w:cs="Arial" w:eastAsia="Arial" w:hAnsi="Arial"/>
                  <w:sz w:val="15"/>
                  <w:szCs w:val="15"/>
                  <w:u w:val="single" w:color="auto"/>
                  <w:color w:val="0000EE"/>
                </w:rPr>
                <w:t>Parsons Corporation Share Value Retirement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10.13#+</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22">
              <w:r>
                <w:rPr>
                  <w:rFonts w:ascii="Arial" w:cs="Arial" w:eastAsia="Arial" w:hAnsi="Arial"/>
                  <w:sz w:val="15"/>
                  <w:szCs w:val="15"/>
                  <w:u w:val="single" w:color="auto"/>
                  <w:color w:val="0000EE"/>
                </w:rPr>
                <w:t>Parsons Corporation Incentive Award Plan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10.14#+</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r:id="rId123">
              <w:r>
                <w:rPr>
                  <w:rFonts w:ascii="Arial" w:cs="Arial" w:eastAsia="Arial" w:hAnsi="Arial"/>
                  <w:sz w:val="15"/>
                  <w:szCs w:val="15"/>
                  <w:u w:val="single" w:color="auto"/>
                  <w:color w:val="0000EE"/>
                </w:rPr>
                <w:t>Form of Restricted Stock Unit Agreement under the Parsons Corporation Incentive Award Plan.</w:t>
              </w:r>
            </w:hyperlink>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10.15*+</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w:anchor="page172">
              <w:r>
                <w:rPr>
                  <w:rFonts w:ascii="Arial" w:cs="Arial" w:eastAsia="Arial" w:hAnsi="Arial"/>
                  <w:sz w:val="15"/>
                  <w:szCs w:val="15"/>
                  <w:u w:val="single" w:color="auto"/>
                  <w:color w:val="0000EE"/>
                </w:rPr>
                <w:t>Third Amendment to the 2019 Amendment and Restatement of Parsons Employee Stock Ownership Plan, effective January 1, 2021.</w:t>
              </w:r>
            </w:hyperlink>
          </w:p>
        </w:tc>
        <w:tc>
          <w:tcPr>
            <w:tcW w:w="0" w:type="dxa"/>
            <w:vAlign w:val="bottom"/>
          </w:tcPr>
          <w:p>
            <w:pPr>
              <w:spacing w:after="0"/>
              <w:rPr>
                <w:sz w:val="1"/>
                <w:szCs w:val="1"/>
                <w:color w:val="auto"/>
              </w:rPr>
            </w:pPr>
          </w:p>
        </w:tc>
      </w:tr>
      <w:tr>
        <w:trPr>
          <w:trHeight w:val="399"/>
        </w:trPr>
        <w:tc>
          <w:tcPr>
            <w:tcW w:w="1060" w:type="dxa"/>
            <w:vAlign w:val="bottom"/>
          </w:tcPr>
          <w:p>
            <w:pPr>
              <w:ind w:left="100"/>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w w:val="98"/>
              </w:rPr>
            </w:pPr>
            <w:hyperlink r:id="rId124">
              <w:r>
                <w:rPr>
                  <w:rFonts w:ascii="Arial" w:cs="Arial" w:eastAsia="Arial" w:hAnsi="Arial"/>
                  <w:sz w:val="15"/>
                  <w:szCs w:val="15"/>
                  <w:u w:val="single" w:color="auto"/>
                  <w:color w:val="0000EE"/>
                  <w:w w:val="98"/>
                </w:rPr>
                <w:t>Form of Restricted Stock Unit Agreement under the Parsons Corporation Incentive Award Plan (for Non-Employee Director Awards commencing in 2020).</w:t>
              </w:r>
            </w:hyperlink>
          </w:p>
        </w:tc>
        <w:tc>
          <w:tcPr>
            <w:tcW w:w="0" w:type="dxa"/>
            <w:vAlign w:val="bottom"/>
          </w:tcPr>
          <w:p>
            <w:pPr>
              <w:spacing w:after="0"/>
              <w:rPr>
                <w:sz w:val="1"/>
                <w:szCs w:val="1"/>
                <w:color w:val="auto"/>
              </w:rPr>
            </w:pPr>
          </w:p>
        </w:tc>
      </w:tr>
      <w:tr>
        <w:trPr>
          <w:trHeight w:val="255"/>
        </w:trPr>
        <w:tc>
          <w:tcPr>
            <w:tcW w:w="1060" w:type="dxa"/>
            <w:vAlign w:val="bottom"/>
          </w:tcPr>
          <w:p>
            <w:pPr>
              <w:ind w:left="100"/>
              <w:spacing w:after="0"/>
              <w:rPr>
                <w:sz w:val="20"/>
                <w:szCs w:val="20"/>
                <w:color w:val="auto"/>
              </w:rPr>
            </w:pPr>
            <w:r>
              <w:rPr>
                <w:rFonts w:ascii="Arial" w:cs="Arial" w:eastAsia="Arial" w:hAnsi="Arial"/>
                <w:sz w:val="15"/>
                <w:szCs w:val="15"/>
                <w:color w:val="auto"/>
              </w:rPr>
              <w:t>10.17#+</w:t>
            </w:r>
          </w:p>
        </w:tc>
        <w:tc>
          <w:tcPr>
            <w:tcW w:w="120" w:type="dxa"/>
            <w:vAlign w:val="bottom"/>
          </w:tcPr>
          <w:p>
            <w:pPr>
              <w:spacing w:after="0"/>
              <w:rPr>
                <w:sz w:val="22"/>
                <w:szCs w:val="22"/>
                <w:color w:val="auto"/>
              </w:rPr>
            </w:pPr>
          </w:p>
        </w:tc>
        <w:tc>
          <w:tcPr>
            <w:tcW w:w="9420" w:type="dxa"/>
            <w:vAlign w:val="bottom"/>
            <w:tcBorders>
              <w:bottom w:val="single" w:sz="8" w:color="0000EE"/>
            </w:tcBorders>
            <w:gridSpan w:val="2"/>
          </w:tcPr>
          <w:p>
            <w:pPr>
              <w:spacing w:after="0"/>
              <w:rPr>
                <w:rFonts w:ascii="Arial" w:cs="Arial" w:eastAsia="Arial" w:hAnsi="Arial"/>
                <w:sz w:val="15"/>
                <w:szCs w:val="15"/>
                <w:color w:val="0000EE"/>
                <w:w w:val="98"/>
              </w:rPr>
            </w:pPr>
            <w:hyperlink r:id="rId125">
              <w:r>
                <w:rPr>
                  <w:rFonts w:ascii="Arial" w:cs="Arial" w:eastAsia="Arial" w:hAnsi="Arial"/>
                  <w:sz w:val="15"/>
                  <w:szCs w:val="15"/>
                  <w:color w:val="0000EE"/>
                  <w:w w:val="98"/>
                </w:rPr>
                <w:t>Form of Restricted Stock Unit Agreement under the Parsons Corporation Incentive Award Plan (for Non-Employee Director Fee Deferral Awards</w:t>
              </w:r>
            </w:hyperlink>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100" w:type="dxa"/>
            <w:vAlign w:val="bottom"/>
            <w:gridSpan w:val="3"/>
          </w:tcPr>
          <w:p>
            <w:pPr>
              <w:spacing w:after="0" w:line="146" w:lineRule="exact"/>
              <w:rPr>
                <w:rFonts w:ascii="Arial" w:cs="Arial" w:eastAsia="Arial" w:hAnsi="Arial"/>
                <w:sz w:val="15"/>
                <w:szCs w:val="15"/>
                <w:color w:val="0000EE"/>
              </w:rPr>
            </w:pPr>
            <w:hyperlink r:id="rId125">
              <w:r>
                <w:rPr>
                  <w:rFonts w:ascii="Arial" w:cs="Arial" w:eastAsia="Arial" w:hAnsi="Arial"/>
                  <w:sz w:val="15"/>
                  <w:szCs w:val="15"/>
                  <w:color w:val="0000EE"/>
                </w:rPr>
                <w:t>commencing in 2020)</w:t>
              </w:r>
              <w:r>
                <w:rPr>
                  <w:rFonts w:ascii="Arial" w:cs="Arial" w:eastAsia="Arial" w:hAnsi="Arial"/>
                  <w:sz w:val="15"/>
                  <w:szCs w:val="15"/>
                  <w:color w:val="000000"/>
                </w:rPr>
                <w:t>.</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1060" w:type="dxa"/>
            <w:vAlign w:val="bottom"/>
          </w:tcPr>
          <w:p>
            <w:pPr>
              <w:ind w:left="100"/>
              <w:spacing w:after="0"/>
              <w:rPr>
                <w:sz w:val="20"/>
                <w:szCs w:val="20"/>
                <w:color w:val="auto"/>
              </w:rPr>
            </w:pPr>
            <w:r>
              <w:rPr>
                <w:rFonts w:ascii="Arial" w:cs="Arial" w:eastAsia="Arial" w:hAnsi="Arial"/>
                <w:sz w:val="15"/>
                <w:szCs w:val="15"/>
                <w:color w:val="auto"/>
              </w:rPr>
              <w:t>10.18#+</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r:id="rId126">
              <w:r>
                <w:rPr>
                  <w:rFonts w:ascii="Arial" w:cs="Arial" w:eastAsia="Arial" w:hAnsi="Arial"/>
                  <w:sz w:val="15"/>
                  <w:szCs w:val="15"/>
                  <w:u w:val="single" w:color="auto"/>
                  <w:color w:val="0000EE"/>
                </w:rPr>
                <w:t>Form of Restricted Stock Unit Agreement under the Parsons Corporation Incentive Award Plan (for Non-Employee Director Awards in 2019).</w:t>
              </w:r>
            </w:hyperlink>
          </w:p>
        </w:tc>
        <w:tc>
          <w:tcPr>
            <w:tcW w:w="0" w:type="dxa"/>
            <w:vAlign w:val="bottom"/>
          </w:tcPr>
          <w:p>
            <w:pPr>
              <w:spacing w:after="0"/>
              <w:rPr>
                <w:sz w:val="1"/>
                <w:szCs w:val="1"/>
                <w:color w:val="auto"/>
              </w:rPr>
            </w:pPr>
          </w:p>
        </w:tc>
      </w:tr>
      <w:tr>
        <w:trPr>
          <w:trHeight w:val="255"/>
        </w:trPr>
        <w:tc>
          <w:tcPr>
            <w:tcW w:w="1060" w:type="dxa"/>
            <w:vAlign w:val="bottom"/>
          </w:tcPr>
          <w:p>
            <w:pPr>
              <w:ind w:left="100"/>
              <w:spacing w:after="0"/>
              <w:rPr>
                <w:sz w:val="20"/>
                <w:szCs w:val="20"/>
                <w:color w:val="auto"/>
              </w:rPr>
            </w:pPr>
            <w:r>
              <w:rPr>
                <w:rFonts w:ascii="Arial" w:cs="Arial" w:eastAsia="Arial" w:hAnsi="Arial"/>
                <w:sz w:val="15"/>
                <w:szCs w:val="15"/>
                <w:color w:val="auto"/>
              </w:rPr>
              <w:t>10.19*+</w:t>
            </w:r>
          </w:p>
        </w:tc>
        <w:tc>
          <w:tcPr>
            <w:tcW w:w="120" w:type="dxa"/>
            <w:vAlign w:val="bottom"/>
          </w:tcPr>
          <w:p>
            <w:pPr>
              <w:spacing w:after="0"/>
              <w:rPr>
                <w:sz w:val="22"/>
                <w:szCs w:val="22"/>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w:anchor="page174">
              <w:r>
                <w:rPr>
                  <w:rFonts w:ascii="Arial" w:cs="Arial" w:eastAsia="Arial" w:hAnsi="Arial"/>
                  <w:sz w:val="15"/>
                  <w:szCs w:val="15"/>
                  <w:u w:val="single" w:color="auto"/>
                  <w:color w:val="0000EE"/>
                </w:rPr>
                <w:t>Parsons Corporation Non-Employee Director Compensation Policy (as amended effective April 21, 2020).</w:t>
              </w:r>
            </w:hyperlink>
          </w:p>
        </w:tc>
        <w:tc>
          <w:tcPr>
            <w:tcW w:w="0" w:type="dxa"/>
            <w:vAlign w:val="bottom"/>
          </w:tcPr>
          <w:p>
            <w:pPr>
              <w:spacing w:after="0"/>
              <w:rPr>
                <w:sz w:val="1"/>
                <w:szCs w:val="1"/>
                <w:color w:val="auto"/>
              </w:rPr>
            </w:pPr>
          </w:p>
        </w:tc>
      </w:tr>
      <w:tr>
        <w:trPr>
          <w:trHeight w:val="299"/>
        </w:trPr>
        <w:tc>
          <w:tcPr>
            <w:tcW w:w="1060" w:type="dxa"/>
            <w:vAlign w:val="bottom"/>
          </w:tcPr>
          <w:p>
            <w:pPr>
              <w:ind w:left="100"/>
              <w:spacing w:after="0"/>
              <w:rPr>
                <w:sz w:val="20"/>
                <w:szCs w:val="20"/>
                <w:color w:val="auto"/>
              </w:rPr>
            </w:pPr>
            <w:r>
              <w:rPr>
                <w:rFonts w:ascii="Arial" w:cs="Arial" w:eastAsia="Arial" w:hAnsi="Arial"/>
                <w:sz w:val="15"/>
                <w:szCs w:val="15"/>
                <w:color w:val="auto"/>
              </w:rPr>
              <w:t>10.20#+</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27">
              <w:r>
                <w:rPr>
                  <w:rFonts w:ascii="Arial" w:cs="Arial" w:eastAsia="Arial" w:hAnsi="Arial"/>
                  <w:sz w:val="15"/>
                  <w:szCs w:val="15"/>
                  <w:u w:val="single" w:color="auto"/>
                  <w:color w:val="0000EE"/>
                </w:rPr>
                <w:t>Fee Deferral Plan for Outside Directors of the Parsons Corporation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u w:val="single" w:color="auto"/>
                <w:color w:val="0000EE"/>
              </w:rPr>
            </w:pPr>
            <w:hyperlink r:id="rId128">
              <w:r>
                <w:rPr>
                  <w:rFonts w:ascii="Arial" w:cs="Arial" w:eastAsia="Arial" w:hAnsi="Arial"/>
                  <w:sz w:val="15"/>
                  <w:szCs w:val="15"/>
                  <w:u w:val="single" w:color="auto"/>
                  <w:color w:val="0000EE"/>
                </w:rPr>
                <w:t>Parsons Corporation Employee Stock Purchase Plan.</w:t>
              </w:r>
            </w:hyperlink>
          </w:p>
        </w:tc>
        <w:tc>
          <w:tcPr>
            <w:tcW w:w="0" w:type="dxa"/>
            <w:vAlign w:val="bottom"/>
          </w:tcPr>
          <w:p>
            <w:pPr>
              <w:spacing w:after="0"/>
              <w:rPr>
                <w:sz w:val="1"/>
                <w:szCs w:val="1"/>
                <w:color w:val="auto"/>
              </w:rPr>
            </w:pPr>
          </w:p>
        </w:tc>
      </w:tr>
      <w:tr>
        <w:trPr>
          <w:trHeight w:val="255"/>
        </w:trPr>
        <w:tc>
          <w:tcPr>
            <w:tcW w:w="1060" w:type="dxa"/>
            <w:vAlign w:val="bottom"/>
          </w:tcPr>
          <w:p>
            <w:pPr>
              <w:ind w:left="100"/>
              <w:spacing w:after="0"/>
              <w:rPr>
                <w:sz w:val="20"/>
                <w:szCs w:val="20"/>
                <w:color w:val="auto"/>
              </w:rPr>
            </w:pPr>
            <w:r>
              <w:rPr>
                <w:rFonts w:ascii="Arial" w:cs="Arial" w:eastAsia="Arial" w:hAnsi="Arial"/>
                <w:sz w:val="15"/>
                <w:szCs w:val="15"/>
                <w:color w:val="auto"/>
              </w:rPr>
              <w:t>10.22*+</w:t>
            </w:r>
          </w:p>
        </w:tc>
        <w:tc>
          <w:tcPr>
            <w:tcW w:w="120" w:type="dxa"/>
            <w:vAlign w:val="bottom"/>
          </w:tcPr>
          <w:p>
            <w:pPr>
              <w:spacing w:after="0"/>
              <w:rPr>
                <w:sz w:val="22"/>
                <w:szCs w:val="22"/>
                <w:color w:val="auto"/>
              </w:rPr>
            </w:pPr>
          </w:p>
        </w:tc>
        <w:tc>
          <w:tcPr>
            <w:tcW w:w="10100" w:type="dxa"/>
            <w:vAlign w:val="bottom"/>
            <w:gridSpan w:val="3"/>
          </w:tcPr>
          <w:p>
            <w:pPr>
              <w:spacing w:after="0"/>
              <w:rPr>
                <w:rFonts w:ascii="Arial" w:cs="Arial" w:eastAsia="Arial" w:hAnsi="Arial"/>
                <w:sz w:val="15"/>
                <w:szCs w:val="15"/>
                <w:color w:val="0000EE"/>
              </w:rPr>
            </w:pPr>
            <w:hyperlink w:anchor="page178">
              <w:r>
                <w:rPr>
                  <w:rFonts w:ascii="Arial" w:cs="Arial" w:eastAsia="Arial" w:hAnsi="Arial"/>
                  <w:sz w:val="15"/>
                  <w:szCs w:val="15"/>
                  <w:u w:val="single" w:color="auto"/>
                  <w:color w:val="0000EE"/>
                </w:rPr>
                <w:t>Supplemental Executive Retirement Plan dated January 1, 1997</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10.23*+</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w:anchor="page189">
              <w:r>
                <w:rPr>
                  <w:rFonts w:ascii="Arial" w:cs="Arial" w:eastAsia="Arial" w:hAnsi="Arial"/>
                  <w:sz w:val="15"/>
                  <w:szCs w:val="15"/>
                  <w:u w:val="single" w:color="auto"/>
                  <w:color w:val="0000EE"/>
                </w:rPr>
                <w:t>First Amendment to the SERP effective January 1, 2020</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10.24#+</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29">
              <w:r>
                <w:rPr>
                  <w:rFonts w:ascii="Arial" w:cs="Arial" w:eastAsia="Arial" w:hAnsi="Arial"/>
                  <w:sz w:val="15"/>
                  <w:szCs w:val="15"/>
                  <w:u w:val="single" w:color="auto"/>
                  <w:color w:val="0000EE"/>
                </w:rPr>
                <w:t>Change in Control Severance Agreement, dated as of February 7, 2019, by and between Parsons Corporation and George L. Ball</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88"/>
        </w:trPr>
        <w:tc>
          <w:tcPr>
            <w:tcW w:w="1060" w:type="dxa"/>
            <w:vAlign w:val="bottom"/>
          </w:tcPr>
          <w:p>
            <w:pPr>
              <w:ind w:left="100"/>
              <w:spacing w:after="0"/>
              <w:rPr>
                <w:sz w:val="20"/>
                <w:szCs w:val="20"/>
                <w:color w:val="auto"/>
              </w:rPr>
            </w:pPr>
            <w:r>
              <w:rPr>
                <w:rFonts w:ascii="Arial" w:cs="Arial" w:eastAsia="Arial" w:hAnsi="Arial"/>
                <w:sz w:val="15"/>
                <w:szCs w:val="15"/>
                <w:color w:val="auto"/>
              </w:rPr>
              <w:t>10.25#+</w:t>
            </w:r>
          </w:p>
        </w:tc>
        <w:tc>
          <w:tcPr>
            <w:tcW w:w="120" w:type="dxa"/>
            <w:vAlign w:val="bottom"/>
          </w:tcPr>
          <w:p>
            <w:pPr>
              <w:spacing w:after="0"/>
              <w:rPr>
                <w:sz w:val="24"/>
                <w:szCs w:val="24"/>
                <w:color w:val="auto"/>
              </w:rPr>
            </w:pPr>
          </w:p>
        </w:tc>
        <w:tc>
          <w:tcPr>
            <w:tcW w:w="10100" w:type="dxa"/>
            <w:vAlign w:val="bottom"/>
            <w:gridSpan w:val="3"/>
          </w:tcPr>
          <w:p>
            <w:pPr>
              <w:spacing w:after="0"/>
              <w:rPr>
                <w:rFonts w:ascii="Arial" w:cs="Arial" w:eastAsia="Arial" w:hAnsi="Arial"/>
                <w:sz w:val="15"/>
                <w:szCs w:val="15"/>
                <w:color w:val="0000EE"/>
              </w:rPr>
            </w:pPr>
            <w:hyperlink r:id="rId130">
              <w:r>
                <w:rPr>
                  <w:rFonts w:ascii="Arial" w:cs="Arial" w:eastAsia="Arial" w:hAnsi="Arial"/>
                  <w:sz w:val="15"/>
                  <w:szCs w:val="15"/>
                  <w:u w:val="single" w:color="auto"/>
                  <w:color w:val="0000EE"/>
                </w:rPr>
                <w:t>Change in Control Severance Agreement, dated as of April 5, 2019, by and between Parsons Corporation and Charles L. Harrington</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465"/>
        </w:trPr>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2"/>
          </w:tcPr>
          <w:p>
            <w:pPr>
              <w:ind w:left="4380"/>
              <w:spacing w:after="0"/>
              <w:rPr>
                <w:sz w:val="20"/>
                <w:szCs w:val="20"/>
                <w:color w:val="auto"/>
              </w:rPr>
            </w:pPr>
            <w:r>
              <w:rPr>
                <w:rFonts w:ascii="Arial" w:cs="Arial" w:eastAsia="Arial" w:hAnsi="Arial"/>
                <w:sz w:val="15"/>
                <w:szCs w:val="15"/>
                <w:color w:val="auto"/>
              </w:rPr>
              <w:t>85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106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80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2">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178"/>
        </w:trPr>
        <w:tc>
          <w:tcPr>
            <w:tcW w:w="1180" w:type="dxa"/>
            <w:vAlign w:val="bottom"/>
          </w:tcPr>
          <w:p>
            <w:pPr>
              <w:ind w:left="100"/>
              <w:spacing w:after="0"/>
              <w:rPr>
                <w:sz w:val="20"/>
                <w:szCs w:val="20"/>
                <w:color w:val="auto"/>
              </w:rPr>
            </w:pPr>
            <w:r>
              <w:rPr>
                <w:rFonts w:ascii="Arial" w:cs="Arial" w:eastAsia="Arial" w:hAnsi="Arial"/>
                <w:sz w:val="15"/>
                <w:szCs w:val="15"/>
                <w:color w:val="auto"/>
              </w:rPr>
              <w:t>10.26#+</w:t>
            </w:r>
          </w:p>
        </w:tc>
        <w:tc>
          <w:tcPr>
            <w:tcW w:w="10100" w:type="dxa"/>
            <w:vAlign w:val="bottom"/>
            <w:gridSpan w:val="11"/>
          </w:tcPr>
          <w:p>
            <w:pPr>
              <w:spacing w:after="0"/>
              <w:rPr>
                <w:rFonts w:ascii="Arial" w:cs="Arial" w:eastAsia="Arial" w:hAnsi="Arial"/>
                <w:sz w:val="15"/>
                <w:szCs w:val="15"/>
                <w:color w:val="0000EE"/>
              </w:rPr>
            </w:pPr>
            <w:hyperlink r:id="rId133">
              <w:r>
                <w:rPr>
                  <w:rFonts w:ascii="Arial" w:cs="Arial" w:eastAsia="Arial" w:hAnsi="Arial"/>
                  <w:sz w:val="15"/>
                  <w:szCs w:val="15"/>
                  <w:u w:val="single" w:color="auto"/>
                  <w:color w:val="0000EE"/>
                </w:rPr>
                <w:t>Change in Control Severance Agreement, dated as of February 7, 2019, by and between Parsons Corporation and Michael R. Kolloway</w:t>
              </w:r>
            </w:hyperlink>
            <w:r>
              <w:rPr>
                <w:rFonts w:ascii="Arial" w:cs="Arial" w:eastAsia="Arial" w:hAnsi="Arial"/>
                <w:sz w:val="15"/>
                <w:szCs w:val="15"/>
                <w:color w:val="000000"/>
              </w:rPr>
              <w:t>.</w:t>
            </w:r>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10.27#+</w:t>
            </w:r>
          </w:p>
        </w:tc>
        <w:tc>
          <w:tcPr>
            <w:tcW w:w="10100" w:type="dxa"/>
            <w:vAlign w:val="bottom"/>
            <w:gridSpan w:val="11"/>
          </w:tcPr>
          <w:p>
            <w:pPr>
              <w:spacing w:after="0"/>
              <w:rPr>
                <w:rFonts w:ascii="Arial" w:cs="Arial" w:eastAsia="Arial" w:hAnsi="Arial"/>
                <w:sz w:val="15"/>
                <w:szCs w:val="15"/>
                <w:color w:val="0000EE"/>
              </w:rPr>
            </w:pPr>
            <w:hyperlink r:id="rId134">
              <w:r>
                <w:rPr>
                  <w:rFonts w:ascii="Arial" w:cs="Arial" w:eastAsia="Arial" w:hAnsi="Arial"/>
                  <w:sz w:val="15"/>
                  <w:szCs w:val="15"/>
                  <w:u w:val="single" w:color="auto"/>
                  <w:color w:val="0000EE"/>
                </w:rPr>
                <w:t>Change in Control Severance Agreement, dated as of March 9, 2019, by and between Parsons Corporation and Carey A. Smith</w:t>
              </w:r>
            </w:hyperlink>
            <w:r>
              <w:rPr>
                <w:rFonts w:ascii="Arial" w:cs="Arial" w:eastAsia="Arial" w:hAnsi="Arial"/>
                <w:sz w:val="15"/>
                <w:szCs w:val="15"/>
                <w:color w:val="000000"/>
              </w:rPr>
              <w:t>.</w:t>
            </w:r>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10.28*+</w:t>
            </w:r>
          </w:p>
        </w:tc>
        <w:tc>
          <w:tcPr>
            <w:tcW w:w="10100" w:type="dxa"/>
            <w:vAlign w:val="bottom"/>
            <w:gridSpan w:val="11"/>
          </w:tcPr>
          <w:p>
            <w:pPr>
              <w:spacing w:after="0"/>
              <w:rPr>
                <w:rFonts w:ascii="Arial" w:cs="Arial" w:eastAsia="Arial" w:hAnsi="Arial"/>
                <w:sz w:val="15"/>
                <w:szCs w:val="15"/>
                <w:u w:val="single" w:color="auto"/>
                <w:color w:val="0000EE"/>
              </w:rPr>
            </w:pPr>
            <w:hyperlink w:anchor="page190">
              <w:r>
                <w:rPr>
                  <w:rFonts w:ascii="Arial" w:cs="Arial" w:eastAsia="Arial" w:hAnsi="Arial"/>
                  <w:sz w:val="15"/>
                  <w:szCs w:val="15"/>
                  <w:u w:val="single" w:color="auto"/>
                  <w:color w:val="0000EE"/>
                </w:rPr>
                <w:t>Form of Equity Award Amendment Letter Agreement, dated August 10, 2020, by and between Parsons Corporation and George L. Ball</w:t>
              </w:r>
            </w:hyperlink>
            <w:r>
              <w:rPr>
                <w:rFonts w:ascii="Arial" w:cs="Arial" w:eastAsia="Arial" w:hAnsi="Arial"/>
                <w:sz w:val="15"/>
                <w:szCs w:val="15"/>
                <w:u w:val="single" w:color="auto"/>
                <w:color w:val="000000"/>
              </w:rPr>
              <w:t>.</w:t>
            </w:r>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10.29*+</w:t>
            </w:r>
          </w:p>
        </w:tc>
        <w:tc>
          <w:tcPr>
            <w:tcW w:w="10100" w:type="dxa"/>
            <w:vAlign w:val="bottom"/>
            <w:gridSpan w:val="11"/>
          </w:tcPr>
          <w:p>
            <w:pPr>
              <w:spacing w:after="0"/>
              <w:rPr>
                <w:rFonts w:ascii="Arial" w:cs="Arial" w:eastAsia="Arial" w:hAnsi="Arial"/>
                <w:sz w:val="15"/>
                <w:szCs w:val="15"/>
                <w:u w:val="single" w:color="auto"/>
                <w:color w:val="0000EE"/>
              </w:rPr>
            </w:pPr>
            <w:hyperlink w:anchor="page195">
              <w:r>
                <w:rPr>
                  <w:rFonts w:ascii="Arial" w:cs="Arial" w:eastAsia="Arial" w:hAnsi="Arial"/>
                  <w:sz w:val="15"/>
                  <w:szCs w:val="15"/>
                  <w:u w:val="single" w:color="auto"/>
                  <w:color w:val="0000EE"/>
                </w:rPr>
                <w:t>Form of Equity Award Amendment Letter Agreement, dated August 10, 2020, by and between Parsons Corporation and Charles L. Harrington.</w:t>
              </w:r>
            </w:hyperlink>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10.30*+</w:t>
            </w:r>
          </w:p>
        </w:tc>
        <w:tc>
          <w:tcPr>
            <w:tcW w:w="10100" w:type="dxa"/>
            <w:vAlign w:val="bottom"/>
            <w:gridSpan w:val="11"/>
          </w:tcPr>
          <w:p>
            <w:pPr>
              <w:spacing w:after="0"/>
              <w:rPr>
                <w:rFonts w:ascii="Arial" w:cs="Arial" w:eastAsia="Arial" w:hAnsi="Arial"/>
                <w:sz w:val="15"/>
                <w:szCs w:val="15"/>
                <w:color w:val="0000EE"/>
              </w:rPr>
            </w:pPr>
            <w:hyperlink w:anchor="page200">
              <w:r>
                <w:rPr>
                  <w:rFonts w:ascii="Arial" w:cs="Arial" w:eastAsia="Arial" w:hAnsi="Arial"/>
                  <w:sz w:val="15"/>
                  <w:szCs w:val="15"/>
                  <w:u w:val="single" w:color="auto"/>
                  <w:color w:val="0000EE"/>
                </w:rPr>
                <w:t>Form of Equity Award Amendment Letter Agreement, dated August 10, 2020, by and between Parsons Corporation and Carey A. Smith</w:t>
              </w:r>
            </w:hyperlink>
            <w:r>
              <w:rPr>
                <w:rFonts w:ascii="Arial" w:cs="Arial" w:eastAsia="Arial" w:hAnsi="Arial"/>
                <w:sz w:val="15"/>
                <w:szCs w:val="15"/>
                <w:color w:val="000000"/>
              </w:rPr>
              <w:t>.</w:t>
            </w:r>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10.31*+</w:t>
            </w:r>
          </w:p>
        </w:tc>
        <w:tc>
          <w:tcPr>
            <w:tcW w:w="10100" w:type="dxa"/>
            <w:vAlign w:val="bottom"/>
            <w:gridSpan w:val="11"/>
          </w:tcPr>
          <w:p>
            <w:pPr>
              <w:spacing w:after="0"/>
              <w:rPr>
                <w:rFonts w:ascii="Arial" w:cs="Arial" w:eastAsia="Arial" w:hAnsi="Arial"/>
                <w:sz w:val="15"/>
                <w:szCs w:val="15"/>
                <w:color w:val="0000EE"/>
              </w:rPr>
            </w:pPr>
            <w:hyperlink w:anchor="page205">
              <w:r>
                <w:rPr>
                  <w:rFonts w:ascii="Arial" w:cs="Arial" w:eastAsia="Arial" w:hAnsi="Arial"/>
                  <w:sz w:val="15"/>
                  <w:szCs w:val="15"/>
                  <w:u w:val="single" w:color="auto"/>
                  <w:color w:val="0000EE"/>
                </w:rPr>
                <w:t>Form of Equity Award Amendment Letter Agreement, dated August 10, 2020, by and between Parsons Corporation and Michael R. Kolloway</w:t>
              </w:r>
              <w:r>
                <w:rPr>
                  <w:rFonts w:ascii="Arial" w:cs="Arial" w:eastAsia="Arial" w:hAnsi="Arial"/>
                  <w:sz w:val="15"/>
                  <w:szCs w:val="15"/>
                  <w:color w:val="0000EE"/>
                </w:rPr>
                <w:t>.</w:t>
              </w:r>
            </w:hyperlink>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10.32*+</w:t>
            </w:r>
          </w:p>
        </w:tc>
        <w:tc>
          <w:tcPr>
            <w:tcW w:w="10100" w:type="dxa"/>
            <w:vAlign w:val="bottom"/>
            <w:gridSpan w:val="11"/>
          </w:tcPr>
          <w:p>
            <w:pPr>
              <w:spacing w:after="0"/>
              <w:rPr>
                <w:rFonts w:ascii="Arial" w:cs="Arial" w:eastAsia="Arial" w:hAnsi="Arial"/>
                <w:sz w:val="15"/>
                <w:szCs w:val="15"/>
                <w:color w:val="0000EE"/>
              </w:rPr>
            </w:pPr>
            <w:hyperlink w:anchor="page210">
              <w:r>
                <w:rPr>
                  <w:rFonts w:ascii="Arial" w:cs="Arial" w:eastAsia="Arial" w:hAnsi="Arial"/>
                  <w:sz w:val="15"/>
                  <w:szCs w:val="15"/>
                  <w:u w:val="single" w:color="auto"/>
                  <w:color w:val="0000EE"/>
                </w:rPr>
                <w:t>Form of Equity Award Amendment Letter Agreement, dated August 10, 2020, by and between Parsons Corporation and Debra Fiori</w:t>
              </w:r>
              <w:r>
                <w:rPr>
                  <w:rFonts w:ascii="Arial" w:cs="Arial" w:eastAsia="Arial" w:hAnsi="Arial"/>
                  <w:sz w:val="15"/>
                  <w:szCs w:val="15"/>
                  <w:color w:val="0000EE"/>
                </w:rPr>
                <w:t>.</w:t>
              </w:r>
            </w:hyperlink>
          </w:p>
        </w:tc>
      </w:tr>
      <w:tr>
        <w:trPr>
          <w:trHeight w:val="288"/>
        </w:trPr>
        <w:tc>
          <w:tcPr>
            <w:tcW w:w="1180" w:type="dxa"/>
            <w:vAlign w:val="bottom"/>
          </w:tcPr>
          <w:p>
            <w:pPr>
              <w:ind w:left="100"/>
              <w:spacing w:after="0"/>
              <w:rPr>
                <w:sz w:val="20"/>
                <w:szCs w:val="20"/>
                <w:color w:val="auto"/>
              </w:rPr>
            </w:pPr>
            <w:r>
              <w:rPr>
                <w:rFonts w:ascii="Arial" w:cs="Arial" w:eastAsia="Arial" w:hAnsi="Arial"/>
                <w:sz w:val="15"/>
                <w:szCs w:val="15"/>
                <w:color w:val="auto"/>
              </w:rPr>
              <w:t>10.33#</w:t>
            </w:r>
          </w:p>
        </w:tc>
        <w:tc>
          <w:tcPr>
            <w:tcW w:w="10100" w:type="dxa"/>
            <w:vAlign w:val="bottom"/>
            <w:gridSpan w:val="11"/>
          </w:tcPr>
          <w:p>
            <w:pPr>
              <w:spacing w:after="0"/>
              <w:rPr>
                <w:rFonts w:ascii="Arial" w:cs="Arial" w:eastAsia="Arial" w:hAnsi="Arial"/>
                <w:sz w:val="15"/>
                <w:szCs w:val="15"/>
                <w:color w:val="0000EE"/>
              </w:rPr>
            </w:pPr>
            <w:hyperlink r:id="rId135">
              <w:r>
                <w:rPr>
                  <w:rFonts w:ascii="Arial" w:cs="Arial" w:eastAsia="Arial" w:hAnsi="Arial"/>
                  <w:sz w:val="15"/>
                  <w:szCs w:val="15"/>
                  <w:u w:val="single" w:color="auto"/>
                  <w:color w:val="0000EE"/>
                </w:rPr>
                <w:t>Note Purchase Agreement, dated as of May 9, 2014, among Parsons Corporation and the purchasers party thereto, and the forms of Senior Notes</w:t>
              </w:r>
            </w:hyperlink>
            <w:r>
              <w:rPr>
                <w:rFonts w:ascii="Arial" w:cs="Arial" w:eastAsia="Arial" w:hAnsi="Arial"/>
                <w:sz w:val="15"/>
                <w:szCs w:val="15"/>
                <w:color w:val="000000"/>
              </w:rPr>
              <w:t>.</w:t>
            </w:r>
          </w:p>
        </w:tc>
      </w:tr>
      <w:tr>
        <w:trPr>
          <w:trHeight w:val="266"/>
        </w:trPr>
        <w:tc>
          <w:tcPr>
            <w:tcW w:w="1180" w:type="dxa"/>
            <w:vAlign w:val="bottom"/>
          </w:tcPr>
          <w:p>
            <w:pPr>
              <w:ind w:left="100"/>
              <w:spacing w:after="0"/>
              <w:rPr>
                <w:sz w:val="20"/>
                <w:szCs w:val="20"/>
                <w:color w:val="auto"/>
              </w:rPr>
            </w:pPr>
            <w:r>
              <w:rPr>
                <w:rFonts w:ascii="Arial" w:cs="Arial" w:eastAsia="Arial" w:hAnsi="Arial"/>
                <w:sz w:val="15"/>
                <w:szCs w:val="15"/>
                <w:color w:val="auto"/>
              </w:rPr>
              <w:t>10.34#</w:t>
            </w:r>
          </w:p>
        </w:tc>
        <w:tc>
          <w:tcPr>
            <w:tcW w:w="10100" w:type="dxa"/>
            <w:vAlign w:val="bottom"/>
            <w:gridSpan w:val="11"/>
          </w:tcPr>
          <w:p>
            <w:pPr>
              <w:spacing w:after="0"/>
              <w:rPr>
                <w:rFonts w:ascii="Arial" w:cs="Arial" w:eastAsia="Arial" w:hAnsi="Arial"/>
                <w:sz w:val="15"/>
                <w:szCs w:val="15"/>
                <w:color w:val="0000EE"/>
              </w:rPr>
            </w:pPr>
            <w:hyperlink r:id="rId136">
              <w:r>
                <w:rPr>
                  <w:rFonts w:ascii="Arial" w:cs="Arial" w:eastAsia="Arial" w:hAnsi="Arial"/>
                  <w:sz w:val="15"/>
                  <w:szCs w:val="15"/>
                  <w:color w:val="0000EE"/>
                </w:rPr>
                <w:t>Subsidiary Guaranty, dated as of July 1, 2014, by each of Parsons Constructors Inc., Parsons Engineering of New York, Inc., Parsons Environment &amp;</w:t>
              </w:r>
            </w:hyperlink>
          </w:p>
        </w:tc>
      </w:tr>
      <w:tr>
        <w:trPr>
          <w:trHeight w:val="20"/>
        </w:trPr>
        <w:tc>
          <w:tcPr>
            <w:tcW w:w="1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10100" w:type="dxa"/>
            <w:vAlign w:val="bottom"/>
            <w:gridSpan w:val="11"/>
          </w:tcPr>
          <w:p>
            <w:pPr>
              <w:spacing w:after="0" w:line="146" w:lineRule="exact"/>
              <w:rPr>
                <w:rFonts w:ascii="Arial" w:cs="Arial" w:eastAsia="Arial" w:hAnsi="Arial"/>
                <w:sz w:val="15"/>
                <w:szCs w:val="15"/>
                <w:color w:val="0000EE"/>
              </w:rPr>
            </w:pPr>
            <w:hyperlink r:id="rId136">
              <w:r>
                <w:rPr>
                  <w:rFonts w:ascii="Arial" w:cs="Arial" w:eastAsia="Arial" w:hAnsi="Arial"/>
                  <w:sz w:val="15"/>
                  <w:szCs w:val="15"/>
                  <w:color w:val="0000EE"/>
                </w:rPr>
                <w:t>Infrastructure Group Inc., Parsons Government Services Inc., Parsons Government Services International Inc., Parsons International Limited, Parsons</w:t>
              </w:r>
            </w:hyperlink>
          </w:p>
        </w:tc>
      </w:tr>
      <w:tr>
        <w:trPr>
          <w:trHeight w:val="20"/>
        </w:trPr>
        <w:tc>
          <w:tcPr>
            <w:tcW w:w="1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6"/>
        </w:trPr>
        <w:tc>
          <w:tcPr>
            <w:tcW w:w="1180" w:type="dxa"/>
            <w:vAlign w:val="bottom"/>
          </w:tcPr>
          <w:p>
            <w:pPr>
              <w:spacing w:after="0"/>
              <w:rPr>
                <w:sz w:val="12"/>
                <w:szCs w:val="12"/>
                <w:color w:val="auto"/>
              </w:rPr>
            </w:pPr>
          </w:p>
        </w:tc>
        <w:tc>
          <w:tcPr>
            <w:tcW w:w="10060" w:type="dxa"/>
            <w:vAlign w:val="bottom"/>
            <w:tcBorders>
              <w:bottom w:val="single" w:sz="8" w:color="0000EE"/>
            </w:tcBorders>
            <w:gridSpan w:val="10"/>
          </w:tcPr>
          <w:p>
            <w:pPr>
              <w:spacing w:after="0" w:line="146" w:lineRule="exact"/>
              <w:rPr>
                <w:rFonts w:ascii="Arial" w:cs="Arial" w:eastAsia="Arial" w:hAnsi="Arial"/>
                <w:sz w:val="15"/>
                <w:szCs w:val="15"/>
                <w:color w:val="0000EE"/>
                <w:w w:val="98"/>
              </w:rPr>
            </w:pPr>
            <w:hyperlink r:id="rId136">
              <w:r>
                <w:rPr>
                  <w:rFonts w:ascii="Arial" w:cs="Arial" w:eastAsia="Arial" w:hAnsi="Arial"/>
                  <w:sz w:val="15"/>
                  <w:szCs w:val="15"/>
                  <w:color w:val="0000EE"/>
                  <w:w w:val="98"/>
                </w:rPr>
                <w:t>Technical Services Inc., Parsons Transportation Group Inc., Parsons Water &amp; Infrastructure Inc., PTSI Managed Services Inc., Parsons RCI Inc. and each</w:t>
              </w:r>
            </w:hyperlink>
          </w:p>
        </w:tc>
        <w:tc>
          <w:tcPr>
            <w:tcW w:w="40" w:type="dxa"/>
            <w:vAlign w:val="bottom"/>
          </w:tcPr>
          <w:p>
            <w:pPr>
              <w:spacing w:after="0"/>
              <w:rPr>
                <w:sz w:val="12"/>
                <w:szCs w:val="12"/>
                <w:color w:val="auto"/>
              </w:rPr>
            </w:pPr>
          </w:p>
        </w:tc>
      </w:tr>
      <w:tr>
        <w:trPr>
          <w:trHeight w:val="146"/>
        </w:trPr>
        <w:tc>
          <w:tcPr>
            <w:tcW w:w="1180" w:type="dxa"/>
            <w:vAlign w:val="bottom"/>
          </w:tcPr>
          <w:p>
            <w:pPr>
              <w:spacing w:after="0"/>
              <w:rPr>
                <w:sz w:val="12"/>
                <w:szCs w:val="12"/>
                <w:color w:val="auto"/>
              </w:rPr>
            </w:pPr>
          </w:p>
        </w:tc>
        <w:tc>
          <w:tcPr>
            <w:tcW w:w="10100" w:type="dxa"/>
            <w:vAlign w:val="bottom"/>
            <w:gridSpan w:val="11"/>
          </w:tcPr>
          <w:p>
            <w:pPr>
              <w:spacing w:after="0" w:line="146" w:lineRule="exact"/>
              <w:rPr>
                <w:rFonts w:ascii="Arial" w:cs="Arial" w:eastAsia="Arial" w:hAnsi="Arial"/>
                <w:sz w:val="15"/>
                <w:szCs w:val="15"/>
                <w:color w:val="0000EE"/>
              </w:rPr>
            </w:pPr>
            <w:hyperlink r:id="rId136">
              <w:r>
                <w:rPr>
                  <w:rFonts w:ascii="Arial" w:cs="Arial" w:eastAsia="Arial" w:hAnsi="Arial"/>
                  <w:sz w:val="15"/>
                  <w:szCs w:val="15"/>
                  <w:color w:val="0000EE"/>
                </w:rPr>
                <w:t>entity that may from time to time become a Guarantor thereunder</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9"/>
        </w:trPr>
        <w:tc>
          <w:tcPr>
            <w:tcW w:w="1180" w:type="dxa"/>
            <w:vAlign w:val="bottom"/>
          </w:tcPr>
          <w:p>
            <w:pPr>
              <w:ind w:left="100"/>
              <w:spacing w:after="0"/>
              <w:rPr>
                <w:sz w:val="20"/>
                <w:szCs w:val="20"/>
                <w:color w:val="auto"/>
              </w:rPr>
            </w:pPr>
            <w:r>
              <w:rPr>
                <w:rFonts w:ascii="Arial" w:cs="Arial" w:eastAsia="Arial" w:hAnsi="Arial"/>
                <w:sz w:val="15"/>
                <w:szCs w:val="15"/>
                <w:color w:val="auto"/>
              </w:rPr>
              <w:t>10.35#</w:t>
            </w:r>
          </w:p>
        </w:tc>
        <w:tc>
          <w:tcPr>
            <w:tcW w:w="10100" w:type="dxa"/>
            <w:vAlign w:val="bottom"/>
            <w:gridSpan w:val="11"/>
          </w:tcPr>
          <w:p>
            <w:pPr>
              <w:spacing w:after="0"/>
              <w:rPr>
                <w:rFonts w:ascii="Arial" w:cs="Arial" w:eastAsia="Arial" w:hAnsi="Arial"/>
                <w:sz w:val="15"/>
                <w:szCs w:val="15"/>
                <w:color w:val="0000EE"/>
                <w:w w:val="99"/>
              </w:rPr>
            </w:pPr>
            <w:hyperlink r:id="rId137">
              <w:r>
                <w:rPr>
                  <w:rFonts w:ascii="Arial" w:cs="Arial" w:eastAsia="Arial" w:hAnsi="Arial"/>
                  <w:sz w:val="15"/>
                  <w:szCs w:val="15"/>
                  <w:u w:val="single" w:color="auto"/>
                  <w:color w:val="0000EE"/>
                  <w:w w:val="99"/>
                </w:rPr>
                <w:t>First Amendment to the Note Purchase Agreement, dated as of August 10, 2018, by and between Parsons Corporation and the purchasers party thereto</w:t>
              </w:r>
            </w:hyperlink>
            <w:r>
              <w:rPr>
                <w:rFonts w:ascii="Arial" w:cs="Arial" w:eastAsia="Arial" w:hAnsi="Arial"/>
                <w:sz w:val="15"/>
                <w:szCs w:val="15"/>
                <w:color w:val="000000"/>
                <w:w w:val="99"/>
              </w:rPr>
              <w:t>.</w:t>
            </w:r>
          </w:p>
        </w:tc>
      </w:tr>
      <w:tr>
        <w:trPr>
          <w:trHeight w:val="366"/>
        </w:trPr>
        <w:tc>
          <w:tcPr>
            <w:tcW w:w="1180" w:type="dxa"/>
            <w:vAlign w:val="bottom"/>
          </w:tcPr>
          <w:p>
            <w:pPr>
              <w:ind w:left="100"/>
              <w:spacing w:after="0"/>
              <w:rPr>
                <w:sz w:val="20"/>
                <w:szCs w:val="20"/>
                <w:color w:val="auto"/>
              </w:rPr>
            </w:pPr>
            <w:r>
              <w:rPr>
                <w:rFonts w:ascii="Arial" w:cs="Arial" w:eastAsia="Arial" w:hAnsi="Arial"/>
                <w:sz w:val="15"/>
                <w:szCs w:val="15"/>
                <w:color w:val="auto"/>
              </w:rPr>
              <w:t>10.36#</w:t>
            </w:r>
          </w:p>
        </w:tc>
        <w:tc>
          <w:tcPr>
            <w:tcW w:w="10040" w:type="dxa"/>
            <w:vAlign w:val="bottom"/>
            <w:tcBorders>
              <w:bottom w:val="single" w:sz="8" w:color="0000EE"/>
            </w:tcBorders>
            <w:gridSpan w:val="9"/>
          </w:tcPr>
          <w:p>
            <w:pPr>
              <w:spacing w:after="0"/>
              <w:rPr>
                <w:rFonts w:ascii="Arial" w:cs="Arial" w:eastAsia="Arial" w:hAnsi="Arial"/>
                <w:sz w:val="15"/>
                <w:szCs w:val="15"/>
                <w:color w:val="0000EE"/>
                <w:w w:val="98"/>
              </w:rPr>
            </w:pPr>
            <w:hyperlink r:id="rId138">
              <w:r>
                <w:rPr>
                  <w:rFonts w:ascii="Arial" w:cs="Arial" w:eastAsia="Arial" w:hAnsi="Arial"/>
                  <w:sz w:val="15"/>
                  <w:szCs w:val="15"/>
                  <w:color w:val="0000EE"/>
                  <w:w w:val="98"/>
                </w:rPr>
                <w:t>Fifth Amended and Restated Credit Agreement, dated as of November 15, 2017, by and among Parsons Corporation, the lenders from time to time party</w:t>
              </w:r>
            </w:hyperlink>
          </w:p>
        </w:tc>
        <w:tc>
          <w:tcPr>
            <w:tcW w:w="60" w:type="dxa"/>
            <w:vAlign w:val="bottom"/>
            <w:gridSpan w:val="2"/>
          </w:tcPr>
          <w:p>
            <w:pPr>
              <w:spacing w:after="0"/>
              <w:rPr>
                <w:sz w:val="24"/>
                <w:szCs w:val="24"/>
                <w:color w:val="auto"/>
              </w:rPr>
            </w:pPr>
          </w:p>
        </w:tc>
      </w:tr>
      <w:tr>
        <w:trPr>
          <w:trHeight w:val="146"/>
        </w:trPr>
        <w:tc>
          <w:tcPr>
            <w:tcW w:w="1180" w:type="dxa"/>
            <w:vAlign w:val="bottom"/>
          </w:tcPr>
          <w:p>
            <w:pPr>
              <w:spacing w:after="0"/>
              <w:rPr>
                <w:sz w:val="12"/>
                <w:szCs w:val="12"/>
                <w:color w:val="auto"/>
              </w:rPr>
            </w:pPr>
          </w:p>
        </w:tc>
        <w:tc>
          <w:tcPr>
            <w:tcW w:w="9920" w:type="dxa"/>
            <w:vAlign w:val="bottom"/>
            <w:tcBorders>
              <w:bottom w:val="single" w:sz="8" w:color="0000EE"/>
            </w:tcBorders>
            <w:gridSpan w:val="7"/>
          </w:tcPr>
          <w:p>
            <w:pPr>
              <w:spacing w:after="0" w:line="146" w:lineRule="exact"/>
              <w:rPr>
                <w:rFonts w:ascii="Arial" w:cs="Arial" w:eastAsia="Arial" w:hAnsi="Arial"/>
                <w:sz w:val="15"/>
                <w:szCs w:val="15"/>
                <w:color w:val="0000EE"/>
                <w:w w:val="98"/>
              </w:rPr>
            </w:pPr>
            <w:hyperlink r:id="rId138">
              <w:r>
                <w:rPr>
                  <w:rFonts w:ascii="Arial" w:cs="Arial" w:eastAsia="Arial" w:hAnsi="Arial"/>
                  <w:sz w:val="15"/>
                  <w:szCs w:val="15"/>
                  <w:color w:val="0000EE"/>
                  <w:w w:val="98"/>
                </w:rPr>
                <w:t>thereto, The Bank of Tokyo-Mitsubishi UFJ, Ltd., as administrative agent, swing line bank and co-lead arranger, Wells Fargo Bank, National Association,</w:t>
              </w:r>
            </w:hyperlink>
          </w:p>
        </w:tc>
        <w:tc>
          <w:tcPr>
            <w:tcW w:w="180" w:type="dxa"/>
            <w:vAlign w:val="bottom"/>
            <w:gridSpan w:val="4"/>
          </w:tcPr>
          <w:p>
            <w:pPr>
              <w:spacing w:after="0"/>
              <w:rPr>
                <w:sz w:val="12"/>
                <w:szCs w:val="12"/>
                <w:color w:val="auto"/>
              </w:rPr>
            </w:pPr>
          </w:p>
        </w:tc>
      </w:tr>
      <w:tr>
        <w:trPr>
          <w:trHeight w:val="146"/>
        </w:trPr>
        <w:tc>
          <w:tcPr>
            <w:tcW w:w="1180" w:type="dxa"/>
            <w:vAlign w:val="bottom"/>
          </w:tcPr>
          <w:p>
            <w:pPr>
              <w:spacing w:after="0"/>
              <w:rPr>
                <w:sz w:val="12"/>
                <w:szCs w:val="12"/>
                <w:color w:val="auto"/>
              </w:rPr>
            </w:pPr>
          </w:p>
        </w:tc>
        <w:tc>
          <w:tcPr>
            <w:tcW w:w="10020" w:type="dxa"/>
            <w:vAlign w:val="bottom"/>
            <w:tcBorders>
              <w:bottom w:val="single" w:sz="8" w:color="0000EE"/>
            </w:tcBorders>
            <w:gridSpan w:val="8"/>
          </w:tcPr>
          <w:p>
            <w:pPr>
              <w:spacing w:after="0" w:line="146" w:lineRule="exact"/>
              <w:rPr>
                <w:rFonts w:ascii="Arial" w:cs="Arial" w:eastAsia="Arial" w:hAnsi="Arial"/>
                <w:sz w:val="15"/>
                <w:szCs w:val="15"/>
                <w:color w:val="0000EE"/>
                <w:w w:val="98"/>
              </w:rPr>
            </w:pPr>
            <w:hyperlink r:id="rId138">
              <w:r>
                <w:rPr>
                  <w:rFonts w:ascii="Arial" w:cs="Arial" w:eastAsia="Arial" w:hAnsi="Arial"/>
                  <w:sz w:val="15"/>
                  <w:szCs w:val="15"/>
                  <w:color w:val="0000EE"/>
                  <w:w w:val="98"/>
                </w:rPr>
                <w:t>as syndication agent, The Bank of Nova Scotia, JPMorgan Chase Bank, N.A., Sumitomo Mitsui Banking Corporation and U.S. Bank National Association,</w:t>
              </w:r>
            </w:hyperlink>
          </w:p>
        </w:tc>
        <w:tc>
          <w:tcPr>
            <w:tcW w:w="80" w:type="dxa"/>
            <w:vAlign w:val="bottom"/>
            <w:gridSpan w:val="3"/>
          </w:tcPr>
          <w:p>
            <w:pPr>
              <w:spacing w:after="0"/>
              <w:rPr>
                <w:sz w:val="12"/>
                <w:szCs w:val="12"/>
                <w:color w:val="auto"/>
              </w:rPr>
            </w:pPr>
          </w:p>
        </w:tc>
      </w:tr>
      <w:tr>
        <w:trPr>
          <w:trHeight w:val="146"/>
        </w:trPr>
        <w:tc>
          <w:tcPr>
            <w:tcW w:w="1180" w:type="dxa"/>
            <w:vAlign w:val="bottom"/>
          </w:tcPr>
          <w:p>
            <w:pPr>
              <w:spacing w:after="0"/>
              <w:rPr>
                <w:sz w:val="12"/>
                <w:szCs w:val="12"/>
                <w:color w:val="auto"/>
              </w:rPr>
            </w:pPr>
          </w:p>
        </w:tc>
        <w:tc>
          <w:tcPr>
            <w:tcW w:w="10100" w:type="dxa"/>
            <w:vAlign w:val="bottom"/>
            <w:gridSpan w:val="11"/>
          </w:tcPr>
          <w:p>
            <w:pPr>
              <w:spacing w:after="0" w:line="146" w:lineRule="exact"/>
              <w:rPr>
                <w:rFonts w:ascii="Arial" w:cs="Arial" w:eastAsia="Arial" w:hAnsi="Arial"/>
                <w:sz w:val="15"/>
                <w:szCs w:val="15"/>
                <w:color w:val="0000EE"/>
              </w:rPr>
            </w:pPr>
            <w:hyperlink r:id="rId138">
              <w:r>
                <w:rPr>
                  <w:rFonts w:ascii="Arial" w:cs="Arial" w:eastAsia="Arial" w:hAnsi="Arial"/>
                  <w:sz w:val="15"/>
                  <w:szCs w:val="15"/>
                  <w:color w:val="0000EE"/>
                </w:rPr>
                <w:t>as documentation agents, and Wells Fargo Securities, LLC, as co-lead arranger</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10.37#</w:t>
            </w:r>
          </w:p>
        </w:tc>
        <w:tc>
          <w:tcPr>
            <w:tcW w:w="10100" w:type="dxa"/>
            <w:vAlign w:val="bottom"/>
            <w:tcBorders>
              <w:bottom w:val="single" w:sz="8" w:color="0000EE"/>
            </w:tcBorders>
            <w:gridSpan w:val="11"/>
          </w:tcPr>
          <w:p>
            <w:pPr>
              <w:spacing w:after="0"/>
              <w:rPr>
                <w:rFonts w:ascii="Arial" w:cs="Arial" w:eastAsia="Arial" w:hAnsi="Arial"/>
                <w:sz w:val="15"/>
                <w:szCs w:val="15"/>
                <w:color w:val="0000EE"/>
                <w:w w:val="98"/>
              </w:rPr>
            </w:pPr>
            <w:hyperlink r:id="rId139">
              <w:r>
                <w:rPr>
                  <w:rFonts w:ascii="Arial" w:cs="Arial" w:eastAsia="Arial" w:hAnsi="Arial"/>
                  <w:sz w:val="15"/>
                  <w:szCs w:val="15"/>
                  <w:color w:val="0000EE"/>
                  <w:w w:val="98"/>
                </w:rPr>
                <w:t>First Amendment to the Fifth Amended and Restated Credit Agreement, dated as of January 4, 2019, by and among Parsons Corporation, the Banks party</w:t>
              </w:r>
            </w:hyperlink>
          </w:p>
        </w:tc>
      </w:tr>
      <w:tr>
        <w:trPr>
          <w:trHeight w:val="146"/>
        </w:trPr>
        <w:tc>
          <w:tcPr>
            <w:tcW w:w="1180" w:type="dxa"/>
            <w:vAlign w:val="bottom"/>
          </w:tcPr>
          <w:p>
            <w:pPr>
              <w:spacing w:after="0"/>
              <w:rPr>
                <w:sz w:val="12"/>
                <w:szCs w:val="12"/>
                <w:color w:val="auto"/>
              </w:rPr>
            </w:pPr>
          </w:p>
        </w:tc>
        <w:tc>
          <w:tcPr>
            <w:tcW w:w="10100" w:type="dxa"/>
            <w:vAlign w:val="bottom"/>
            <w:gridSpan w:val="11"/>
          </w:tcPr>
          <w:p>
            <w:pPr>
              <w:spacing w:after="0" w:line="146" w:lineRule="exact"/>
              <w:rPr>
                <w:rFonts w:ascii="Arial" w:cs="Arial" w:eastAsia="Arial" w:hAnsi="Arial"/>
                <w:sz w:val="15"/>
                <w:szCs w:val="15"/>
                <w:color w:val="0000EE"/>
              </w:rPr>
            </w:pPr>
            <w:hyperlink r:id="rId139">
              <w:r>
                <w:rPr>
                  <w:rFonts w:ascii="Arial" w:cs="Arial" w:eastAsia="Arial" w:hAnsi="Arial"/>
                  <w:sz w:val="15"/>
                  <w:szCs w:val="15"/>
                  <w:color w:val="0000EE"/>
                </w:rPr>
                <w:t>thereto and MUFG Bank Ltd, as administrative agent</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6440" w:type="dxa"/>
            <w:vAlign w:val="bottom"/>
            <w:gridSpan w:val="5"/>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246"/>
        </w:trPr>
        <w:tc>
          <w:tcPr>
            <w:tcW w:w="1180" w:type="dxa"/>
            <w:vAlign w:val="bottom"/>
          </w:tcPr>
          <w:p>
            <w:pPr>
              <w:ind w:left="100"/>
              <w:spacing w:after="0"/>
              <w:rPr>
                <w:sz w:val="20"/>
                <w:szCs w:val="20"/>
                <w:color w:val="auto"/>
              </w:rPr>
            </w:pPr>
            <w:r>
              <w:rPr>
                <w:rFonts w:ascii="Arial" w:cs="Arial" w:eastAsia="Arial" w:hAnsi="Arial"/>
                <w:sz w:val="15"/>
                <w:szCs w:val="15"/>
                <w:color w:val="auto"/>
              </w:rPr>
              <w:t>10.38#</w:t>
            </w:r>
          </w:p>
        </w:tc>
        <w:tc>
          <w:tcPr>
            <w:tcW w:w="10100" w:type="dxa"/>
            <w:vAlign w:val="bottom"/>
            <w:gridSpan w:val="11"/>
          </w:tcPr>
          <w:p>
            <w:pPr>
              <w:spacing w:after="0"/>
              <w:rPr>
                <w:rFonts w:ascii="Arial" w:cs="Arial" w:eastAsia="Arial" w:hAnsi="Arial"/>
                <w:sz w:val="15"/>
                <w:szCs w:val="15"/>
                <w:color w:val="0000EE"/>
              </w:rPr>
            </w:pPr>
            <w:hyperlink r:id="rId140">
              <w:r>
                <w:rPr>
                  <w:rFonts w:ascii="Arial" w:cs="Arial" w:eastAsia="Arial" w:hAnsi="Arial"/>
                  <w:sz w:val="15"/>
                  <w:szCs w:val="15"/>
                  <w:color w:val="0000EE"/>
                </w:rPr>
                <w:t>Term Loan Agreement, dated as of January 4, 2019, among Parsons Corporation, MUFG Union Bank, N.A., as administrative agent, The Bank of Nova</w:t>
              </w:r>
            </w:hyperlink>
          </w:p>
        </w:tc>
      </w:tr>
      <w:tr>
        <w:trPr>
          <w:trHeight w:val="20"/>
        </w:trPr>
        <w:tc>
          <w:tcPr>
            <w:tcW w:w="1180" w:type="dxa"/>
            <w:vAlign w:val="bottom"/>
          </w:tcPr>
          <w:p>
            <w:pPr>
              <w:spacing w:after="0" w:line="20" w:lineRule="exact"/>
              <w:rPr>
                <w:sz w:val="1"/>
                <w:szCs w:val="1"/>
                <w:color w:val="auto"/>
              </w:rPr>
            </w:pPr>
          </w:p>
        </w:tc>
        <w:tc>
          <w:tcPr>
            <w:tcW w:w="9900" w:type="dxa"/>
            <w:vAlign w:val="bottom"/>
            <w:gridSpan w:val="6"/>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r>
      <w:tr>
        <w:trPr>
          <w:trHeight w:val="179"/>
        </w:trPr>
        <w:tc>
          <w:tcPr>
            <w:tcW w:w="1180" w:type="dxa"/>
            <w:vAlign w:val="bottom"/>
          </w:tcPr>
          <w:p>
            <w:pPr>
              <w:spacing w:after="0"/>
              <w:rPr>
                <w:sz w:val="15"/>
                <w:szCs w:val="15"/>
                <w:color w:val="auto"/>
              </w:rPr>
            </w:pPr>
          </w:p>
        </w:tc>
        <w:tc>
          <w:tcPr>
            <w:tcW w:w="10100" w:type="dxa"/>
            <w:vAlign w:val="bottom"/>
            <w:gridSpan w:val="11"/>
          </w:tcPr>
          <w:p>
            <w:pPr>
              <w:spacing w:after="0"/>
              <w:rPr>
                <w:rFonts w:ascii="Arial" w:cs="Arial" w:eastAsia="Arial" w:hAnsi="Arial"/>
                <w:sz w:val="15"/>
                <w:szCs w:val="15"/>
                <w:color w:val="0000EE"/>
                <w:w w:val="98"/>
              </w:rPr>
            </w:pPr>
            <w:hyperlink r:id="rId140">
              <w:r>
                <w:rPr>
                  <w:rFonts w:ascii="Arial" w:cs="Arial" w:eastAsia="Arial" w:hAnsi="Arial"/>
                  <w:sz w:val="15"/>
                  <w:szCs w:val="15"/>
                  <w:u w:val="single" w:color="auto"/>
                  <w:color w:val="0000EE"/>
                  <w:w w:val="98"/>
                </w:rPr>
                <w:t>Scotia, as syndication agent, the other financial institutions party thereto and MUFG Union Bank, N.A. and The Bank of Nova Scotia, as co-lead arrangers</w:t>
              </w:r>
            </w:hyperlink>
            <w:r>
              <w:rPr>
                <w:rFonts w:ascii="Arial" w:cs="Arial" w:eastAsia="Arial" w:hAnsi="Arial"/>
                <w:sz w:val="15"/>
                <w:szCs w:val="15"/>
                <w:color w:val="000000"/>
                <w:w w:val="98"/>
              </w:rPr>
              <w:t>.</w:t>
            </w:r>
          </w:p>
        </w:tc>
      </w:tr>
      <w:tr>
        <w:trPr>
          <w:trHeight w:val="277"/>
        </w:trPr>
        <w:tc>
          <w:tcPr>
            <w:tcW w:w="1180" w:type="dxa"/>
            <w:vAlign w:val="bottom"/>
          </w:tcPr>
          <w:p>
            <w:pPr>
              <w:ind w:left="100"/>
              <w:spacing w:after="0"/>
              <w:rPr>
                <w:sz w:val="20"/>
                <w:szCs w:val="20"/>
                <w:color w:val="auto"/>
              </w:rPr>
            </w:pPr>
            <w:r>
              <w:rPr>
                <w:rFonts w:ascii="Arial" w:cs="Arial" w:eastAsia="Arial" w:hAnsi="Arial"/>
                <w:sz w:val="15"/>
                <w:szCs w:val="15"/>
                <w:color w:val="auto"/>
              </w:rPr>
              <w:t>10.39*</w:t>
            </w:r>
          </w:p>
        </w:tc>
        <w:tc>
          <w:tcPr>
            <w:tcW w:w="10100" w:type="dxa"/>
            <w:vAlign w:val="bottom"/>
            <w:gridSpan w:val="11"/>
          </w:tcPr>
          <w:p>
            <w:pPr>
              <w:spacing w:after="0"/>
              <w:rPr>
                <w:rFonts w:ascii="Arial" w:cs="Arial" w:eastAsia="Arial" w:hAnsi="Arial"/>
                <w:sz w:val="15"/>
                <w:szCs w:val="15"/>
                <w:u w:val="single" w:color="auto"/>
                <w:color w:val="0000EE"/>
              </w:rPr>
            </w:pPr>
            <w:hyperlink w:anchor="page215">
              <w:r>
                <w:rPr>
                  <w:rFonts w:ascii="Arial" w:cs="Arial" w:eastAsia="Arial" w:hAnsi="Arial"/>
                  <w:sz w:val="15"/>
                  <w:szCs w:val="15"/>
                  <w:u w:val="single" w:color="auto"/>
                  <w:color w:val="0000EE"/>
                </w:rPr>
                <w:t>Form of Employee Stockownership Trust Agreement, dated as of June 8, 2020, by and between Parsons Corporation and Newport Trust Company.</w:t>
              </w:r>
            </w:hyperlink>
          </w:p>
        </w:tc>
      </w:tr>
      <w:tr>
        <w:trPr>
          <w:trHeight w:val="299"/>
        </w:trPr>
        <w:tc>
          <w:tcPr>
            <w:tcW w:w="1180" w:type="dxa"/>
            <w:vAlign w:val="bottom"/>
          </w:tcPr>
          <w:p>
            <w:pPr>
              <w:ind w:left="100"/>
              <w:spacing w:after="0"/>
              <w:rPr>
                <w:sz w:val="20"/>
                <w:szCs w:val="20"/>
                <w:color w:val="auto"/>
              </w:rPr>
            </w:pPr>
            <w:r>
              <w:rPr>
                <w:rFonts w:ascii="Arial" w:cs="Arial" w:eastAsia="Arial" w:hAnsi="Arial"/>
                <w:sz w:val="15"/>
                <w:szCs w:val="15"/>
                <w:color w:val="auto"/>
              </w:rPr>
              <w:t>10.40#</w:t>
            </w:r>
          </w:p>
        </w:tc>
        <w:tc>
          <w:tcPr>
            <w:tcW w:w="10100" w:type="dxa"/>
            <w:vAlign w:val="bottom"/>
            <w:gridSpan w:val="11"/>
          </w:tcPr>
          <w:p>
            <w:pPr>
              <w:spacing w:after="0"/>
              <w:rPr>
                <w:rFonts w:ascii="Arial" w:cs="Arial" w:eastAsia="Arial" w:hAnsi="Arial"/>
                <w:sz w:val="15"/>
                <w:szCs w:val="15"/>
                <w:u w:val="single" w:color="auto"/>
                <w:color w:val="0000EE"/>
              </w:rPr>
            </w:pPr>
            <w:hyperlink r:id="rId141">
              <w:r>
                <w:rPr>
                  <w:rFonts w:ascii="Arial" w:cs="Arial" w:eastAsia="Arial" w:hAnsi="Arial"/>
                  <w:sz w:val="15"/>
                  <w:szCs w:val="15"/>
                  <w:u w:val="single" w:color="auto"/>
                  <w:color w:val="0000EE"/>
                </w:rPr>
                <w:t>Form of Registration Rights Agreement by and between Parsons Corporation and Newport Trust Company.</w:t>
              </w:r>
            </w:hyperlink>
          </w:p>
        </w:tc>
      </w:tr>
      <w:tr>
        <w:trPr>
          <w:trHeight w:val="299"/>
        </w:trPr>
        <w:tc>
          <w:tcPr>
            <w:tcW w:w="1180" w:type="dxa"/>
            <w:vAlign w:val="bottom"/>
          </w:tcPr>
          <w:p>
            <w:pPr>
              <w:ind w:left="100"/>
              <w:spacing w:after="0"/>
              <w:rPr>
                <w:sz w:val="20"/>
                <w:szCs w:val="20"/>
                <w:color w:val="auto"/>
              </w:rPr>
            </w:pPr>
            <w:r>
              <w:rPr>
                <w:rFonts w:ascii="Arial" w:cs="Arial" w:eastAsia="Arial" w:hAnsi="Arial"/>
                <w:sz w:val="15"/>
                <w:szCs w:val="15"/>
                <w:color w:val="auto"/>
              </w:rPr>
              <w:t>10.41*</w:t>
            </w:r>
          </w:p>
        </w:tc>
        <w:tc>
          <w:tcPr>
            <w:tcW w:w="10100" w:type="dxa"/>
            <w:vAlign w:val="bottom"/>
            <w:gridSpan w:val="11"/>
          </w:tcPr>
          <w:p>
            <w:pPr>
              <w:spacing w:after="0"/>
              <w:rPr>
                <w:rFonts w:ascii="Arial" w:cs="Arial" w:eastAsia="Arial" w:hAnsi="Arial"/>
                <w:sz w:val="15"/>
                <w:szCs w:val="15"/>
                <w:u w:val="single" w:color="auto"/>
                <w:color w:val="0000EE"/>
              </w:rPr>
            </w:pPr>
            <w:hyperlink w:anchor="page235">
              <w:r>
                <w:rPr>
                  <w:rFonts w:ascii="Arial" w:cs="Arial" w:eastAsia="Arial" w:hAnsi="Arial"/>
                  <w:sz w:val="15"/>
                  <w:szCs w:val="15"/>
                  <w:u w:val="single" w:color="auto"/>
                  <w:color w:val="0000EE"/>
                </w:rPr>
                <w:t>Form of Fifth Amendment to the Parsons Corporation Retirement Savings Plan.</w:t>
              </w:r>
            </w:hyperlink>
          </w:p>
        </w:tc>
      </w:tr>
      <w:tr>
        <w:trPr>
          <w:trHeight w:val="388"/>
        </w:trPr>
        <w:tc>
          <w:tcPr>
            <w:tcW w:w="1180" w:type="dxa"/>
            <w:vAlign w:val="bottom"/>
          </w:tcPr>
          <w:p>
            <w:pPr>
              <w:ind w:left="100"/>
              <w:spacing w:after="0"/>
              <w:rPr>
                <w:sz w:val="20"/>
                <w:szCs w:val="20"/>
                <w:color w:val="auto"/>
              </w:rPr>
            </w:pPr>
            <w:r>
              <w:rPr>
                <w:rFonts w:ascii="Arial" w:cs="Arial" w:eastAsia="Arial" w:hAnsi="Arial"/>
                <w:sz w:val="15"/>
                <w:szCs w:val="15"/>
                <w:color w:val="auto"/>
              </w:rPr>
              <w:t>10.42*+</w:t>
            </w:r>
          </w:p>
        </w:tc>
        <w:tc>
          <w:tcPr>
            <w:tcW w:w="10100" w:type="dxa"/>
            <w:vAlign w:val="bottom"/>
            <w:gridSpan w:val="11"/>
          </w:tcPr>
          <w:p>
            <w:pPr>
              <w:spacing w:after="0"/>
              <w:rPr>
                <w:rFonts w:ascii="Arial" w:cs="Arial" w:eastAsia="Arial" w:hAnsi="Arial"/>
                <w:sz w:val="15"/>
                <w:szCs w:val="15"/>
                <w:color w:val="0000EE"/>
              </w:rPr>
            </w:pPr>
            <w:hyperlink w:anchor="page236">
              <w:r>
                <w:rPr>
                  <w:rFonts w:ascii="Arial" w:cs="Arial" w:eastAsia="Arial" w:hAnsi="Arial"/>
                  <w:sz w:val="15"/>
                  <w:szCs w:val="15"/>
                  <w:u w:val="single" w:color="auto"/>
                  <w:color w:val="0000EE"/>
                </w:rPr>
                <w:t>Form of Fourth Amendment to the 2019 Amendment and Restatement of Parsons Employee Stock Ownership Plan, effective March 1, 2021</w:t>
              </w:r>
              <w:r>
                <w:rPr>
                  <w:rFonts w:ascii="Arial" w:cs="Arial" w:eastAsia="Arial" w:hAnsi="Arial"/>
                  <w:sz w:val="15"/>
                  <w:szCs w:val="15"/>
                  <w:color w:val="0000EE"/>
                </w:rPr>
                <w:t>.</w:t>
              </w:r>
            </w:hyperlink>
          </w:p>
        </w:tc>
      </w:tr>
      <w:tr>
        <w:trPr>
          <w:trHeight w:val="399"/>
        </w:trPr>
        <w:tc>
          <w:tcPr>
            <w:tcW w:w="1180" w:type="dxa"/>
            <w:vAlign w:val="bottom"/>
          </w:tcPr>
          <w:p>
            <w:pPr>
              <w:ind w:left="100"/>
              <w:spacing w:after="0"/>
              <w:rPr>
                <w:sz w:val="20"/>
                <w:szCs w:val="20"/>
                <w:color w:val="auto"/>
              </w:rPr>
            </w:pPr>
            <w:r>
              <w:rPr>
                <w:rFonts w:ascii="Arial" w:cs="Arial" w:eastAsia="Arial" w:hAnsi="Arial"/>
                <w:sz w:val="15"/>
                <w:szCs w:val="15"/>
                <w:color w:val="auto"/>
              </w:rPr>
              <w:t>10.43#+</w:t>
            </w:r>
          </w:p>
        </w:tc>
        <w:tc>
          <w:tcPr>
            <w:tcW w:w="10100" w:type="dxa"/>
            <w:vAlign w:val="bottom"/>
            <w:gridSpan w:val="11"/>
          </w:tcPr>
          <w:p>
            <w:pPr>
              <w:spacing w:after="0"/>
              <w:rPr>
                <w:rFonts w:ascii="Arial" w:cs="Arial" w:eastAsia="Arial" w:hAnsi="Arial"/>
                <w:sz w:val="15"/>
                <w:szCs w:val="15"/>
                <w:color w:val="0000EE"/>
              </w:rPr>
            </w:pPr>
            <w:hyperlink r:id="rId142">
              <w:r>
                <w:rPr>
                  <w:rFonts w:ascii="Arial" w:cs="Arial" w:eastAsia="Arial" w:hAnsi="Arial"/>
                  <w:sz w:val="15"/>
                  <w:szCs w:val="15"/>
                  <w:u w:val="single" w:color="auto"/>
                  <w:color w:val="0000EE"/>
                </w:rPr>
                <w:t>Form of Indemnification Agreement between Parsons Corporation and certain of its directors and officers</w:t>
              </w:r>
            </w:hyperlink>
            <w:r>
              <w:rPr>
                <w:rFonts w:ascii="Arial" w:cs="Arial" w:eastAsia="Arial" w:hAnsi="Arial"/>
                <w:sz w:val="15"/>
                <w:szCs w:val="15"/>
                <w:color w:val="000000"/>
              </w:rPr>
              <w:t>.</w:t>
            </w:r>
          </w:p>
        </w:tc>
      </w:tr>
      <w:tr>
        <w:trPr>
          <w:trHeight w:val="299"/>
        </w:trPr>
        <w:tc>
          <w:tcPr>
            <w:tcW w:w="1180" w:type="dxa"/>
            <w:vAlign w:val="bottom"/>
          </w:tcPr>
          <w:p>
            <w:pPr>
              <w:ind w:left="100"/>
              <w:spacing w:after="0"/>
              <w:rPr>
                <w:sz w:val="20"/>
                <w:szCs w:val="20"/>
                <w:color w:val="auto"/>
              </w:rPr>
            </w:pPr>
            <w:r>
              <w:rPr>
                <w:rFonts w:ascii="Arial" w:cs="Arial" w:eastAsia="Arial" w:hAnsi="Arial"/>
                <w:sz w:val="15"/>
                <w:szCs w:val="15"/>
                <w:color w:val="auto"/>
              </w:rPr>
              <w:t>21.1*</w:t>
            </w:r>
          </w:p>
        </w:tc>
        <w:tc>
          <w:tcPr>
            <w:tcW w:w="10100" w:type="dxa"/>
            <w:vAlign w:val="bottom"/>
            <w:gridSpan w:val="11"/>
          </w:tcPr>
          <w:p>
            <w:pPr>
              <w:spacing w:after="0"/>
              <w:rPr>
                <w:rFonts w:ascii="Arial" w:cs="Arial" w:eastAsia="Arial" w:hAnsi="Arial"/>
                <w:sz w:val="15"/>
                <w:szCs w:val="15"/>
                <w:color w:val="0000EE"/>
              </w:rPr>
            </w:pPr>
            <w:hyperlink w:anchor="page238">
              <w:r>
                <w:rPr>
                  <w:rFonts w:ascii="Arial" w:cs="Arial" w:eastAsia="Arial" w:hAnsi="Arial"/>
                  <w:sz w:val="15"/>
                  <w:szCs w:val="15"/>
                  <w:u w:val="single" w:color="auto"/>
                  <w:color w:val="0000EE"/>
                </w:rPr>
                <w:t>List of Subsidiaries of the Registrant</w:t>
              </w:r>
            </w:hyperlink>
            <w:r>
              <w:rPr>
                <w:rFonts w:ascii="Arial" w:cs="Arial" w:eastAsia="Arial" w:hAnsi="Arial"/>
                <w:sz w:val="15"/>
                <w:szCs w:val="15"/>
                <w:color w:val="000000"/>
              </w:rPr>
              <w:t>.</w:t>
            </w:r>
          </w:p>
        </w:tc>
      </w:tr>
      <w:tr>
        <w:trPr>
          <w:trHeight w:val="299"/>
        </w:trPr>
        <w:tc>
          <w:tcPr>
            <w:tcW w:w="1180" w:type="dxa"/>
            <w:vAlign w:val="bottom"/>
          </w:tcPr>
          <w:p>
            <w:pPr>
              <w:ind w:left="100"/>
              <w:spacing w:after="0"/>
              <w:rPr>
                <w:sz w:val="20"/>
                <w:szCs w:val="20"/>
                <w:color w:val="auto"/>
              </w:rPr>
            </w:pPr>
            <w:r>
              <w:rPr>
                <w:rFonts w:ascii="Arial" w:cs="Arial" w:eastAsia="Arial" w:hAnsi="Arial"/>
                <w:sz w:val="15"/>
                <w:szCs w:val="15"/>
                <w:color w:val="auto"/>
              </w:rPr>
              <w:t>23.1*</w:t>
            </w:r>
          </w:p>
        </w:tc>
        <w:tc>
          <w:tcPr>
            <w:tcW w:w="10100" w:type="dxa"/>
            <w:vAlign w:val="bottom"/>
            <w:gridSpan w:val="11"/>
          </w:tcPr>
          <w:p>
            <w:pPr>
              <w:spacing w:after="0"/>
              <w:rPr>
                <w:rFonts w:ascii="Arial" w:cs="Arial" w:eastAsia="Arial" w:hAnsi="Arial"/>
                <w:sz w:val="15"/>
                <w:szCs w:val="15"/>
                <w:color w:val="0000EE"/>
              </w:rPr>
            </w:pPr>
            <w:hyperlink w:anchor="page241">
              <w:r>
                <w:rPr>
                  <w:rFonts w:ascii="Arial" w:cs="Arial" w:eastAsia="Arial" w:hAnsi="Arial"/>
                  <w:sz w:val="15"/>
                  <w:szCs w:val="15"/>
                  <w:u w:val="single" w:color="auto"/>
                  <w:color w:val="0000EE"/>
                </w:rPr>
                <w:t>Consent of PricewaterhouseCoopers LLP</w:t>
              </w:r>
            </w:hyperlink>
            <w:r>
              <w:rPr>
                <w:rFonts w:ascii="Arial" w:cs="Arial" w:eastAsia="Arial" w:hAnsi="Arial"/>
                <w:sz w:val="15"/>
                <w:szCs w:val="15"/>
                <w:color w:val="000000"/>
              </w:rPr>
              <w:t>.</w:t>
            </w:r>
          </w:p>
        </w:tc>
      </w:tr>
      <w:tr>
        <w:trPr>
          <w:trHeight w:val="477"/>
        </w:trPr>
        <w:tc>
          <w:tcPr>
            <w:tcW w:w="1180" w:type="dxa"/>
            <w:vAlign w:val="bottom"/>
          </w:tcPr>
          <w:p>
            <w:pPr>
              <w:spacing w:after="0"/>
              <w:rPr>
                <w:sz w:val="24"/>
                <w:szCs w:val="24"/>
                <w:color w:val="auto"/>
              </w:rPr>
            </w:pPr>
          </w:p>
        </w:tc>
        <w:tc>
          <w:tcPr>
            <w:tcW w:w="5220" w:type="dxa"/>
            <w:vAlign w:val="bottom"/>
            <w:gridSpan w:val="3"/>
          </w:tcPr>
          <w:p>
            <w:pPr>
              <w:ind w:left="4380"/>
              <w:spacing w:after="0"/>
              <w:rPr>
                <w:sz w:val="20"/>
                <w:szCs w:val="20"/>
                <w:color w:val="auto"/>
              </w:rPr>
            </w:pPr>
            <w:r>
              <w:rPr>
                <w:rFonts w:ascii="Arial" w:cs="Arial" w:eastAsia="Arial" w:hAnsi="Arial"/>
                <w:sz w:val="15"/>
                <w:szCs w:val="15"/>
                <w:color w:val="auto"/>
              </w:rPr>
              <w:t>86</w:t>
            </w: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0"/>
        </w:trPr>
        <w:tc>
          <w:tcPr>
            <w:tcW w:w="1180" w:type="dxa"/>
            <w:vAlign w:val="bottom"/>
            <w:tcBorders>
              <w:bottom w:val="single" w:sz="8" w:color="9A9A9A"/>
            </w:tcBorders>
          </w:tcPr>
          <w:p>
            <w:pPr>
              <w:spacing w:after="0"/>
              <w:rPr>
                <w:sz w:val="6"/>
                <w:szCs w:val="6"/>
                <w:color w:val="auto"/>
              </w:rPr>
            </w:pPr>
          </w:p>
        </w:tc>
        <w:tc>
          <w:tcPr>
            <w:tcW w:w="34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4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316"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72"/>
        </w:trPr>
        <w:tc>
          <w:tcPr>
            <w:tcW w:w="1180" w:type="dxa"/>
            <w:vAlign w:val="bottom"/>
          </w:tcPr>
          <w:p>
            <w:pPr>
              <w:jc w:val="right"/>
              <w:ind w:right="666"/>
              <w:spacing w:after="0"/>
              <w:rPr>
                <w:sz w:val="20"/>
                <w:szCs w:val="20"/>
                <w:color w:val="auto"/>
              </w:rPr>
            </w:pPr>
            <w:r>
              <w:rPr>
                <w:rFonts w:ascii="Arial" w:cs="Arial" w:eastAsia="Arial" w:hAnsi="Arial"/>
                <w:sz w:val="15"/>
                <w:szCs w:val="15"/>
                <w:color w:val="auto"/>
              </w:rPr>
              <w:t>31.1*</w:t>
            </w:r>
          </w:p>
        </w:tc>
        <w:tc>
          <w:tcPr>
            <w:tcW w:w="10040" w:type="dxa"/>
            <w:vAlign w:val="bottom"/>
            <w:tcBorders>
              <w:bottom w:val="single" w:sz="8" w:color="0000EE"/>
            </w:tcBorders>
            <w:gridSpan w:val="3"/>
          </w:tcPr>
          <w:p>
            <w:pPr>
              <w:spacing w:after="0"/>
              <w:rPr>
                <w:rFonts w:ascii="Arial" w:cs="Arial" w:eastAsia="Arial" w:hAnsi="Arial"/>
                <w:sz w:val="15"/>
                <w:szCs w:val="15"/>
                <w:color w:val="0000EE"/>
                <w:w w:val="98"/>
              </w:rPr>
            </w:pPr>
            <w:hyperlink w:anchor="page242">
              <w:r>
                <w:rPr>
                  <w:rFonts w:ascii="Arial" w:cs="Arial" w:eastAsia="Arial" w:hAnsi="Arial"/>
                  <w:sz w:val="15"/>
                  <w:szCs w:val="15"/>
                  <w:color w:val="0000EE"/>
                  <w:w w:val="98"/>
                </w:rPr>
                <w:t>Certification of Principal Executive Officer Pursuant to Rules 13a-14(a) and 15d-14(a) under the Securities Exchange Act of 1934, as Adopted Pursuant to</w:t>
              </w:r>
            </w:hyperlink>
          </w:p>
        </w:tc>
      </w:tr>
      <w:tr>
        <w:trPr>
          <w:trHeight w:val="146"/>
        </w:trPr>
        <w:tc>
          <w:tcPr>
            <w:tcW w:w="1180" w:type="dxa"/>
            <w:vAlign w:val="bottom"/>
          </w:tcPr>
          <w:p>
            <w:pPr>
              <w:spacing w:after="0"/>
              <w:rPr>
                <w:sz w:val="12"/>
                <w:szCs w:val="12"/>
                <w:color w:val="auto"/>
              </w:rPr>
            </w:pPr>
          </w:p>
        </w:tc>
        <w:tc>
          <w:tcPr>
            <w:tcW w:w="10040" w:type="dxa"/>
            <w:vAlign w:val="bottom"/>
            <w:gridSpan w:val="3"/>
          </w:tcPr>
          <w:p>
            <w:pPr>
              <w:spacing w:after="0" w:line="146" w:lineRule="exact"/>
              <w:rPr>
                <w:rFonts w:ascii="Arial" w:cs="Arial" w:eastAsia="Arial" w:hAnsi="Arial"/>
                <w:sz w:val="15"/>
                <w:szCs w:val="15"/>
                <w:color w:val="0000EE"/>
              </w:rPr>
            </w:pPr>
            <w:hyperlink w:anchor="page242">
              <w:r>
                <w:rPr>
                  <w:rFonts w:ascii="Arial" w:cs="Arial" w:eastAsia="Arial" w:hAnsi="Arial"/>
                  <w:sz w:val="15"/>
                  <w:szCs w:val="15"/>
                  <w:color w:val="0000EE"/>
                </w:rPr>
                <w:t>Section 302 of the Sarbanes-Oxley Act of 2002.</w:t>
              </w:r>
            </w:hyperlink>
          </w:p>
        </w:tc>
      </w:tr>
      <w:tr>
        <w:trPr>
          <w:trHeight w:val="20"/>
        </w:trPr>
        <w:tc>
          <w:tcPr>
            <w:tcW w:w="118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69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6"/>
        </w:trPr>
        <w:tc>
          <w:tcPr>
            <w:tcW w:w="1180" w:type="dxa"/>
            <w:vAlign w:val="bottom"/>
          </w:tcPr>
          <w:p>
            <w:pPr>
              <w:jc w:val="right"/>
              <w:ind w:right="666"/>
              <w:spacing w:after="0"/>
              <w:rPr>
                <w:sz w:val="20"/>
                <w:szCs w:val="20"/>
                <w:color w:val="auto"/>
              </w:rPr>
            </w:pPr>
            <w:r>
              <w:rPr>
                <w:rFonts w:ascii="Arial" w:cs="Arial" w:eastAsia="Arial" w:hAnsi="Arial"/>
                <w:sz w:val="15"/>
                <w:szCs w:val="15"/>
                <w:color w:val="auto"/>
              </w:rPr>
              <w:t>31.2*</w:t>
            </w:r>
          </w:p>
        </w:tc>
        <w:tc>
          <w:tcPr>
            <w:tcW w:w="10000" w:type="dxa"/>
            <w:vAlign w:val="bottom"/>
            <w:tcBorders>
              <w:bottom w:val="single" w:sz="8" w:color="0000EE"/>
            </w:tcBorders>
            <w:gridSpan w:val="2"/>
          </w:tcPr>
          <w:p>
            <w:pPr>
              <w:spacing w:after="0"/>
              <w:rPr>
                <w:rFonts w:ascii="Arial" w:cs="Arial" w:eastAsia="Arial" w:hAnsi="Arial"/>
                <w:sz w:val="15"/>
                <w:szCs w:val="15"/>
                <w:color w:val="0000EE"/>
                <w:w w:val="98"/>
              </w:rPr>
            </w:pPr>
            <w:hyperlink w:anchor="page243">
              <w:r>
                <w:rPr>
                  <w:rFonts w:ascii="Arial" w:cs="Arial" w:eastAsia="Arial" w:hAnsi="Arial"/>
                  <w:sz w:val="15"/>
                  <w:szCs w:val="15"/>
                  <w:color w:val="0000EE"/>
                  <w:w w:val="98"/>
                </w:rPr>
                <w:t>Certification of Principal Financial Officer Pursuant to Rules 13a-14(a) and 15d-14(a) under the Securities Exchange Act of 1934, as Adopted Pursuant to</w:t>
              </w:r>
            </w:hyperlink>
          </w:p>
        </w:tc>
        <w:tc>
          <w:tcPr>
            <w:tcW w:w="40" w:type="dxa"/>
            <w:vAlign w:val="bottom"/>
          </w:tcPr>
          <w:p>
            <w:pPr>
              <w:spacing w:after="0"/>
              <w:rPr>
                <w:sz w:val="21"/>
                <w:szCs w:val="21"/>
                <w:color w:val="auto"/>
              </w:rPr>
            </w:pPr>
          </w:p>
        </w:tc>
      </w:tr>
      <w:tr>
        <w:trPr>
          <w:trHeight w:val="146"/>
        </w:trPr>
        <w:tc>
          <w:tcPr>
            <w:tcW w:w="1180" w:type="dxa"/>
            <w:vAlign w:val="bottom"/>
          </w:tcPr>
          <w:p>
            <w:pPr>
              <w:spacing w:after="0"/>
              <w:rPr>
                <w:sz w:val="12"/>
                <w:szCs w:val="12"/>
                <w:color w:val="auto"/>
              </w:rPr>
            </w:pPr>
          </w:p>
        </w:tc>
        <w:tc>
          <w:tcPr>
            <w:tcW w:w="10040" w:type="dxa"/>
            <w:vAlign w:val="bottom"/>
            <w:gridSpan w:val="3"/>
          </w:tcPr>
          <w:p>
            <w:pPr>
              <w:spacing w:after="0" w:line="146" w:lineRule="exact"/>
              <w:rPr>
                <w:rFonts w:ascii="Arial" w:cs="Arial" w:eastAsia="Arial" w:hAnsi="Arial"/>
                <w:sz w:val="15"/>
                <w:szCs w:val="15"/>
                <w:color w:val="0000EE"/>
              </w:rPr>
            </w:pPr>
            <w:hyperlink w:anchor="page243">
              <w:r>
                <w:rPr>
                  <w:rFonts w:ascii="Arial" w:cs="Arial" w:eastAsia="Arial" w:hAnsi="Arial"/>
                  <w:sz w:val="15"/>
                  <w:szCs w:val="15"/>
                  <w:color w:val="0000EE"/>
                </w:rPr>
                <w:t>Section 302 of the Sarbanes-Oxley Act of 2002</w:t>
              </w:r>
              <w:r>
                <w:rPr>
                  <w:rFonts w:ascii="Arial" w:cs="Arial" w:eastAsia="Arial" w:hAnsi="Arial"/>
                  <w:sz w:val="15"/>
                  <w:szCs w:val="15"/>
                  <w:color w:val="000000"/>
                </w:rPr>
                <w:t>.</w:t>
              </w:r>
            </w:hyperlink>
          </w:p>
        </w:tc>
      </w:tr>
      <w:tr>
        <w:trPr>
          <w:trHeight w:val="20"/>
        </w:trPr>
        <w:tc>
          <w:tcPr>
            <w:tcW w:w="118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r>
      <w:tr>
        <w:trPr>
          <w:trHeight w:val="279"/>
        </w:trPr>
        <w:tc>
          <w:tcPr>
            <w:tcW w:w="1180" w:type="dxa"/>
            <w:vAlign w:val="bottom"/>
          </w:tcPr>
          <w:p>
            <w:pPr>
              <w:jc w:val="right"/>
              <w:ind w:right="666"/>
              <w:spacing w:after="0"/>
              <w:rPr>
                <w:sz w:val="20"/>
                <w:szCs w:val="20"/>
                <w:color w:val="auto"/>
              </w:rPr>
            </w:pPr>
            <w:r>
              <w:rPr>
                <w:rFonts w:ascii="Arial" w:cs="Arial" w:eastAsia="Arial" w:hAnsi="Arial"/>
                <w:sz w:val="15"/>
                <w:szCs w:val="15"/>
                <w:color w:val="auto"/>
              </w:rPr>
              <w:t>32.1*</w:t>
            </w:r>
          </w:p>
        </w:tc>
        <w:tc>
          <w:tcPr>
            <w:tcW w:w="10040" w:type="dxa"/>
            <w:vAlign w:val="bottom"/>
            <w:gridSpan w:val="3"/>
          </w:tcPr>
          <w:p>
            <w:pPr>
              <w:spacing w:after="0"/>
              <w:rPr>
                <w:rFonts w:ascii="Arial" w:cs="Arial" w:eastAsia="Arial" w:hAnsi="Arial"/>
                <w:sz w:val="15"/>
                <w:szCs w:val="15"/>
                <w:color w:val="0000EE"/>
                <w:w w:val="99"/>
              </w:rPr>
            </w:pPr>
            <w:hyperlink w:anchor="page244">
              <w:r>
                <w:rPr>
                  <w:rFonts w:ascii="Arial" w:cs="Arial" w:eastAsia="Arial" w:hAnsi="Arial"/>
                  <w:sz w:val="15"/>
                  <w:szCs w:val="15"/>
                  <w:u w:val="single" w:color="auto"/>
                  <w:color w:val="0000EE"/>
                  <w:w w:val="99"/>
                </w:rPr>
                <w:t>Certification of Principal Executive Officer Pursuant to 18 U.S.C. Section 1350, as Adopted Pursuant to Section 906 of the Sarbanes-Oxley Act of 2002</w:t>
              </w:r>
            </w:hyperlink>
            <w:r>
              <w:rPr>
                <w:rFonts w:ascii="Arial" w:cs="Arial" w:eastAsia="Arial" w:hAnsi="Arial"/>
                <w:sz w:val="15"/>
                <w:szCs w:val="15"/>
                <w:color w:val="000000"/>
                <w:w w:val="99"/>
              </w:rPr>
              <w:t>.</w:t>
            </w:r>
          </w:p>
        </w:tc>
      </w:tr>
      <w:tr>
        <w:trPr>
          <w:trHeight w:val="299"/>
        </w:trPr>
        <w:tc>
          <w:tcPr>
            <w:tcW w:w="1180" w:type="dxa"/>
            <w:vAlign w:val="bottom"/>
          </w:tcPr>
          <w:p>
            <w:pPr>
              <w:jc w:val="right"/>
              <w:ind w:right="666"/>
              <w:spacing w:after="0"/>
              <w:rPr>
                <w:sz w:val="20"/>
                <w:szCs w:val="20"/>
                <w:color w:val="auto"/>
              </w:rPr>
            </w:pPr>
            <w:r>
              <w:rPr>
                <w:rFonts w:ascii="Arial" w:cs="Arial" w:eastAsia="Arial" w:hAnsi="Arial"/>
                <w:sz w:val="15"/>
                <w:szCs w:val="15"/>
                <w:color w:val="auto"/>
              </w:rPr>
              <w:t>32.2*</w:t>
            </w:r>
          </w:p>
        </w:tc>
        <w:tc>
          <w:tcPr>
            <w:tcW w:w="10040" w:type="dxa"/>
            <w:vAlign w:val="bottom"/>
            <w:gridSpan w:val="3"/>
          </w:tcPr>
          <w:p>
            <w:pPr>
              <w:spacing w:after="0"/>
              <w:rPr>
                <w:rFonts w:ascii="Arial" w:cs="Arial" w:eastAsia="Arial" w:hAnsi="Arial"/>
                <w:sz w:val="15"/>
                <w:szCs w:val="15"/>
                <w:color w:val="0000EE"/>
              </w:rPr>
            </w:pPr>
            <w:hyperlink w:anchor="page244">
              <w:r>
                <w:rPr>
                  <w:rFonts w:ascii="Arial" w:cs="Arial" w:eastAsia="Arial" w:hAnsi="Arial"/>
                  <w:sz w:val="15"/>
                  <w:szCs w:val="15"/>
                  <w:u w:val="single" w:color="auto"/>
                  <w:color w:val="0000EE"/>
                </w:rPr>
                <w:t>Certification of Principal Financial Officer Pursuant to 18 U.S.C. Section 1350, as Adopted Pursuant to Section 906 of the Sarbanes-Oxley Act of 2002</w:t>
              </w:r>
            </w:hyperlink>
            <w:r>
              <w:rPr>
                <w:rFonts w:ascii="Arial" w:cs="Arial" w:eastAsia="Arial" w:hAnsi="Arial"/>
                <w:sz w:val="15"/>
                <w:szCs w:val="15"/>
                <w:color w:val="000000"/>
              </w:rPr>
              <w:t>.</w:t>
            </w:r>
          </w:p>
        </w:tc>
      </w:tr>
      <w:tr>
        <w:trPr>
          <w:trHeight w:val="288"/>
        </w:trPr>
        <w:tc>
          <w:tcPr>
            <w:tcW w:w="1180" w:type="dxa"/>
            <w:vAlign w:val="bottom"/>
          </w:tcPr>
          <w:p>
            <w:pPr>
              <w:jc w:val="right"/>
              <w:ind w:right="786"/>
              <w:spacing w:after="0"/>
              <w:rPr>
                <w:sz w:val="20"/>
                <w:szCs w:val="20"/>
                <w:color w:val="auto"/>
              </w:rPr>
            </w:pPr>
            <w:r>
              <w:rPr>
                <w:rFonts w:ascii="Arial" w:cs="Arial" w:eastAsia="Arial" w:hAnsi="Arial"/>
                <w:sz w:val="15"/>
                <w:szCs w:val="15"/>
                <w:color w:val="auto"/>
                <w:w w:val="97"/>
              </w:rPr>
              <w:t>101*</w:t>
            </w:r>
          </w:p>
        </w:tc>
        <w:tc>
          <w:tcPr>
            <w:tcW w:w="10040" w:type="dxa"/>
            <w:vAlign w:val="bottom"/>
            <w:gridSpan w:val="3"/>
          </w:tcPr>
          <w:p>
            <w:pPr>
              <w:spacing w:after="0"/>
              <w:rPr>
                <w:sz w:val="20"/>
                <w:szCs w:val="20"/>
                <w:color w:val="auto"/>
              </w:rPr>
            </w:pPr>
            <w:r>
              <w:rPr>
                <w:rFonts w:ascii="Arial" w:cs="Arial" w:eastAsia="Arial" w:hAnsi="Arial"/>
                <w:sz w:val="15"/>
                <w:szCs w:val="15"/>
                <w:color w:val="auto"/>
                <w:w w:val="98"/>
              </w:rPr>
              <w:t>The following financial statements from the Company’s Annual Report on Form 10-K for the year ended December 31, 2020, formatted in Inline XBRL: (i)</w:t>
            </w:r>
          </w:p>
        </w:tc>
      </w:tr>
      <w:tr>
        <w:trPr>
          <w:trHeight w:val="166"/>
        </w:trPr>
        <w:tc>
          <w:tcPr>
            <w:tcW w:w="1180" w:type="dxa"/>
            <w:vAlign w:val="bottom"/>
          </w:tcPr>
          <w:p>
            <w:pPr>
              <w:spacing w:after="0"/>
              <w:rPr>
                <w:sz w:val="14"/>
                <w:szCs w:val="14"/>
                <w:color w:val="auto"/>
              </w:rPr>
            </w:pPr>
          </w:p>
        </w:tc>
        <w:tc>
          <w:tcPr>
            <w:tcW w:w="10040" w:type="dxa"/>
            <w:vAlign w:val="bottom"/>
            <w:gridSpan w:val="3"/>
          </w:tcPr>
          <w:p>
            <w:pPr>
              <w:spacing w:after="0" w:line="167" w:lineRule="exact"/>
              <w:rPr>
                <w:sz w:val="20"/>
                <w:szCs w:val="20"/>
                <w:color w:val="auto"/>
              </w:rPr>
            </w:pPr>
            <w:r>
              <w:rPr>
                <w:rFonts w:ascii="Arial" w:cs="Arial" w:eastAsia="Arial" w:hAnsi="Arial"/>
                <w:sz w:val="15"/>
                <w:szCs w:val="15"/>
                <w:color w:val="auto"/>
                <w:w w:val="98"/>
              </w:rPr>
              <w:t>Consolidated Balance Sheets, (ii) Consolidated Statements of Earnings, (iii) Consolidated Statements of Comprehensive Income (Loss), (iv) Consolidated</w:t>
            </w:r>
          </w:p>
        </w:tc>
      </w:tr>
      <w:tr>
        <w:trPr>
          <w:trHeight w:val="166"/>
        </w:trPr>
        <w:tc>
          <w:tcPr>
            <w:tcW w:w="1180" w:type="dxa"/>
            <w:vAlign w:val="bottom"/>
          </w:tcPr>
          <w:p>
            <w:pPr>
              <w:spacing w:after="0"/>
              <w:rPr>
                <w:sz w:val="14"/>
                <w:szCs w:val="14"/>
                <w:color w:val="auto"/>
              </w:rPr>
            </w:pPr>
          </w:p>
        </w:tc>
        <w:tc>
          <w:tcPr>
            <w:tcW w:w="10040" w:type="dxa"/>
            <w:vAlign w:val="bottom"/>
            <w:gridSpan w:val="3"/>
          </w:tcPr>
          <w:p>
            <w:pPr>
              <w:spacing w:after="0" w:line="167" w:lineRule="exact"/>
              <w:rPr>
                <w:sz w:val="20"/>
                <w:szCs w:val="20"/>
                <w:color w:val="auto"/>
              </w:rPr>
            </w:pPr>
            <w:r>
              <w:rPr>
                <w:rFonts w:ascii="Arial" w:cs="Arial" w:eastAsia="Arial" w:hAnsi="Arial"/>
                <w:sz w:val="15"/>
                <w:szCs w:val="15"/>
                <w:color w:val="auto"/>
                <w:w w:val="98"/>
              </w:rPr>
              <w:t>Statements of Stockholders’ Equity, (v) Consolidated Statements of Cash Flows and (vi) Notes to Consolidated Financial Statements, tagged as blocks of</w:t>
            </w:r>
          </w:p>
        </w:tc>
      </w:tr>
      <w:tr>
        <w:trPr>
          <w:trHeight w:val="178"/>
        </w:trPr>
        <w:tc>
          <w:tcPr>
            <w:tcW w:w="1180" w:type="dxa"/>
            <w:vAlign w:val="bottom"/>
          </w:tcPr>
          <w:p>
            <w:pPr>
              <w:spacing w:after="0"/>
              <w:rPr>
                <w:sz w:val="15"/>
                <w:szCs w:val="15"/>
                <w:color w:val="auto"/>
              </w:rPr>
            </w:pPr>
          </w:p>
        </w:tc>
        <w:tc>
          <w:tcPr>
            <w:tcW w:w="10040" w:type="dxa"/>
            <w:vAlign w:val="bottom"/>
            <w:gridSpan w:val="3"/>
          </w:tcPr>
          <w:p>
            <w:pPr>
              <w:spacing w:after="0"/>
              <w:rPr>
                <w:sz w:val="20"/>
                <w:szCs w:val="20"/>
                <w:color w:val="auto"/>
              </w:rPr>
            </w:pPr>
            <w:r>
              <w:rPr>
                <w:rFonts w:ascii="Arial" w:cs="Arial" w:eastAsia="Arial" w:hAnsi="Arial"/>
                <w:sz w:val="15"/>
                <w:szCs w:val="15"/>
                <w:color w:val="auto"/>
              </w:rPr>
              <w:t>text and including detailed tags.</w:t>
            </w:r>
          </w:p>
        </w:tc>
      </w:tr>
      <w:tr>
        <w:trPr>
          <w:trHeight w:val="266"/>
        </w:trPr>
        <w:tc>
          <w:tcPr>
            <w:tcW w:w="1180" w:type="dxa"/>
            <w:vAlign w:val="bottom"/>
          </w:tcPr>
          <w:p>
            <w:pPr>
              <w:jc w:val="right"/>
              <w:ind w:right="786"/>
              <w:spacing w:after="0"/>
              <w:rPr>
                <w:sz w:val="20"/>
                <w:szCs w:val="20"/>
                <w:color w:val="auto"/>
              </w:rPr>
            </w:pPr>
            <w:r>
              <w:rPr>
                <w:rFonts w:ascii="Arial" w:cs="Arial" w:eastAsia="Arial" w:hAnsi="Arial"/>
                <w:sz w:val="15"/>
                <w:szCs w:val="15"/>
                <w:color w:val="auto"/>
                <w:w w:val="97"/>
              </w:rPr>
              <w:t>104*</w:t>
            </w:r>
          </w:p>
        </w:tc>
        <w:tc>
          <w:tcPr>
            <w:tcW w:w="10040" w:type="dxa"/>
            <w:vAlign w:val="bottom"/>
            <w:gridSpan w:val="3"/>
          </w:tcPr>
          <w:p>
            <w:pPr>
              <w:spacing w:after="0"/>
              <w:rPr>
                <w:sz w:val="20"/>
                <w:szCs w:val="20"/>
                <w:color w:val="auto"/>
              </w:rPr>
            </w:pPr>
            <w:r>
              <w:rPr>
                <w:rFonts w:ascii="Arial" w:cs="Arial" w:eastAsia="Arial" w:hAnsi="Arial"/>
                <w:sz w:val="15"/>
                <w:szCs w:val="15"/>
                <w:color w:val="auto"/>
              </w:rPr>
              <w:t>Cover Page Interactive Data File (formatted as inline XBRL with applicable taxonomy extension information contained in Exhibits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337820</wp:posOffset>
            </wp:positionV>
            <wp:extent cx="109791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5">
                      <a:extLst>
                        <a:ext uri="{28A0092B-C50C-407E-A947-70E740481C1C}"/>
                      </a:extLst>
                    </a:blip>
                    <a:srcRect/>
                    <a:stretch>
                      <a:fillRect/>
                    </a:stretch>
                  </pic:blipFill>
                  <pic:spPr bwMode="auto">
                    <a:xfrm>
                      <a:off x="0" y="0"/>
                      <a:ext cx="1097915" cy="698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0" w:hanging="591"/>
        <w:spacing w:after="0"/>
        <w:tabs>
          <w:tab w:leader="none" w:pos="600" w:val="left"/>
        </w:tabs>
        <w:numPr>
          <w:ilvl w:val="0"/>
          <w:numId w:val="45"/>
        </w:numPr>
        <w:rPr>
          <w:rFonts w:ascii="Arial" w:cs="Arial" w:eastAsia="Arial" w:hAnsi="Arial"/>
          <w:sz w:val="18"/>
          <w:szCs w:val="18"/>
          <w:color w:val="auto"/>
        </w:rPr>
      </w:pPr>
      <w:r>
        <w:rPr>
          <w:rFonts w:ascii="Arial" w:cs="Arial" w:eastAsia="Arial" w:hAnsi="Arial"/>
          <w:sz w:val="15"/>
          <w:szCs w:val="15"/>
          <w:color w:val="auto"/>
        </w:rPr>
        <w:t>Filed herewith</w:t>
      </w:r>
      <w:r>
        <w:rPr>
          <w:rFonts w:ascii="Arial" w:cs="Arial" w:eastAsia="Arial" w:hAnsi="Arial"/>
          <w:sz w:val="17"/>
          <w:szCs w:val="17"/>
          <w:color w:val="auto"/>
        </w:rPr>
        <w:t>.</w:t>
      </w:r>
    </w:p>
    <w:p>
      <w:pPr>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4"/>
          <w:szCs w:val="14"/>
          <w:color w:val="auto"/>
        </w:rPr>
        <w:t>Previously filed.</w:t>
      </w:r>
    </w:p>
    <w:p>
      <w:pPr>
        <w:spacing w:after="0"/>
        <w:rPr>
          <w:rFonts w:ascii="Arial" w:cs="Arial" w:eastAsia="Arial" w:hAnsi="Arial"/>
          <w:sz w:val="18"/>
          <w:szCs w:val="18"/>
          <w:color w:val="auto"/>
        </w:rPr>
      </w:pPr>
      <w:r>
        <w:rPr>
          <w:rFonts w:ascii="Arial" w:cs="Arial" w:eastAsia="Arial" w:hAnsi="Arial"/>
          <w:sz w:val="15"/>
          <w:szCs w:val="15"/>
          <w:color w:val="auto"/>
        </w:rPr>
        <w:t>+</w:t>
      </w:r>
      <w:r>
        <w:rPr>
          <w:rFonts w:ascii="Arial" w:cs="Arial" w:eastAsia="Arial" w:hAnsi="Arial"/>
          <w:sz w:val="14"/>
          <w:szCs w:val="14"/>
          <w:color w:val="auto"/>
        </w:rPr>
        <w:t>Indicates a management contract or compensatory plan or arrangement.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20"/>
          </w:cols>
          <w:pgMar w:left="300" w:top="288" w:right="379" w:bottom="1440" w:gutter="0" w:footer="0" w:header="0"/>
        </w:sectPr>
      </w:pPr>
    </w:p>
    <w:bookmarkStart w:id="91" w:name="page92"/>
    <w:bookmarkEnd w:id="91"/>
    <w:p>
      <w:pPr>
        <w:jc w:val="center"/>
        <w:spacing w:after="0"/>
        <w:rPr>
          <w:sz w:val="20"/>
          <w:szCs w:val="20"/>
          <w:color w:val="auto"/>
        </w:rPr>
      </w:pPr>
      <w:r>
        <w:rPr>
          <w:rFonts w:ascii="Arial" w:cs="Arial" w:eastAsia="Arial" w:hAnsi="Arial"/>
          <w:sz w:val="15"/>
          <w:szCs w:val="15"/>
          <w:b w:val="1"/>
          <w:bCs w:val="1"/>
          <w:color w:val="auto"/>
        </w:rPr>
        <w:t>SIGNATURES</w:t>
      </w:r>
    </w:p>
    <w:p>
      <w:pPr>
        <w:spacing w:after="0" w:line="189" w:lineRule="exact"/>
        <w:rPr>
          <w:sz w:val="20"/>
          <w:szCs w:val="20"/>
          <w:color w:val="auto"/>
        </w:rPr>
      </w:pPr>
    </w:p>
    <w:p>
      <w:pPr>
        <w:ind w:right="120" w:firstLine="591"/>
        <w:spacing w:after="0" w:line="239" w:lineRule="auto"/>
        <w:rPr>
          <w:sz w:val="20"/>
          <w:szCs w:val="20"/>
          <w:color w:val="auto"/>
        </w:rPr>
      </w:pPr>
      <w:r>
        <w:rPr>
          <w:rFonts w:ascii="Arial" w:cs="Arial" w:eastAsia="Arial" w:hAnsi="Arial"/>
          <w:sz w:val="15"/>
          <w:szCs w:val="15"/>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5"/>
          <w:szCs w:val="15"/>
          <w:b w:val="1"/>
          <w:bCs w:val="1"/>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20" w:type="dxa"/>
            <w:vAlign w:val="bottom"/>
          </w:tcPr>
          <w:p>
            <w:pPr>
              <w:spacing w:after="0"/>
              <w:rPr>
                <w:sz w:val="15"/>
                <w:szCs w:val="15"/>
                <w:color w:val="auto"/>
              </w:rPr>
            </w:pPr>
          </w:p>
        </w:tc>
        <w:tc>
          <w:tcPr>
            <w:tcW w:w="3440" w:type="dxa"/>
            <w:vAlign w:val="bottom"/>
            <w:gridSpan w:val="2"/>
          </w:tcPr>
          <w:p>
            <w:pPr>
              <w:ind w:left="2020"/>
              <w:spacing w:after="0"/>
              <w:rPr>
                <w:sz w:val="20"/>
                <w:szCs w:val="20"/>
                <w:color w:val="auto"/>
              </w:rPr>
            </w:pPr>
            <w:r>
              <w:rPr>
                <w:rFonts w:ascii="Arial" w:cs="Arial" w:eastAsia="Arial" w:hAnsi="Arial"/>
                <w:sz w:val="15"/>
                <w:szCs w:val="15"/>
                <w:color w:val="auto"/>
              </w:rPr>
              <w:t>Company Name</w:t>
            </w:r>
          </w:p>
        </w:tc>
        <w:tc>
          <w:tcPr>
            <w:tcW w:w="4220" w:type="dxa"/>
            <w:vAlign w:val="bottom"/>
          </w:tcPr>
          <w:p>
            <w:pPr>
              <w:spacing w:after="0"/>
              <w:rPr>
                <w:sz w:val="15"/>
                <w:szCs w:val="15"/>
                <w:color w:val="auto"/>
              </w:rPr>
            </w:pPr>
          </w:p>
        </w:tc>
      </w:tr>
      <w:tr>
        <w:trPr>
          <w:trHeight w:val="344"/>
        </w:trPr>
        <w:tc>
          <w:tcPr>
            <w:tcW w:w="3620" w:type="dxa"/>
            <w:vAlign w:val="bottom"/>
          </w:tcPr>
          <w:p>
            <w:pPr>
              <w:spacing w:after="0"/>
              <w:rPr>
                <w:sz w:val="20"/>
                <w:szCs w:val="20"/>
                <w:color w:val="auto"/>
              </w:rPr>
            </w:pPr>
            <w:r>
              <w:rPr>
                <w:rFonts w:ascii="Arial" w:cs="Arial" w:eastAsia="Arial" w:hAnsi="Arial"/>
                <w:sz w:val="15"/>
                <w:szCs w:val="15"/>
                <w:color w:val="auto"/>
              </w:rPr>
              <w:t>Date: February 24, 2021</w:t>
            </w:r>
          </w:p>
        </w:tc>
        <w:tc>
          <w:tcPr>
            <w:tcW w:w="3440" w:type="dxa"/>
            <w:vAlign w:val="bottom"/>
            <w:gridSpan w:val="2"/>
          </w:tcPr>
          <w:p>
            <w:pPr>
              <w:ind w:left="2020"/>
              <w:spacing w:after="0"/>
              <w:rPr>
                <w:sz w:val="20"/>
                <w:szCs w:val="20"/>
                <w:color w:val="auto"/>
              </w:rPr>
            </w:pPr>
            <w:r>
              <w:rPr>
                <w:rFonts w:ascii="Arial" w:cs="Arial" w:eastAsia="Arial" w:hAnsi="Arial"/>
                <w:sz w:val="15"/>
                <w:szCs w:val="15"/>
                <w:color w:val="auto"/>
              </w:rPr>
              <w:t>By:</w:t>
            </w:r>
          </w:p>
        </w:tc>
        <w:tc>
          <w:tcPr>
            <w:tcW w:w="4220" w:type="dxa"/>
            <w:vAlign w:val="bottom"/>
          </w:tcPr>
          <w:p>
            <w:pPr>
              <w:jc w:val="center"/>
              <w:ind w:right="1126"/>
              <w:spacing w:after="0"/>
              <w:rPr>
                <w:sz w:val="20"/>
                <w:szCs w:val="20"/>
                <w:color w:val="auto"/>
              </w:rPr>
            </w:pPr>
            <w:r>
              <w:rPr>
                <w:rFonts w:ascii="Arial" w:cs="Arial" w:eastAsia="Arial" w:hAnsi="Arial"/>
                <w:sz w:val="15"/>
                <w:szCs w:val="15"/>
                <w:color w:val="auto"/>
                <w:w w:val="99"/>
              </w:rPr>
              <w:t>/s/ Charles L. Harrington</w:t>
            </w:r>
          </w:p>
        </w:tc>
      </w:tr>
      <w:tr>
        <w:trPr>
          <w:trHeight w:val="179"/>
        </w:trPr>
        <w:tc>
          <w:tcPr>
            <w:tcW w:w="3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tcPr>
          <w:p>
            <w:pPr>
              <w:jc w:val="center"/>
              <w:ind w:right="1126"/>
              <w:spacing w:after="0"/>
              <w:rPr>
                <w:sz w:val="20"/>
                <w:szCs w:val="20"/>
                <w:color w:val="auto"/>
              </w:rPr>
            </w:pPr>
            <w:r>
              <w:rPr>
                <w:rFonts w:ascii="Arial" w:cs="Arial" w:eastAsia="Arial" w:hAnsi="Arial"/>
                <w:sz w:val="15"/>
                <w:szCs w:val="15"/>
                <w:color w:val="auto"/>
                <w:w w:val="99"/>
              </w:rPr>
              <w:t>Charles L Harrington</w:t>
            </w:r>
          </w:p>
        </w:tc>
      </w:tr>
      <w:tr>
        <w:trPr>
          <w:trHeight w:val="210"/>
        </w:trPr>
        <w:tc>
          <w:tcPr>
            <w:tcW w:w="3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220" w:type="dxa"/>
            <w:vAlign w:val="bottom"/>
          </w:tcPr>
          <w:p>
            <w:pPr>
              <w:jc w:val="center"/>
              <w:ind w:right="1126"/>
              <w:spacing w:after="0"/>
              <w:rPr>
                <w:sz w:val="20"/>
                <w:szCs w:val="20"/>
                <w:color w:val="auto"/>
              </w:rPr>
            </w:pPr>
            <w:r>
              <w:rPr>
                <w:rFonts w:ascii="Arial" w:cs="Arial" w:eastAsia="Arial" w:hAnsi="Arial"/>
                <w:sz w:val="15"/>
                <w:szCs w:val="15"/>
                <w:color w:val="auto"/>
                <w:w w:val="98"/>
              </w:rPr>
              <w:t>Chief Executive Officer and Director</w:t>
            </w:r>
          </w:p>
        </w:tc>
      </w:tr>
      <w:tr>
        <w:trPr>
          <w:trHeight w:val="178"/>
        </w:trPr>
        <w:tc>
          <w:tcPr>
            <w:tcW w:w="36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20" w:type="dxa"/>
            <w:vAlign w:val="bottom"/>
          </w:tcPr>
          <w:p>
            <w:pPr>
              <w:jc w:val="center"/>
              <w:ind w:right="1126"/>
              <w:spacing w:after="0"/>
              <w:rPr>
                <w:sz w:val="20"/>
                <w:szCs w:val="20"/>
                <w:color w:val="auto"/>
              </w:rPr>
            </w:pPr>
            <w:r>
              <w:rPr>
                <w:rFonts w:ascii="Arial" w:cs="Arial" w:eastAsia="Arial" w:hAnsi="Arial"/>
                <w:sz w:val="15"/>
                <w:szCs w:val="15"/>
                <w:color w:val="auto"/>
                <w:w w:val="98"/>
              </w:rPr>
              <w:t>(Principal Executive Officer)</w:t>
            </w:r>
          </w:p>
        </w:tc>
      </w:tr>
    </w:tbl>
    <w:p>
      <w:pPr>
        <w:spacing w:after="0" w:line="188" w:lineRule="exact"/>
        <w:rPr>
          <w:sz w:val="20"/>
          <w:szCs w:val="20"/>
          <w:color w:val="auto"/>
        </w:rPr>
      </w:pPr>
    </w:p>
    <w:p>
      <w:pPr>
        <w:ind w:right="260" w:firstLine="591"/>
        <w:spacing w:after="0" w:line="239" w:lineRule="auto"/>
        <w:rPr>
          <w:sz w:val="20"/>
          <w:szCs w:val="20"/>
          <w:color w:val="auto"/>
        </w:rPr>
      </w:pPr>
      <w:r>
        <w:rPr>
          <w:rFonts w:ascii="Arial" w:cs="Arial" w:eastAsia="Arial" w:hAnsi="Arial"/>
          <w:sz w:val="15"/>
          <w:szCs w:val="15"/>
          <w:color w:val="auto"/>
        </w:rPr>
        <w:t>Pursuant to the requirements of the Securities Exchange Act of 1934, as amended, this Report has been signed below by the following persons on behalf of the Registrant in the capacities and on the dates indicated.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Name</w:t>
            </w:r>
          </w:p>
        </w:tc>
        <w:tc>
          <w:tcPr>
            <w:tcW w:w="120" w:type="dxa"/>
            <w:vAlign w:val="bottom"/>
          </w:tcPr>
          <w:p>
            <w:pPr>
              <w:spacing w:after="0"/>
              <w:rPr>
                <w:sz w:val="14"/>
                <w:szCs w:val="14"/>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Title</w:t>
            </w:r>
          </w:p>
        </w:tc>
        <w:tc>
          <w:tcPr>
            <w:tcW w:w="120" w:type="dxa"/>
            <w:vAlign w:val="bottom"/>
          </w:tcPr>
          <w:p>
            <w:pPr>
              <w:spacing w:after="0"/>
              <w:rPr>
                <w:sz w:val="14"/>
                <w:szCs w:val="14"/>
                <w:color w:val="auto"/>
              </w:rPr>
            </w:pPr>
          </w:p>
        </w:tc>
        <w:tc>
          <w:tcPr>
            <w:tcW w:w="2700" w:type="dxa"/>
            <w:vAlign w:val="bottom"/>
            <w:tcBorders>
              <w:bottom w:val="single" w:sz="8" w:color="auto"/>
            </w:tcBorders>
          </w:tcPr>
          <w:p>
            <w:pPr>
              <w:ind w:left="1180"/>
              <w:spacing w:after="0"/>
              <w:rPr>
                <w:sz w:val="20"/>
                <w:szCs w:val="20"/>
                <w:color w:val="auto"/>
              </w:rPr>
            </w:pPr>
            <w:r>
              <w:rPr>
                <w:rFonts w:ascii="Arial" w:cs="Arial" w:eastAsia="Arial" w:hAnsi="Arial"/>
                <w:sz w:val="15"/>
                <w:szCs w:val="15"/>
                <w:color w:val="auto"/>
              </w:rPr>
              <w:t>Date</w:t>
            </w:r>
          </w:p>
        </w:tc>
      </w:tr>
      <w:tr>
        <w:trPr>
          <w:trHeight w:val="246"/>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Charles L. Harrington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Chief Executive Officer and 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179"/>
        </w:trPr>
        <w:tc>
          <w:tcPr>
            <w:tcW w:w="2720" w:type="dxa"/>
            <w:vAlign w:val="bottom"/>
          </w:tcPr>
          <w:p>
            <w:pPr>
              <w:jc w:val="center"/>
              <w:spacing w:after="0"/>
              <w:rPr>
                <w:sz w:val="20"/>
                <w:szCs w:val="20"/>
                <w:color w:val="auto"/>
              </w:rPr>
            </w:pPr>
            <w:r>
              <w:rPr>
                <w:rFonts w:ascii="Arial" w:cs="Arial" w:eastAsia="Arial" w:hAnsi="Arial"/>
                <w:sz w:val="15"/>
                <w:szCs w:val="15"/>
                <w:color w:val="auto"/>
                <w:w w:val="98"/>
              </w:rPr>
              <w:t>Charles L. Harrington</w:t>
            </w:r>
          </w:p>
        </w:tc>
        <w:tc>
          <w:tcPr>
            <w:tcW w:w="12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(Principal Executive Officer)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George L. Ball</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7"/>
              </w:rPr>
              <w:t>Chief Financial Officer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179"/>
        </w:trPr>
        <w:tc>
          <w:tcPr>
            <w:tcW w:w="2720" w:type="dxa"/>
            <w:vAlign w:val="bottom"/>
          </w:tcPr>
          <w:p>
            <w:pPr>
              <w:jc w:val="center"/>
              <w:spacing w:after="0"/>
              <w:rPr>
                <w:sz w:val="20"/>
                <w:szCs w:val="20"/>
                <w:color w:val="auto"/>
              </w:rPr>
            </w:pPr>
            <w:r>
              <w:rPr>
                <w:rFonts w:ascii="Arial" w:cs="Arial" w:eastAsia="Arial" w:hAnsi="Arial"/>
                <w:sz w:val="15"/>
                <w:szCs w:val="15"/>
                <w:color w:val="auto"/>
                <w:w w:val="97"/>
              </w:rPr>
              <w:t>George L. Ball</w:t>
            </w:r>
          </w:p>
        </w:tc>
        <w:tc>
          <w:tcPr>
            <w:tcW w:w="120" w:type="dxa"/>
            <w:vAlign w:val="bottom"/>
          </w:tcPr>
          <w:p>
            <w:pPr>
              <w:spacing w:after="0"/>
              <w:rPr>
                <w:sz w:val="15"/>
                <w:szCs w:val="15"/>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(Principal Financial and Accounting Officer)</w:t>
            </w: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322"/>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Mark K. Holdsworth</w:t>
            </w:r>
          </w:p>
        </w:tc>
        <w:tc>
          <w:tcPr>
            <w:tcW w:w="120" w:type="dxa"/>
            <w:vAlign w:val="bottom"/>
          </w:tcPr>
          <w:p>
            <w:pPr>
              <w:spacing w:after="0"/>
              <w:rPr>
                <w:sz w:val="24"/>
                <w:szCs w:val="24"/>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Mark K. Holdsworth</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/s/ Steven F. Leer</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Steven F. Leer</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Letitia A. Long</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Letitia A. Long</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Darren W. McDew</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Darren W. McDew</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James F. McGovern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James F. McGovern</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Harry T. McMahon</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6"/>
              </w:rPr>
              <w:t>Harry T. McMahon</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M. Christian Mitchell</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M. Christian Mitchell</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/s/ Carey A. Smith</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President and Chief Operating Officer and 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9"/>
              </w:rPr>
              <w:t>Carey A. Smith</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7"/>
              </w:rPr>
              <w:t>/s/ Suzanne M. Vautrinot</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7"/>
              </w:rPr>
              <w:t>Suzanne M. Vautrinot</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44"/>
        </w:trPr>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8"/>
              </w:rPr>
              <w:t>/s/ David C. Wajsgras</w:t>
            </w:r>
          </w:p>
        </w:tc>
        <w:tc>
          <w:tcPr>
            <w:tcW w:w="120" w:type="dxa"/>
            <w:vAlign w:val="bottom"/>
          </w:tcPr>
          <w:p>
            <w:pPr>
              <w:spacing w:after="0"/>
              <w:rPr>
                <w:sz w:val="21"/>
                <w:szCs w:val="21"/>
                <w:color w:val="auto"/>
              </w:rPr>
            </w:pPr>
          </w:p>
        </w:tc>
        <w:tc>
          <w:tcPr>
            <w:tcW w:w="5620" w:type="dxa"/>
            <w:vAlign w:val="bottom"/>
          </w:tcPr>
          <w:p>
            <w:pPr>
              <w:jc w:val="center"/>
              <w:spacing w:after="0"/>
              <w:rPr>
                <w:sz w:val="20"/>
                <w:szCs w:val="20"/>
                <w:color w:val="auto"/>
              </w:rPr>
            </w:pPr>
            <w:r>
              <w:rPr>
                <w:rFonts w:ascii="Arial" w:cs="Arial" w:eastAsia="Arial" w:hAnsi="Arial"/>
                <w:sz w:val="15"/>
                <w:szCs w:val="15"/>
                <w:color w:val="auto"/>
                <w:w w:val="98"/>
              </w:rPr>
              <w:t>Director</w:t>
            </w:r>
          </w:p>
        </w:tc>
        <w:tc>
          <w:tcPr>
            <w:tcW w:w="2820" w:type="dxa"/>
            <w:vAlign w:val="bottom"/>
            <w:gridSpan w:val="2"/>
          </w:tcPr>
          <w:p>
            <w:pPr>
              <w:ind w:left="120"/>
              <w:spacing w:after="0"/>
              <w:rPr>
                <w:sz w:val="20"/>
                <w:szCs w:val="20"/>
                <w:color w:val="auto"/>
              </w:rPr>
            </w:pPr>
            <w:r>
              <w:rPr>
                <w:rFonts w:ascii="Arial" w:cs="Arial" w:eastAsia="Arial" w:hAnsi="Arial"/>
                <w:sz w:val="15"/>
                <w:szCs w:val="15"/>
                <w:color w:val="auto"/>
              </w:rPr>
              <w:t>February 24, 2021</w:t>
            </w:r>
          </w:p>
        </w:tc>
      </w:tr>
      <w:tr>
        <w:trPr>
          <w:trHeight w:val="212"/>
        </w:trPr>
        <w:tc>
          <w:tcPr>
            <w:tcW w:w="2720" w:type="dxa"/>
            <w:vAlign w:val="bottom"/>
          </w:tcPr>
          <w:p>
            <w:pPr>
              <w:jc w:val="center"/>
              <w:spacing w:after="0"/>
              <w:rPr>
                <w:sz w:val="20"/>
                <w:szCs w:val="20"/>
                <w:color w:val="auto"/>
              </w:rPr>
            </w:pPr>
            <w:r>
              <w:rPr>
                <w:rFonts w:ascii="Arial" w:cs="Arial" w:eastAsia="Arial" w:hAnsi="Arial"/>
                <w:sz w:val="15"/>
                <w:szCs w:val="15"/>
                <w:color w:val="auto"/>
                <w:w w:val="98"/>
              </w:rPr>
              <w:t>David C. Wajsgras</w:t>
            </w:r>
          </w:p>
        </w:tc>
        <w:tc>
          <w:tcPr>
            <w:tcW w:w="1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720"/>
        </w:trPr>
        <w:tc>
          <w:tcPr>
            <w:tcW w:w="2720" w:type="dxa"/>
            <w:vAlign w:val="bottom"/>
          </w:tcPr>
          <w:p>
            <w:pPr>
              <w:spacing w:after="0"/>
              <w:rPr>
                <w:sz w:val="24"/>
                <w:szCs w:val="24"/>
                <w:color w:val="auto"/>
              </w:rPr>
            </w:pPr>
          </w:p>
        </w:tc>
        <w:tc>
          <w:tcPr>
            <w:tcW w:w="5740" w:type="dxa"/>
            <w:vAlign w:val="bottom"/>
            <w:gridSpan w:val="2"/>
          </w:tcPr>
          <w:p>
            <w:pPr>
              <w:jc w:val="center"/>
              <w:ind w:left="26"/>
              <w:spacing w:after="0"/>
              <w:rPr>
                <w:sz w:val="20"/>
                <w:szCs w:val="20"/>
                <w:color w:val="auto"/>
              </w:rPr>
            </w:pPr>
            <w:r>
              <w:rPr>
                <w:rFonts w:ascii="Arial" w:cs="Arial" w:eastAsia="Arial" w:hAnsi="Arial"/>
                <w:sz w:val="15"/>
                <w:szCs w:val="15"/>
                <w:color w:val="auto"/>
                <w:w w:val="95"/>
              </w:rPr>
              <w:t>88</w:t>
            </w: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80"/>
        </w:trPr>
        <w:tc>
          <w:tcPr>
            <w:tcW w:w="27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6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7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8">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2" w:name="page93"/>
    <w:bookmarkEnd w:id="92"/>
    <w:p>
      <w:pPr>
        <w:ind w:left="406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256" w:lineRule="exact"/>
        <w:rPr>
          <w:sz w:val="20"/>
          <w:szCs w:val="20"/>
          <w:color w:val="auto"/>
        </w:rPr>
      </w:pPr>
    </w:p>
    <w:p>
      <w:pPr>
        <w:spacing w:after="0"/>
        <w:rPr>
          <w:rFonts w:ascii="Arial" w:cs="Arial" w:eastAsia="Arial" w:hAnsi="Arial"/>
          <w:sz w:val="15"/>
          <w:szCs w:val="15"/>
          <w:u w:val="single" w:color="auto"/>
          <w:color w:val="0000EE"/>
        </w:rPr>
      </w:pPr>
      <w:hyperlink w:anchor="page94">
        <w:r>
          <w:rPr>
            <w:rFonts w:ascii="Arial" w:cs="Arial" w:eastAsia="Arial" w:hAnsi="Arial"/>
            <w:sz w:val="15"/>
            <w:szCs w:val="15"/>
            <w:u w:val="single" w:color="auto"/>
            <w:color w:val="0000EE"/>
          </w:rPr>
          <w:t>Report of Independent Registered Public Accounting Firm</w:t>
        </w:r>
      </w:hyperlink>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w:anchor="page98">
        <w:r>
          <w:rPr>
            <w:rFonts w:ascii="Arial" w:cs="Arial" w:eastAsia="Arial" w:hAnsi="Arial"/>
            <w:sz w:val="15"/>
            <w:szCs w:val="15"/>
            <w:u w:val="single" w:color="auto"/>
            <w:color w:val="0000EE"/>
          </w:rPr>
          <w:t>Consolidated Balance Sheets as of December 31, 2020 and December 31, 2019</w:t>
        </w:r>
      </w:hyperlink>
    </w:p>
    <w:p>
      <w:pPr>
        <w:spacing w:after="0" w:line="116" w:lineRule="exact"/>
        <w:rPr>
          <w:sz w:val="20"/>
          <w:szCs w:val="20"/>
          <w:color w:val="auto"/>
        </w:rPr>
      </w:pPr>
    </w:p>
    <w:p>
      <w:pPr>
        <w:ind w:right="4060"/>
        <w:spacing w:after="0" w:line="239" w:lineRule="auto"/>
        <w:rPr>
          <w:rFonts w:ascii="Arial" w:cs="Arial" w:eastAsia="Arial" w:hAnsi="Arial"/>
          <w:sz w:val="15"/>
          <w:szCs w:val="15"/>
          <w:u w:val="single" w:color="auto"/>
          <w:color w:val="0000EE"/>
        </w:rPr>
      </w:pPr>
      <w:hyperlink w:anchor="page99">
        <w:r>
          <w:rPr>
            <w:rFonts w:ascii="Arial" w:cs="Arial" w:eastAsia="Arial" w:hAnsi="Arial"/>
            <w:sz w:val="15"/>
            <w:szCs w:val="15"/>
            <w:u w:val="single" w:color="auto"/>
            <w:color w:val="0000EE"/>
          </w:rPr>
          <w:t>Consolidated Statements of Income for the Years ended December 31, 2020, December 31, 2019</w:t>
        </w:r>
      </w:hyperlink>
      <w:r>
        <w:rPr>
          <w:rFonts w:ascii="Arial" w:cs="Arial" w:eastAsia="Arial" w:hAnsi="Arial"/>
          <w:sz w:val="15"/>
          <w:szCs w:val="15"/>
          <w:u w:val="single" w:color="auto"/>
          <w:color w:val="0000EE"/>
        </w:rPr>
        <w:t xml:space="preserve"> </w:t>
      </w:r>
      <w:hyperlink w:anchor="page99">
        <w:r>
          <w:rPr>
            <w:rFonts w:ascii="Arial" w:cs="Arial" w:eastAsia="Arial" w:hAnsi="Arial"/>
            <w:sz w:val="15"/>
            <w:szCs w:val="15"/>
            <w:u w:val="single" w:color="auto"/>
            <w:color w:val="0000EE"/>
          </w:rPr>
          <w:t>and December 31, 2018</w:t>
        </w:r>
      </w:hyperlink>
    </w:p>
    <w:p>
      <w:pPr>
        <w:spacing w:after="0" w:line="111" w:lineRule="exact"/>
        <w:rPr>
          <w:sz w:val="20"/>
          <w:szCs w:val="20"/>
          <w:color w:val="auto"/>
        </w:rPr>
      </w:pPr>
    </w:p>
    <w:p>
      <w:pPr>
        <w:spacing w:after="0"/>
        <w:rPr>
          <w:rFonts w:ascii="Arial" w:cs="Arial" w:eastAsia="Arial" w:hAnsi="Arial"/>
          <w:sz w:val="15"/>
          <w:szCs w:val="15"/>
          <w:u w:val="single" w:color="auto"/>
          <w:color w:val="0000EE"/>
        </w:rPr>
      </w:pPr>
      <w:hyperlink w:anchor="page100">
        <w:r>
          <w:rPr>
            <w:rFonts w:ascii="Arial" w:cs="Arial" w:eastAsia="Arial" w:hAnsi="Arial"/>
            <w:sz w:val="15"/>
            <w:szCs w:val="15"/>
            <w:u w:val="single" w:color="auto"/>
            <w:color w:val="0000EE"/>
          </w:rPr>
          <w:t>Consolidated Statements of Comprehensive Income for the Years ended December 31, 2020, December 31, 2019 and December 31, 2018</w:t>
        </w:r>
      </w:hyperlink>
    </w:p>
    <w:p>
      <w:pPr>
        <w:spacing w:after="0" w:line="116" w:lineRule="exact"/>
        <w:rPr>
          <w:sz w:val="20"/>
          <w:szCs w:val="20"/>
          <w:color w:val="auto"/>
        </w:rPr>
      </w:pPr>
    </w:p>
    <w:p>
      <w:pPr>
        <w:spacing w:after="0" w:line="239" w:lineRule="auto"/>
        <w:rPr>
          <w:rFonts w:ascii="Arial" w:cs="Arial" w:eastAsia="Arial" w:hAnsi="Arial"/>
          <w:sz w:val="15"/>
          <w:szCs w:val="15"/>
          <w:u w:val="single" w:color="auto"/>
          <w:color w:val="0000EE"/>
        </w:rPr>
      </w:pPr>
      <w:hyperlink w:anchor="page101">
        <w:r>
          <w:rPr>
            <w:rFonts w:ascii="Arial" w:cs="Arial" w:eastAsia="Arial" w:hAnsi="Arial"/>
            <w:sz w:val="15"/>
            <w:szCs w:val="15"/>
            <w:u w:val="single" w:color="auto"/>
            <w:color w:val="0000EE"/>
          </w:rPr>
          <w:t>Consolidated Statements of Changes in Redeemable Common Stock and Shareholders’ Equity (Deficit) for the Years ended December 31, 2020, December 31,</w:t>
        </w:r>
      </w:hyperlink>
      <w:r>
        <w:rPr>
          <w:rFonts w:ascii="Arial" w:cs="Arial" w:eastAsia="Arial" w:hAnsi="Arial"/>
          <w:sz w:val="15"/>
          <w:szCs w:val="15"/>
          <w:u w:val="single" w:color="auto"/>
          <w:color w:val="0000EE"/>
        </w:rPr>
        <w:t xml:space="preserve"> </w:t>
      </w:r>
      <w:hyperlink w:anchor="page101">
        <w:r>
          <w:rPr>
            <w:rFonts w:ascii="Arial" w:cs="Arial" w:eastAsia="Arial" w:hAnsi="Arial"/>
            <w:sz w:val="15"/>
            <w:szCs w:val="15"/>
            <w:u w:val="single" w:color="auto"/>
            <w:color w:val="0000EE"/>
          </w:rPr>
          <w:t>2019 and December 31, 2018</w:t>
        </w:r>
      </w:hyperlink>
    </w:p>
    <w:p>
      <w:pPr>
        <w:spacing w:after="0" w:line="105" w:lineRule="exact"/>
        <w:rPr>
          <w:sz w:val="20"/>
          <w:szCs w:val="20"/>
          <w:color w:val="auto"/>
        </w:rPr>
      </w:pPr>
    </w:p>
    <w:p>
      <w:pPr>
        <w:spacing w:after="0"/>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Consolidated Statements of Cash Flows for the Years ended December 31, 2020,</w:t>
        </w:r>
      </w:hyperlink>
    </w:p>
    <w:p>
      <w:pPr>
        <w:spacing w:after="0"/>
        <w:rPr>
          <w:rFonts w:ascii="Arial" w:cs="Arial" w:eastAsia="Arial" w:hAnsi="Arial"/>
          <w:sz w:val="15"/>
          <w:szCs w:val="15"/>
          <w:u w:val="single" w:color="auto"/>
          <w:color w:val="0000EE"/>
        </w:rPr>
      </w:pPr>
      <w:hyperlink w:anchor="page102">
        <w:r>
          <w:rPr>
            <w:rFonts w:ascii="Arial" w:cs="Arial" w:eastAsia="Arial" w:hAnsi="Arial"/>
            <w:sz w:val="15"/>
            <w:szCs w:val="15"/>
            <w:u w:val="single" w:color="auto"/>
            <w:color w:val="0000EE"/>
          </w:rPr>
          <w:t>December 31, 2019 and December 31, 2018</w:t>
        </w:r>
      </w:hyperlink>
    </w:p>
    <w:p>
      <w:pPr>
        <w:spacing w:after="0" w:line="116" w:lineRule="exact"/>
        <w:rPr>
          <w:sz w:val="20"/>
          <w:szCs w:val="20"/>
          <w:color w:val="auto"/>
        </w:rPr>
      </w:pPr>
    </w:p>
    <w:p>
      <w:pPr>
        <w:spacing w:after="0"/>
        <w:rPr>
          <w:rFonts w:ascii="Arial" w:cs="Arial" w:eastAsia="Arial" w:hAnsi="Arial"/>
          <w:sz w:val="15"/>
          <w:szCs w:val="15"/>
          <w:u w:val="single" w:color="auto"/>
          <w:color w:val="0000EE"/>
        </w:rPr>
      </w:pPr>
      <w:hyperlink w:anchor="page103">
        <w:r>
          <w:rPr>
            <w:rFonts w:ascii="Arial" w:cs="Arial" w:eastAsia="Arial" w:hAnsi="Arial"/>
            <w:sz w:val="15"/>
            <w:szCs w:val="15"/>
            <w:u w:val="single" w:color="auto"/>
            <w:color w:val="0000EE"/>
          </w:rPr>
          <w:t>Notes to Consolidated Financial Statements</w:t>
        </w:r>
      </w:hyperlink>
    </w:p>
    <w:p>
      <w:pPr>
        <w:spacing w:after="0" w:line="200" w:lineRule="exact"/>
        <w:rPr>
          <w:sz w:val="20"/>
          <w:szCs w:val="20"/>
          <w:color w:val="auto"/>
        </w:rPr>
      </w:pPr>
    </w:p>
    <w:p>
      <w:pPr>
        <w:spacing w:after="0" w:line="337" w:lineRule="exact"/>
        <w:rPr>
          <w:sz w:val="20"/>
          <w:szCs w:val="20"/>
          <w:color w:val="auto"/>
        </w:rPr>
      </w:pPr>
    </w:p>
    <w:p>
      <w:pPr>
        <w:jc w:val="center"/>
        <w:ind w:left="84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F-2</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F-6</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F-7</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F-8</w:t>
      </w:r>
    </w:p>
    <w:p>
      <w:pPr>
        <w:spacing w:after="0" w:line="19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F-9</w:t>
      </w: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F-10</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F-11</w:t>
      </w:r>
    </w:p>
    <w:p>
      <w:pPr>
        <w:sectPr>
          <w:pgSz w:w="11900" w:h="16838" w:orient="portrait"/>
          <w:cols w:equalWidth="0" w:num="2">
            <w:col w:w="10460" w:space="500"/>
            <w:col w:w="300"/>
          </w:cols>
          <w:pgMar w:left="300" w:top="298" w:right="339" w:bottom="1440" w:gutter="0" w:footer="0" w:header="0"/>
        </w:sectPr>
      </w:pPr>
    </w:p>
    <w:bookmarkStart w:id="93" w:name="page94"/>
    <w:bookmarkEnd w:id="93"/>
    <w:p>
      <w:pPr>
        <w:ind w:left="3920"/>
        <w:spacing w:after="0"/>
        <w:rPr>
          <w:sz w:val="20"/>
          <w:szCs w:val="20"/>
          <w:color w:val="auto"/>
        </w:rPr>
      </w:pPr>
      <w:r>
        <w:rPr>
          <w:rFonts w:ascii="Arial" w:cs="Arial" w:eastAsia="Arial" w:hAnsi="Arial"/>
          <w:sz w:val="15"/>
          <w:szCs w:val="15"/>
          <w:color w:val="auto"/>
        </w:rPr>
        <w:t>Report of Independent Registered Public Accounting Firm</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Shareholders of Parsons Corporation</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Opinions on the Financial Statements and Internal Control over Financial Reporting</w:t>
      </w:r>
    </w:p>
    <w:p>
      <w:pPr>
        <w:spacing w:after="0" w:line="204" w:lineRule="exact"/>
        <w:rPr>
          <w:sz w:val="20"/>
          <w:szCs w:val="20"/>
          <w:color w:val="auto"/>
        </w:rPr>
      </w:pPr>
    </w:p>
    <w:p>
      <w:pPr>
        <w:ind w:right="40"/>
        <w:spacing w:after="0" w:line="274" w:lineRule="auto"/>
        <w:rPr>
          <w:sz w:val="20"/>
          <w:szCs w:val="20"/>
          <w:color w:val="auto"/>
        </w:rPr>
      </w:pPr>
      <w:r>
        <w:rPr>
          <w:rFonts w:ascii="Arial" w:cs="Arial" w:eastAsia="Arial" w:hAnsi="Arial"/>
          <w:sz w:val="14"/>
          <w:szCs w:val="14"/>
          <w:color w:val="auto"/>
        </w:rPr>
        <w:t xml:space="preserve">We have audited the accompanying consolidated balance sheets of Parsons Corporation and its subsidiaries (the “Company”) as of December 31, 2020 and 2019, and the related consolidated statements of income, of comprehensive income, of changes in redeemable common stock and shareholders’ equity (deficit) and of cash flows for each of the three years in the period ended December 31, 2020, including the related notes and financial statement schedule listed in the index appearing under Item 15(a)(2) (collectively referred to as the “consolidated financial statements”). We also have audited the Company's internal control over financial reporting as of December 31, 2020,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Committee of Sponsoring Organizations of the Treadway Commission (COSO).</w:t>
      </w:r>
    </w:p>
    <w:p>
      <w:pPr>
        <w:spacing w:after="0" w:line="163" w:lineRule="exact"/>
        <w:rPr>
          <w:sz w:val="20"/>
          <w:szCs w:val="20"/>
          <w:color w:val="auto"/>
        </w:rPr>
      </w:pPr>
    </w:p>
    <w:p>
      <w:pPr>
        <w:ind w:right="220"/>
        <w:spacing w:after="0" w:line="25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the Company as of December 31, 2020 and 2019</w:t>
      </w:r>
      <w:r>
        <w:rPr>
          <w:rFonts w:ascii="Arial" w:cs="Arial" w:eastAsia="Arial" w:hAnsi="Arial"/>
          <w:sz w:val="15"/>
          <w:szCs w:val="15"/>
          <w:b w:val="1"/>
          <w:bCs w:val="1"/>
          <w:color w:val="auto"/>
        </w:rPr>
        <w:t>,</w:t>
      </w:r>
      <w:r>
        <w:rPr>
          <w:rFonts w:ascii="Arial" w:cs="Arial" w:eastAsia="Arial" w:hAnsi="Arial"/>
          <w:sz w:val="15"/>
          <w:szCs w:val="15"/>
          <w:color w:val="auto"/>
        </w:rPr>
        <w:t xml:space="preserve"> and the results of its operations and its cash flows for each of the three years in the period ended December 31, 2020 in conformity with accounting principles generally accepted in the United States of America. Also in our opinion, the Company maintained, in all material respects, effective internal control over financial reporting as of December 31, 2020,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Changes in Accounting Principles</w:t>
      </w:r>
    </w:p>
    <w:p>
      <w:pPr>
        <w:spacing w:after="0" w:line="204" w:lineRule="exact"/>
        <w:rPr>
          <w:sz w:val="20"/>
          <w:szCs w:val="20"/>
          <w:color w:val="auto"/>
        </w:rPr>
      </w:pPr>
    </w:p>
    <w:p>
      <w:pPr>
        <w:ind w:right="280"/>
        <w:spacing w:after="0" w:line="267" w:lineRule="auto"/>
        <w:rPr>
          <w:sz w:val="20"/>
          <w:szCs w:val="20"/>
          <w:color w:val="auto"/>
        </w:rPr>
      </w:pPr>
      <w:r>
        <w:rPr>
          <w:rFonts w:ascii="Arial" w:cs="Arial" w:eastAsia="Arial" w:hAnsi="Arial"/>
          <w:sz w:val="15"/>
          <w:szCs w:val="15"/>
          <w:color w:val="auto"/>
        </w:rPr>
        <w:t>As discussed in Note 2 to the consolidated financial statements, the Company changed the manner in which it accounts for leases in 2019 and the manner in which it accounts for revenue from contracts with customers in 2018.</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Basis for Opinions</w:t>
      </w:r>
    </w:p>
    <w:p>
      <w:pPr>
        <w:spacing w:after="0" w:line="204" w:lineRule="exact"/>
        <w:rPr>
          <w:sz w:val="20"/>
          <w:szCs w:val="20"/>
          <w:color w:val="auto"/>
        </w:rPr>
      </w:pPr>
    </w:p>
    <w:p>
      <w:pPr>
        <w:ind w:right="140"/>
        <w:spacing w:after="0" w:line="274"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7" w:lineRule="exact"/>
        <w:rPr>
          <w:sz w:val="20"/>
          <w:szCs w:val="20"/>
          <w:color w:val="auto"/>
        </w:rPr>
      </w:pPr>
    </w:p>
    <w:p>
      <w:pPr>
        <w:ind w:right="60"/>
        <w:spacing w:after="0" w:line="299"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506" w:right="319" w:bottom="1440" w:gutter="0" w:footer="0" w:header="0"/>
        </w:sectPr>
      </w:pPr>
    </w:p>
    <w:bookmarkStart w:id="94" w:name="page95"/>
    <w:bookmarkEnd w:id="94"/>
    <w:p>
      <w:pPr>
        <w:spacing w:after="0"/>
        <w:rPr>
          <w:sz w:val="20"/>
          <w:szCs w:val="20"/>
          <w:color w:val="auto"/>
        </w:rPr>
      </w:pPr>
      <w:r>
        <w:rPr>
          <w:rFonts w:ascii="Arial" w:cs="Arial" w:eastAsia="Arial" w:hAnsi="Arial"/>
          <w:sz w:val="15"/>
          <w:szCs w:val="15"/>
          <w:color w:val="auto"/>
        </w:rPr>
        <w:t>such other procedures as we considered necessary in the circumstances. We believe that our audits provide a reasonable basis for our opinions.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Definition and Limitations of Internal Control over Financial Reporting</w:t>
      </w:r>
    </w:p>
    <w:p>
      <w:pPr>
        <w:spacing w:after="0" w:line="204" w:lineRule="exact"/>
        <w:rPr>
          <w:sz w:val="20"/>
          <w:szCs w:val="20"/>
          <w:color w:val="auto"/>
        </w:rPr>
      </w:pPr>
    </w:p>
    <w:p>
      <w:pPr>
        <w:ind w:right="200"/>
        <w:spacing w:after="0" w:line="296"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60"/>
        <w:spacing w:after="0" w:line="345"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Critical Audit Matters</w:t>
      </w:r>
    </w:p>
    <w:p>
      <w:pPr>
        <w:spacing w:after="0" w:line="204" w:lineRule="exact"/>
        <w:rPr>
          <w:sz w:val="20"/>
          <w:szCs w:val="20"/>
          <w:color w:val="auto"/>
        </w:rPr>
      </w:pPr>
    </w:p>
    <w:p>
      <w:pPr>
        <w:ind w:right="180"/>
        <w:spacing w:after="0" w:line="305" w:lineRule="auto"/>
        <w:rPr>
          <w:sz w:val="20"/>
          <w:szCs w:val="20"/>
          <w:color w:val="auto"/>
        </w:rPr>
      </w:pPr>
      <w:r>
        <w:rPr>
          <w:rFonts w:ascii="Arial" w:cs="Arial" w:eastAsia="Arial" w:hAnsi="Arial"/>
          <w:sz w:val="13"/>
          <w:szCs w:val="13"/>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 – Determination of Total Estimated Contract Cost and Variable Consideration related to Claims Revenue for Fixed-Price Contracts Recognized Over Time</w:t>
      </w:r>
    </w:p>
    <w:p>
      <w:pPr>
        <w:spacing w:after="0" w:line="194"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As described in Notes 2 and 4 to the consolidated financial statements, revenue is derived from long-term contracts with customers whereby the Company provides planning, design, engineering, technical, and construction and program management services. The Company enters into cost-plus, time-and-materials, and fixed-price contracts with its customers. Fixed-price contract revenue recognized was $1.3 billion for the year ended December 31, 2020, which accounts for approximately 32% of the Company’s total consolidated revenue. Fixed-price contract revenue is recognized over time using an input measure (i.e., costs incurred to date relative to total estimated costs at completion) to measure progress.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Management includes variable consideration, such as claims revenue, in the estimated transaction price to the extent it is probable that a significant reversal of cumulative revenue recognized will not occur or when the uncertainty associated with the variable consideration is resolved. Contract costs consist of direct costs on contracts, including labor and materials, amounts payable to subcontractors, direct overhead costs and equipment expense (primarily depreciation, fuel, maintenance and repairs). Changes to estimated contract costs, either due to unexpected events or revisions to management’s initial estimates, for a given project are recognized in the period in which they are determined. As disclosed by management, recognition of profit on long-term contracts requires the use of assumptions and estimates related to total contract revenue and in particular estimated claims revenue, total estimated cost at completion, and the measurement of progress towards completion. Management’s estimates are continually evaluated as work progresses and are revised when necessary.</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306" w:right="339" w:bottom="1440" w:gutter="0" w:footer="0" w:header="0"/>
        </w:sectPr>
      </w:pPr>
    </w:p>
    <w:bookmarkStart w:id="95" w:name="page96"/>
    <w:bookmarkEnd w:id="95"/>
    <w:p>
      <w:pPr>
        <w:ind w:right="120"/>
        <w:spacing w:after="0" w:line="251" w:lineRule="auto"/>
        <w:rPr>
          <w:sz w:val="20"/>
          <w:szCs w:val="20"/>
          <w:color w:val="auto"/>
        </w:rPr>
      </w:pPr>
      <w:r>
        <w:rPr>
          <w:rFonts w:ascii="Arial" w:cs="Arial" w:eastAsia="Arial" w:hAnsi="Arial"/>
          <w:sz w:val="15"/>
          <w:szCs w:val="15"/>
          <w:color w:val="auto"/>
        </w:rPr>
        <w:t>The principal considerations for our determination that performing procedures relating to revenue recognition, specifically the determination of total estimated contract cost and variable consideration related to estimated claims revenue for fixed-price contracts recognized over time is a critical audit matter are (i) the significant amount of judgment by management in determining the total estimated contract cost and variable consideration related to estimated claims revenue for fixed-price contracts; (ii) a high degree of auditor judgment, subjectivity and effort in performing procedures and evaluating audit evidence for the total estimated contract cost and variable consideration related to estimated claims revenue for fixed-price contracts recognized over time.</w:t>
      </w:r>
    </w:p>
    <w:p>
      <w:pPr>
        <w:spacing w:after="0" w:line="184" w:lineRule="exact"/>
        <w:rPr>
          <w:sz w:val="20"/>
          <w:szCs w:val="20"/>
          <w:color w:val="auto"/>
        </w:rPr>
      </w:pPr>
    </w:p>
    <w:p>
      <w:pPr>
        <w:ind w:right="80"/>
        <w:spacing w:after="0" w:line="270"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determination of total estimated contract cost and variable consideration related to estimated claims revenue for fixed-price contracts recognized over time. These procedures also included, among others, for a selection of fixed-price contracts, (i) evaluating and testing management’s process for determining the total estimated contract cost and variable consideration related to estimated claims revenue, which included testing of contracts and other documents related to the estimates, and testing of underlying incurred and estimated contract costs; (ii) assessing management’s ability to reasonably estimate total contract costs by performing a comparison of the actual total estimated contract cost as compared with prior period estimates, including evaluating the timely identification of circumstances that may warrant a modification to the total estimated contract cost; and (iii) evaluating estimated claims revenue by inquiry with external legal counsel regarding the underlying claim and agreeing estimated claims revenue to documents related to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Acquisition of Braxton Science &amp; Technology Group - Valuation of Customer Relationships Intangible Asset</w:t>
      </w:r>
    </w:p>
    <w:p>
      <w:pPr>
        <w:spacing w:after="0" w:line="204"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As described in Notes 2 and 3 to the consolidated financial statements, on November 19, 2020, the Company acquired a 100% ownership interest in Braxton Science &amp; Technology Group (“Braxton”) for $310.9 million in cash, which resulted in $74.0 million of intangible assets being recorded, of which, $35.6 million related to customer relationships. Management accounts for business combinations using the acquisition method, under which the purchase price of an acquired company is allocated to the tangible and intangible assets acquired and the liabilities assumed on the basis of their fair values at the date of acquisition. The determination of fair values of assets acquired and liabilities assumed requires management to make estimates and use valuation techniques when a market value is not readily available. Management’s determination of the fair value of the intangible assets acquired involved the use of significant estimates and assumptions related to discount rates, revenue growth rates, projected margins, and customer revenue attrition rates.</w:t>
      </w:r>
    </w:p>
    <w:p>
      <w:pPr>
        <w:spacing w:after="0" w:line="169"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The principal considerations for our determination that performing procedures relating to the valuation of the customer relationships intangible asset acquired in the acquisition of Braxton Science &amp; Technology Group is a critical audit matter are (i) the high degree of auditor judgment and subjectivity in performing procedures relating to the fair value measurement of the customer relationships intangible asset acquired due to the significant judgment by management when determining the fair value estimate; (ii) significant audit effort in performing procedures and evaluating management’s significant assumptions relating to the discount rate, revenue growth rate, projected margin, and customer revenue attrition rate; and (iii) the audit effort involved the use of professionals with specialized skill and knowledge.</w:t>
      </w:r>
    </w:p>
    <w:p>
      <w:pPr>
        <w:spacing w:after="0" w:line="184" w:lineRule="exact"/>
        <w:rPr>
          <w:sz w:val="20"/>
          <w:szCs w:val="20"/>
          <w:color w:val="auto"/>
        </w:rPr>
      </w:pPr>
    </w:p>
    <w:p>
      <w:pPr>
        <w:ind w:right="60"/>
        <w:spacing w:after="0" w:line="251"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the significant assumptions used in management’s valuation of the customer relationships intangible asset. These procedures included, among others, (i) reading the purchase agreement; (ii) testing management’s process for estimating the fair value of the customer relationships intangible asset; (iii) evaluating the appropriateness of the valuation technique; (iv) testing the completeness and accuracy of the underlying data used in the valuation technique; and (v) evaluating the reasonableness of significant assumptions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506" w:right="359" w:bottom="1440" w:gutter="0" w:footer="0" w:header="0"/>
        </w:sectPr>
      </w:pPr>
    </w:p>
    <w:bookmarkStart w:id="96" w:name="page97"/>
    <w:bookmarkEnd w:id="96"/>
    <w:p>
      <w:pPr>
        <w:spacing w:after="0" w:line="277" w:lineRule="auto"/>
        <w:rPr>
          <w:sz w:val="20"/>
          <w:szCs w:val="20"/>
          <w:color w:val="auto"/>
        </w:rPr>
      </w:pPr>
      <w:r>
        <w:rPr>
          <w:rFonts w:ascii="Arial" w:cs="Arial" w:eastAsia="Arial" w:hAnsi="Arial"/>
          <w:sz w:val="14"/>
          <w:szCs w:val="14"/>
          <w:color w:val="auto"/>
        </w:rPr>
        <w:t>related to the discount rate, revenue growth rate, projected margin, and customer revenue attrition rate. Evaluating the reasonableness of management’s assumptions related to the revenue growth rate, projected margin and customer revenue attrition rate involved considering (i) the current and past performance of the acquired business; (ii) the consistency with external market and industry data; and (iii) whether these assumptions were consistent with evidence obtained in other areas of the audit. Professionals with specialized skill and knowledge were used to assist in the evaluation of management’s valuation technique and the discount rate significant assumption.</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Los Angeles, California</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2021</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at least 1969. We have not been able to determine the specific year we began serving as the auditor of the Company.</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20"/>
          </w:cols>
          <w:pgMar w:left="300" w:top="306" w:right="379" w:bottom="1440" w:gutter="0" w:footer="0" w:header="0"/>
        </w:sectPr>
      </w:pPr>
    </w:p>
    <w:bookmarkStart w:id="97" w:name="page98"/>
    <w:bookmarkEnd w:id="9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jc w:val="center"/>
        <w:spacing w:after="0"/>
        <w:rPr>
          <w:sz w:val="20"/>
          <w:szCs w:val="20"/>
          <w:color w:val="auto"/>
        </w:rPr>
      </w:pPr>
      <w:r>
        <w:rPr>
          <w:rFonts w:ascii="Arial" w:cs="Arial" w:eastAsia="Arial" w:hAnsi="Arial"/>
          <w:sz w:val="15"/>
          <w:szCs w:val="15"/>
          <w:i w:val="1"/>
          <w:iCs w:val="1"/>
          <w:color w:val="auto"/>
        </w:rPr>
        <w:t>(in thousands, except shares and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December 31, 2020</w:t>
            </w:r>
          </w:p>
        </w:tc>
        <w:tc>
          <w:tcPr>
            <w:tcW w:w="180" w:type="dxa"/>
            <w:vAlign w:val="bottom"/>
          </w:tcPr>
          <w:p>
            <w:pPr>
              <w:spacing w:after="0"/>
              <w:rPr>
                <w:sz w:val="12"/>
                <w:szCs w:val="12"/>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December 31, 2019</w:t>
            </w:r>
          </w:p>
        </w:tc>
      </w:tr>
      <w:tr>
        <w:trPr>
          <w:trHeight w:val="135"/>
        </w:trPr>
        <w:tc>
          <w:tcPr>
            <w:tcW w:w="7480" w:type="dxa"/>
            <w:vAlign w:val="bottom"/>
            <w:tcBorders>
              <w:top w:val="single" w:sz="8" w:color="CFF0FC"/>
            </w:tcBorders>
            <w:shd w:val="clear" w:color="auto" w:fill="CFF0FC"/>
          </w:tcPr>
          <w:p>
            <w:pPr>
              <w:spacing w:after="0" w:line="136" w:lineRule="exact"/>
              <w:rPr>
                <w:sz w:val="20"/>
                <w:szCs w:val="20"/>
                <w:color w:val="auto"/>
              </w:rPr>
            </w:pPr>
            <w:r>
              <w:rPr>
                <w:rFonts w:ascii="Arial" w:cs="Arial" w:eastAsia="Arial" w:hAnsi="Arial"/>
                <w:sz w:val="12"/>
                <w:szCs w:val="12"/>
                <w:b w:val="1"/>
                <w:bCs w:val="1"/>
                <w:color w:val="auto"/>
              </w:rPr>
              <w:t>Assets</w:t>
            </w:r>
          </w:p>
        </w:tc>
        <w:tc>
          <w:tcPr>
            <w:tcW w:w="180" w:type="dxa"/>
            <w:vAlign w:val="bottom"/>
            <w:tcBorders>
              <w:top w:val="single" w:sz="8" w:color="auto"/>
            </w:tcBorders>
            <w:shd w:val="clear" w:color="auto" w:fill="CFF0FC"/>
          </w:tcPr>
          <w:p>
            <w:pPr>
              <w:spacing w:after="0"/>
              <w:rPr>
                <w:sz w:val="11"/>
                <w:szCs w:val="11"/>
                <w:color w:val="auto"/>
              </w:rPr>
            </w:pPr>
          </w:p>
        </w:tc>
        <w:tc>
          <w:tcPr>
            <w:tcW w:w="152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15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44"/>
        </w:trPr>
        <w:tc>
          <w:tcPr>
            <w:tcW w:w="7480" w:type="dxa"/>
            <w:vAlign w:val="bottom"/>
          </w:tcPr>
          <w:p>
            <w:pPr>
              <w:spacing w:after="0"/>
              <w:rPr>
                <w:sz w:val="20"/>
                <w:szCs w:val="20"/>
                <w:color w:val="auto"/>
              </w:rPr>
            </w:pPr>
            <w:r>
              <w:rPr>
                <w:rFonts w:ascii="Arial" w:cs="Arial" w:eastAsia="Arial" w:hAnsi="Arial"/>
                <w:sz w:val="12"/>
                <w:szCs w:val="12"/>
                <w:color w:val="auto"/>
              </w:rPr>
              <w:t>Current assets:</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Cash and cash equivalents (including $75,220 and $51,171 Cash of consolidated joint ventures)</w:t>
            </w: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483,609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182,688</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Restricted cash and investments</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3,606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12,686</w:t>
            </w: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Accounts receivable, net (including $190,643 and $166,355 Accounts receivable of consolidated joint ventures, net)</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698,578</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671,492</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Contract assets (including $23,498 and $26,458 Contract assets of consolidated joint ventures)</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576,568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575,089</w:t>
            </w:r>
          </w:p>
        </w:tc>
        <w:tc>
          <w:tcPr>
            <w:tcW w:w="120" w:type="dxa"/>
            <w:vAlign w:val="bottom"/>
          </w:tcPr>
          <w:p>
            <w:pPr>
              <w:spacing w:after="0"/>
              <w:rPr>
                <w:sz w:val="12"/>
                <w:szCs w:val="12"/>
                <w:color w:val="auto"/>
              </w:rPr>
            </w:pPr>
          </w:p>
        </w:tc>
      </w:tr>
      <w:tr>
        <w:trPr>
          <w:trHeight w:val="148"/>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Prepaid expenses and other current assets (including $3,045 and $11,182 Prepaid expenses and other current assets of consolidated</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9"/>
        </w:trPr>
        <w:tc>
          <w:tcPr>
            <w:tcW w:w="7480" w:type="dxa"/>
            <w:vAlign w:val="bottom"/>
            <w:shd w:val="clear" w:color="auto" w:fill="CFF0FC"/>
          </w:tcPr>
          <w:p>
            <w:pPr>
              <w:ind w:left="260"/>
              <w:spacing w:after="0" w:line="129" w:lineRule="exact"/>
              <w:rPr>
                <w:sz w:val="20"/>
                <w:szCs w:val="20"/>
                <w:color w:val="auto"/>
              </w:rPr>
            </w:pPr>
            <w:r>
              <w:rPr>
                <w:rFonts w:ascii="Arial" w:cs="Arial" w:eastAsia="Arial" w:hAnsi="Arial"/>
                <w:sz w:val="12"/>
                <w:szCs w:val="12"/>
                <w:color w:val="auto"/>
              </w:rPr>
              <w:t>joint ventures)</w:t>
            </w:r>
          </w:p>
        </w:tc>
        <w:tc>
          <w:tcPr>
            <w:tcW w:w="18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80,769</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2"/>
                <w:szCs w:val="12"/>
                <w:color w:val="auto"/>
              </w:rPr>
              <w:t>84,454</w:t>
            </w:r>
          </w:p>
        </w:tc>
        <w:tc>
          <w:tcPr>
            <w:tcW w:w="120" w:type="dxa"/>
            <w:vAlign w:val="bottom"/>
            <w:shd w:val="clear" w:color="auto" w:fill="CFF0FC"/>
          </w:tcPr>
          <w:p>
            <w:pPr>
              <w:spacing w:after="0"/>
              <w:rPr>
                <w:sz w:val="11"/>
                <w:szCs w:val="11"/>
                <w:color w:val="auto"/>
              </w:rPr>
            </w:pPr>
          </w:p>
        </w:tc>
      </w:tr>
      <w:tr>
        <w:trPr>
          <w:trHeight w:val="135"/>
        </w:trPr>
        <w:tc>
          <w:tcPr>
            <w:tcW w:w="7480" w:type="dxa"/>
            <w:vAlign w:val="bottom"/>
            <w:tcBorders>
              <w:bottom w:val="single" w:sz="8" w:color="CFF0FC"/>
            </w:tcBorders>
          </w:tcPr>
          <w:p>
            <w:pPr>
              <w:ind w:left="460"/>
              <w:spacing w:after="0" w:line="136" w:lineRule="exact"/>
              <w:rPr>
                <w:sz w:val="20"/>
                <w:szCs w:val="20"/>
                <w:color w:val="auto"/>
              </w:rPr>
            </w:pPr>
            <w:r>
              <w:rPr>
                <w:rFonts w:ascii="Arial" w:cs="Arial" w:eastAsia="Arial" w:hAnsi="Arial"/>
                <w:sz w:val="12"/>
                <w:szCs w:val="12"/>
                <w:color w:val="auto"/>
              </w:rPr>
              <w:t>Total current assets</w:t>
            </w: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1,843,130</w:t>
            </w:r>
          </w:p>
        </w:tc>
        <w:tc>
          <w:tcPr>
            <w:tcW w:w="2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1,526,409</w:t>
            </w:r>
          </w:p>
        </w:tc>
        <w:tc>
          <w:tcPr>
            <w:tcW w:w="120" w:type="dxa"/>
            <w:vAlign w:val="bottom"/>
            <w:tcBorders>
              <w:bottom w:val="single" w:sz="8" w:color="CFF0FC"/>
            </w:tcBorders>
          </w:tcPr>
          <w:p>
            <w:pPr>
              <w:spacing w:after="0"/>
              <w:rPr>
                <w:sz w:val="11"/>
                <w:szCs w:val="11"/>
                <w:color w:val="auto"/>
              </w:rPr>
            </w:pPr>
          </w:p>
        </w:tc>
      </w:tr>
      <w:tr>
        <w:trPr>
          <w:trHeight w:val="135"/>
        </w:trPr>
        <w:tc>
          <w:tcPr>
            <w:tcW w:w="74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Property and equipment, net (including $2,629 and $2,945 Property and equipment of consolidated joint ventures, net)</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121,027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122,751</w:t>
            </w: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Right of use assets, operating leases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210,398</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233,415</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Goodwill</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1,261,978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1,047,425</w:t>
            </w: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Investments in and advances to unconsolidated joint ventures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68,975</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68,620</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Intangible assets, net</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245,958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259,858</w:t>
            </w: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Deferred tax assets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130,200</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130,401</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noncurrent assets</w:t>
            </w: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56,038</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61,489</w:t>
            </w:r>
          </w:p>
        </w:tc>
        <w:tc>
          <w:tcPr>
            <w:tcW w:w="120" w:type="dxa"/>
            <w:vAlign w:val="bottom"/>
            <w:tcBorders>
              <w:bottom w:val="single" w:sz="8" w:color="CFF0FC"/>
            </w:tcBorders>
          </w:tcPr>
          <w:p>
            <w:pPr>
              <w:spacing w:after="0"/>
              <w:rPr>
                <w:sz w:val="12"/>
                <w:szCs w:val="12"/>
                <w:color w:val="auto"/>
              </w:rPr>
            </w:pPr>
          </w:p>
        </w:tc>
      </w:tr>
      <w:tr>
        <w:trPr>
          <w:trHeight w:val="135"/>
        </w:trPr>
        <w:tc>
          <w:tcPr>
            <w:tcW w:w="7480" w:type="dxa"/>
            <w:vAlign w:val="bottom"/>
            <w:tcBorders>
              <w:bottom w:val="single" w:sz="8" w:color="CFF0FC"/>
            </w:tcBorders>
            <w:shd w:val="clear" w:color="auto" w:fill="CFF0FC"/>
          </w:tcPr>
          <w:p>
            <w:pPr>
              <w:ind w:left="460"/>
              <w:spacing w:after="0" w:line="136" w:lineRule="exact"/>
              <w:rPr>
                <w:sz w:val="20"/>
                <w:szCs w:val="20"/>
                <w:color w:val="auto"/>
              </w:rPr>
            </w:pPr>
            <w:r>
              <w:rPr>
                <w:rFonts w:ascii="Arial" w:cs="Arial" w:eastAsia="Arial" w:hAnsi="Arial"/>
                <w:sz w:val="12"/>
                <w:szCs w:val="12"/>
                <w:color w:val="auto"/>
              </w:rPr>
              <w:t>Total assets</w:t>
            </w: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3,937,704</w:t>
            </w:r>
          </w:p>
        </w:tc>
        <w:tc>
          <w:tcPr>
            <w:tcW w:w="2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3,450,368</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7"/>
        </w:trPr>
        <w:tc>
          <w:tcPr>
            <w:tcW w:w="7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44"/>
        </w:trPr>
        <w:tc>
          <w:tcPr>
            <w:tcW w:w="7480" w:type="dxa"/>
            <w:vAlign w:val="bottom"/>
            <w:shd w:val="clear" w:color="auto" w:fill="CFF0FC"/>
          </w:tcPr>
          <w:p>
            <w:pPr>
              <w:spacing w:after="0"/>
              <w:rPr>
                <w:sz w:val="20"/>
                <w:szCs w:val="20"/>
                <w:color w:val="auto"/>
              </w:rPr>
            </w:pPr>
            <w:r>
              <w:rPr>
                <w:rFonts w:ascii="Arial" w:cs="Arial" w:eastAsia="Arial" w:hAnsi="Arial"/>
                <w:sz w:val="12"/>
                <w:szCs w:val="12"/>
                <w:b w:val="1"/>
                <w:bCs w:val="1"/>
                <w:color w:val="auto"/>
              </w:rPr>
              <w:t>Liabilities and Shareholders' Equity</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spacing w:after="0"/>
              <w:rPr>
                <w:sz w:val="20"/>
                <w:szCs w:val="20"/>
                <w:color w:val="auto"/>
              </w:rPr>
            </w:pPr>
            <w:r>
              <w:rPr>
                <w:rFonts w:ascii="Arial" w:cs="Arial" w:eastAsia="Arial" w:hAnsi="Arial"/>
                <w:sz w:val="12"/>
                <w:szCs w:val="12"/>
                <w:color w:val="auto"/>
              </w:rPr>
              <w:t>Current liabilities:</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Accounts payable (including $97,810 and $85,869 Accounts payable of consolidated joint ventures)</w:t>
            </w: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225,679</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216,613</w:t>
            </w:r>
          </w:p>
        </w:tc>
        <w:tc>
          <w:tcPr>
            <w:tcW w:w="120" w:type="dxa"/>
            <w:vAlign w:val="bottom"/>
            <w:shd w:val="clear" w:color="auto" w:fill="CFF0FC"/>
          </w:tcPr>
          <w:p>
            <w:pPr>
              <w:spacing w:after="0"/>
              <w:rPr>
                <w:sz w:val="12"/>
                <w:szCs w:val="12"/>
                <w:color w:val="auto"/>
              </w:rPr>
            </w:pPr>
          </w:p>
        </w:tc>
      </w:tr>
      <w:tr>
        <w:trPr>
          <w:trHeight w:val="148"/>
        </w:trPr>
        <w:tc>
          <w:tcPr>
            <w:tcW w:w="7480" w:type="dxa"/>
            <w:vAlign w:val="bottom"/>
          </w:tcPr>
          <w:p>
            <w:pPr>
              <w:ind w:left="260"/>
              <w:spacing w:after="0"/>
              <w:rPr>
                <w:sz w:val="20"/>
                <w:szCs w:val="20"/>
                <w:color w:val="auto"/>
              </w:rPr>
            </w:pPr>
            <w:r>
              <w:rPr>
                <w:rFonts w:ascii="Arial" w:cs="Arial" w:eastAsia="Arial" w:hAnsi="Arial"/>
                <w:sz w:val="12"/>
                <w:szCs w:val="12"/>
                <w:color w:val="auto"/>
              </w:rPr>
              <w:t>Accrued expenses and other current liabilities (including $68,801 and $74,857 Accrued expenses and other current liabilities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7480" w:type="dxa"/>
            <w:vAlign w:val="bottom"/>
          </w:tcPr>
          <w:p>
            <w:pPr>
              <w:ind w:left="260"/>
              <w:spacing w:after="0" w:line="129" w:lineRule="exact"/>
              <w:rPr>
                <w:sz w:val="20"/>
                <w:szCs w:val="20"/>
                <w:color w:val="auto"/>
              </w:rPr>
            </w:pPr>
            <w:r>
              <w:rPr>
                <w:rFonts w:ascii="Arial" w:cs="Arial" w:eastAsia="Arial" w:hAnsi="Arial"/>
                <w:sz w:val="12"/>
                <w:szCs w:val="12"/>
                <w:color w:val="auto"/>
              </w:rPr>
              <w:t>consolidated joint ventures)</w:t>
            </w:r>
          </w:p>
        </w:tc>
        <w:tc>
          <w:tcPr>
            <w:tcW w:w="18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Arial" w:cs="Arial" w:eastAsia="Arial" w:hAnsi="Arial"/>
                <w:sz w:val="12"/>
                <w:szCs w:val="12"/>
                <w:color w:val="auto"/>
              </w:rPr>
              <w:t>650,753</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Arial" w:cs="Arial" w:eastAsia="Arial" w:hAnsi="Arial"/>
                <w:sz w:val="12"/>
                <w:szCs w:val="12"/>
                <w:color w:val="auto"/>
              </w:rPr>
              <w:t>639,863</w:t>
            </w:r>
          </w:p>
        </w:tc>
        <w:tc>
          <w:tcPr>
            <w:tcW w:w="120" w:type="dxa"/>
            <w:vAlign w:val="bottom"/>
          </w:tcPr>
          <w:p>
            <w:pPr>
              <w:spacing w:after="0"/>
              <w:rPr>
                <w:sz w:val="11"/>
                <w:szCs w:val="11"/>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Contract liabilities (including $33,922 and $32,638 Contract liabilities of consolidated joint ventures)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201,864</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230,681</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Short-term lease liabilities, operating leases</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54,133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49,994</w:t>
            </w: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Income taxes payable</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4,980</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7,231</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Short-term debt</w:t>
            </w: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50,000</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CFF0FC"/>
            </w:tcBorders>
          </w:tcPr>
          <w:p>
            <w:pPr>
              <w:spacing w:after="0"/>
              <w:rPr>
                <w:sz w:val="12"/>
                <w:szCs w:val="12"/>
                <w:color w:val="auto"/>
              </w:rPr>
            </w:pPr>
          </w:p>
        </w:tc>
      </w:tr>
      <w:tr>
        <w:trPr>
          <w:trHeight w:val="135"/>
        </w:trPr>
        <w:tc>
          <w:tcPr>
            <w:tcW w:w="7480" w:type="dxa"/>
            <w:vAlign w:val="bottom"/>
            <w:shd w:val="clear" w:color="auto" w:fill="CFF0FC"/>
          </w:tcPr>
          <w:p>
            <w:pPr>
              <w:ind w:left="460"/>
              <w:spacing w:after="0" w:line="136" w:lineRule="exact"/>
              <w:rPr>
                <w:sz w:val="20"/>
                <w:szCs w:val="20"/>
                <w:color w:val="auto"/>
              </w:rPr>
            </w:pPr>
            <w:r>
              <w:rPr>
                <w:rFonts w:ascii="Arial" w:cs="Arial" w:eastAsia="Arial" w:hAnsi="Arial"/>
                <w:sz w:val="12"/>
                <w:szCs w:val="12"/>
                <w:color w:val="auto"/>
              </w:rPr>
              <w:t>Total current liabilities</w:t>
            </w:r>
          </w:p>
        </w:tc>
        <w:tc>
          <w:tcPr>
            <w:tcW w:w="18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1,187,409</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1,144,382</w:t>
            </w:r>
          </w:p>
        </w:tc>
        <w:tc>
          <w:tcPr>
            <w:tcW w:w="120" w:type="dxa"/>
            <w:vAlign w:val="bottom"/>
            <w:shd w:val="clear" w:color="auto" w:fill="CFF0FC"/>
          </w:tcPr>
          <w:p>
            <w:pPr>
              <w:spacing w:after="0"/>
              <w:rPr>
                <w:sz w:val="11"/>
                <w:szCs w:val="11"/>
                <w:color w:val="auto"/>
              </w:rPr>
            </w:pPr>
          </w:p>
        </w:tc>
      </w:tr>
      <w:tr>
        <w:trPr>
          <w:trHeight w:val="135"/>
        </w:trPr>
        <w:tc>
          <w:tcPr>
            <w:tcW w:w="7480" w:type="dxa"/>
            <w:vAlign w:val="bottom"/>
          </w:tcPr>
          <w:p>
            <w:pPr>
              <w:ind w:left="260"/>
              <w:spacing w:after="0" w:line="136" w:lineRule="exact"/>
              <w:rPr>
                <w:sz w:val="20"/>
                <w:szCs w:val="20"/>
                <w:color w:val="auto"/>
              </w:rPr>
            </w:pPr>
            <w:r>
              <w:rPr>
                <w:rFonts w:ascii="Arial" w:cs="Arial" w:eastAsia="Arial" w:hAnsi="Arial"/>
                <w:sz w:val="12"/>
                <w:szCs w:val="12"/>
                <w:color w:val="auto"/>
              </w:rPr>
              <w:t>Long-term employee incentives</w:t>
            </w:r>
          </w:p>
        </w:tc>
        <w:tc>
          <w:tcPr>
            <w:tcW w:w="18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21,828</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spacing w:after="0" w:line="136" w:lineRule="exact"/>
              <w:rPr>
                <w:sz w:val="20"/>
                <w:szCs w:val="20"/>
                <w:color w:val="auto"/>
              </w:rPr>
            </w:pPr>
            <w:r>
              <w:rPr>
                <w:rFonts w:ascii="Arial" w:cs="Arial" w:eastAsia="Arial" w:hAnsi="Arial"/>
                <w:sz w:val="12"/>
                <w:szCs w:val="12"/>
                <w:color w:val="auto"/>
              </w:rPr>
              <w:t>56,928</w:t>
            </w:r>
          </w:p>
        </w:tc>
        <w:tc>
          <w:tcPr>
            <w:tcW w:w="120" w:type="dxa"/>
            <w:vAlign w:val="bottom"/>
          </w:tcPr>
          <w:p>
            <w:pPr>
              <w:spacing w:after="0"/>
              <w:rPr>
                <w:sz w:val="11"/>
                <w:szCs w:val="11"/>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Long-term debt</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539,998</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249,353</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Pr>
          <w:p>
            <w:pPr>
              <w:ind w:left="260"/>
              <w:spacing w:after="0"/>
              <w:rPr>
                <w:sz w:val="20"/>
                <w:szCs w:val="20"/>
                <w:color w:val="auto"/>
              </w:rPr>
            </w:pPr>
            <w:r>
              <w:rPr>
                <w:rFonts w:ascii="Arial" w:cs="Arial" w:eastAsia="Arial" w:hAnsi="Arial"/>
                <w:sz w:val="12"/>
                <w:szCs w:val="12"/>
                <w:color w:val="auto"/>
              </w:rPr>
              <w:t>Long-term lease liabilities, operating leases</w:t>
            </w: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182,467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203,624</w:t>
            </w:r>
          </w:p>
        </w:tc>
        <w:tc>
          <w:tcPr>
            <w:tcW w:w="120" w:type="dxa"/>
            <w:vAlign w:val="bottom"/>
          </w:tcPr>
          <w:p>
            <w:pPr>
              <w:spacing w:after="0"/>
              <w:rPr>
                <w:sz w:val="12"/>
                <w:szCs w:val="12"/>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Deferred tax liabilities</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12,285</w:t>
            </w: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9,621</w:t>
            </w:r>
          </w:p>
        </w:tc>
        <w:tc>
          <w:tcPr>
            <w:tcW w:w="120" w:type="dxa"/>
            <w:vAlign w:val="bottom"/>
            <w:shd w:val="clear" w:color="auto" w:fill="CFF0FC"/>
          </w:tcPr>
          <w:p>
            <w:pPr>
              <w:spacing w:after="0"/>
              <w:rPr>
                <w:sz w:val="12"/>
                <w:szCs w:val="12"/>
                <w:color w:val="auto"/>
              </w:rPr>
            </w:pPr>
          </w:p>
        </w:tc>
      </w:tr>
      <w:tr>
        <w:trPr>
          <w:trHeight w:val="144"/>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2"/>
                <w:szCs w:val="12"/>
                <w:color w:val="auto"/>
              </w:rPr>
              <w:t>Other long-term liabilities</w:t>
            </w: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132,300</w:t>
            </w:r>
          </w:p>
        </w:tc>
        <w:tc>
          <w:tcPr>
            <w:tcW w:w="2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125,704</w:t>
            </w:r>
          </w:p>
        </w:tc>
        <w:tc>
          <w:tcPr>
            <w:tcW w:w="120" w:type="dxa"/>
            <w:vAlign w:val="bottom"/>
            <w:tcBorders>
              <w:bottom w:val="single" w:sz="8" w:color="CFF0FC"/>
            </w:tcBorders>
          </w:tcPr>
          <w:p>
            <w:pPr>
              <w:spacing w:after="0"/>
              <w:rPr>
                <w:sz w:val="12"/>
                <w:szCs w:val="12"/>
                <w:color w:val="auto"/>
              </w:rPr>
            </w:pPr>
          </w:p>
        </w:tc>
      </w:tr>
      <w:tr>
        <w:trPr>
          <w:trHeight w:val="135"/>
        </w:trPr>
        <w:tc>
          <w:tcPr>
            <w:tcW w:w="7480" w:type="dxa"/>
            <w:vAlign w:val="bottom"/>
            <w:shd w:val="clear" w:color="auto" w:fill="CFF0FC"/>
          </w:tcPr>
          <w:p>
            <w:pPr>
              <w:ind w:left="460"/>
              <w:spacing w:after="0" w:line="136" w:lineRule="exact"/>
              <w:rPr>
                <w:sz w:val="20"/>
                <w:szCs w:val="20"/>
                <w:color w:val="auto"/>
              </w:rPr>
            </w:pPr>
            <w:r>
              <w:rPr>
                <w:rFonts w:ascii="Arial" w:cs="Arial" w:eastAsia="Arial" w:hAnsi="Arial"/>
                <w:sz w:val="12"/>
                <w:szCs w:val="12"/>
                <w:color w:val="auto"/>
              </w:rPr>
              <w:t>Total liabilities</w:t>
            </w:r>
          </w:p>
        </w:tc>
        <w:tc>
          <w:tcPr>
            <w:tcW w:w="18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2,076,287</w:t>
            </w:r>
          </w:p>
        </w:tc>
        <w:tc>
          <w:tcPr>
            <w:tcW w:w="280" w:type="dxa"/>
            <w:vAlign w:val="bottom"/>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spacing w:after="0"/>
              <w:rPr>
                <w:sz w:val="11"/>
                <w:szCs w:val="11"/>
                <w:color w:val="auto"/>
              </w:rPr>
            </w:pP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1,789,612</w:t>
            </w:r>
          </w:p>
        </w:tc>
        <w:tc>
          <w:tcPr>
            <w:tcW w:w="120" w:type="dxa"/>
            <w:vAlign w:val="bottom"/>
            <w:shd w:val="clear" w:color="auto" w:fill="CFF0FC"/>
          </w:tcPr>
          <w:p>
            <w:pPr>
              <w:spacing w:after="0"/>
              <w:rPr>
                <w:sz w:val="11"/>
                <w:szCs w:val="11"/>
                <w:color w:val="auto"/>
              </w:rPr>
            </w:pPr>
          </w:p>
        </w:tc>
      </w:tr>
      <w:tr>
        <w:trPr>
          <w:trHeight w:val="135"/>
        </w:trPr>
        <w:tc>
          <w:tcPr>
            <w:tcW w:w="7480" w:type="dxa"/>
            <w:vAlign w:val="bottom"/>
          </w:tcPr>
          <w:p>
            <w:pPr>
              <w:spacing w:after="0" w:line="136" w:lineRule="exact"/>
              <w:rPr>
                <w:sz w:val="20"/>
                <w:szCs w:val="20"/>
                <w:color w:val="auto"/>
              </w:rPr>
            </w:pPr>
            <w:r>
              <w:rPr>
                <w:rFonts w:ascii="Arial" w:cs="Arial" w:eastAsia="Arial" w:hAnsi="Arial"/>
                <w:sz w:val="12"/>
                <w:szCs w:val="12"/>
                <w:color w:val="auto"/>
              </w:rPr>
              <w:t>Contingencies (Note 15)</w:t>
            </w: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7480" w:type="dxa"/>
            <w:vAlign w:val="bottom"/>
            <w:shd w:val="clear" w:color="auto" w:fill="CFF0FC"/>
          </w:tcPr>
          <w:p>
            <w:pPr>
              <w:spacing w:after="0"/>
              <w:rPr>
                <w:sz w:val="20"/>
                <w:szCs w:val="20"/>
                <w:color w:val="auto"/>
              </w:rPr>
            </w:pPr>
            <w:r>
              <w:rPr>
                <w:rFonts w:ascii="Arial" w:cs="Arial" w:eastAsia="Arial" w:hAnsi="Arial"/>
                <w:sz w:val="12"/>
                <w:szCs w:val="12"/>
                <w:color w:val="auto"/>
              </w:rPr>
              <w:t>Shareholders' equity:</w:t>
            </w: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5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480" w:type="dxa"/>
            <w:vAlign w:val="bottom"/>
          </w:tcPr>
          <w:p>
            <w:pPr>
              <w:ind w:left="260"/>
              <w:spacing w:after="0"/>
              <w:rPr>
                <w:sz w:val="20"/>
                <w:szCs w:val="20"/>
                <w:color w:val="auto"/>
              </w:rPr>
            </w:pPr>
            <w:r>
              <w:rPr>
                <w:rFonts w:ascii="Arial" w:cs="Arial" w:eastAsia="Arial" w:hAnsi="Arial"/>
                <w:sz w:val="12"/>
                <w:szCs w:val="12"/>
                <w:color w:val="auto"/>
              </w:rPr>
              <w:t>Common stock, $1 par value; authorized 1,000,000,000 shares; 146,609,288 and 146,440,701 shares issued; 25,719,350 and</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7480" w:type="dxa"/>
            <w:vAlign w:val="bottom"/>
          </w:tcPr>
          <w:p>
            <w:pPr>
              <w:ind w:left="260"/>
              <w:spacing w:after="0" w:line="129" w:lineRule="exact"/>
              <w:rPr>
                <w:sz w:val="20"/>
                <w:szCs w:val="20"/>
                <w:color w:val="auto"/>
              </w:rPr>
            </w:pPr>
            <w:r>
              <w:rPr>
                <w:rFonts w:ascii="Arial" w:cs="Arial" w:eastAsia="Arial" w:hAnsi="Arial"/>
                <w:sz w:val="12"/>
                <w:szCs w:val="12"/>
                <w:color w:val="auto"/>
              </w:rPr>
              <w:t>21,772,888 public shares outstanding; 76,641,312 and 78,896,806 ESOP shares outstanding</w:t>
            </w:r>
          </w:p>
        </w:tc>
        <w:tc>
          <w:tcPr>
            <w:tcW w:w="18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Arial" w:cs="Arial" w:eastAsia="Arial" w:hAnsi="Arial"/>
                <w:sz w:val="12"/>
                <w:szCs w:val="12"/>
                <w:color w:val="auto"/>
              </w:rPr>
              <w:t>146,609</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spacing w:after="0" w:line="129" w:lineRule="exact"/>
              <w:rPr>
                <w:sz w:val="20"/>
                <w:szCs w:val="20"/>
                <w:color w:val="auto"/>
              </w:rPr>
            </w:pPr>
            <w:r>
              <w:rPr>
                <w:rFonts w:ascii="Arial" w:cs="Arial" w:eastAsia="Arial" w:hAnsi="Arial"/>
                <w:sz w:val="12"/>
                <w:szCs w:val="12"/>
                <w:color w:val="auto"/>
              </w:rPr>
              <w:t>146,441</w:t>
            </w:r>
          </w:p>
        </w:tc>
        <w:tc>
          <w:tcPr>
            <w:tcW w:w="120" w:type="dxa"/>
            <w:vAlign w:val="bottom"/>
          </w:tcPr>
          <w:p>
            <w:pPr>
              <w:spacing w:after="0"/>
              <w:rPr>
                <w:sz w:val="11"/>
                <w:szCs w:val="11"/>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Treasury stock, 44,248,626 shares at cost</w:t>
            </w:r>
          </w:p>
        </w:tc>
        <w:tc>
          <w:tcPr>
            <w:tcW w:w="1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(899,328)</w:t>
            </w:r>
          </w:p>
        </w:tc>
        <w:tc>
          <w:tcPr>
            <w:tcW w:w="1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(934,240)</w:t>
            </w:r>
          </w:p>
        </w:tc>
      </w:tr>
      <w:tr>
        <w:trPr>
          <w:trHeight w:val="156"/>
        </w:trPr>
        <w:tc>
          <w:tcPr>
            <w:tcW w:w="7480" w:type="dxa"/>
            <w:vAlign w:val="bottom"/>
          </w:tcPr>
          <w:p>
            <w:pPr>
              <w:ind w:left="260"/>
              <w:spacing w:after="0"/>
              <w:rPr>
                <w:sz w:val="20"/>
                <w:szCs w:val="20"/>
                <w:color w:val="auto"/>
              </w:rPr>
            </w:pPr>
            <w:r>
              <w:rPr>
                <w:rFonts w:ascii="Arial" w:cs="Arial" w:eastAsia="Arial" w:hAnsi="Arial"/>
                <w:sz w:val="12"/>
                <w:szCs w:val="12"/>
                <w:color w:val="auto"/>
              </w:rPr>
              <w:t>Additional paid-in capital</w:t>
            </w:r>
          </w:p>
        </w:tc>
        <w:tc>
          <w:tcPr>
            <w:tcW w:w="1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2,700,925</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2,649,975</w:t>
            </w:r>
          </w:p>
        </w:tc>
        <w:tc>
          <w:tcPr>
            <w:tcW w:w="120" w:type="dxa"/>
            <w:vAlign w:val="bottom"/>
          </w:tcPr>
          <w:p>
            <w:pPr>
              <w:spacing w:after="0"/>
              <w:rPr>
                <w:sz w:val="13"/>
                <w:szCs w:val="13"/>
                <w:color w:val="auto"/>
              </w:rPr>
            </w:pPr>
          </w:p>
        </w:tc>
      </w:tr>
      <w:tr>
        <w:trPr>
          <w:trHeight w:val="132"/>
        </w:trPr>
        <w:tc>
          <w:tcPr>
            <w:tcW w:w="7480" w:type="dxa"/>
            <w:vAlign w:val="bottom"/>
          </w:tcPr>
          <w:p>
            <w:pPr>
              <w:ind w:left="260"/>
              <w:spacing w:after="0" w:line="132" w:lineRule="exact"/>
              <w:rPr>
                <w:sz w:val="20"/>
                <w:szCs w:val="20"/>
                <w:color w:val="auto"/>
              </w:rPr>
            </w:pPr>
            <w:r>
              <w:rPr>
                <w:rFonts w:ascii="Arial" w:cs="Arial" w:eastAsia="Arial" w:hAnsi="Arial"/>
                <w:sz w:val="12"/>
                <w:szCs w:val="12"/>
                <w:color w:val="auto"/>
              </w:rPr>
              <w:t>Accumulated deficit</w:t>
            </w:r>
          </w:p>
        </w:tc>
        <w:tc>
          <w:tcPr>
            <w:tcW w:w="180" w:type="dxa"/>
            <w:vAlign w:val="bottom"/>
          </w:tcPr>
          <w:p>
            <w:pPr>
              <w:spacing w:after="0"/>
              <w:rPr>
                <w:sz w:val="11"/>
                <w:szCs w:val="11"/>
                <w:color w:val="auto"/>
              </w:rPr>
            </w:pPr>
          </w:p>
        </w:tc>
        <w:tc>
          <w:tcPr>
            <w:tcW w:w="1800" w:type="dxa"/>
            <w:vAlign w:val="bottom"/>
            <w:gridSpan w:val="2"/>
          </w:tcPr>
          <w:p>
            <w:pPr>
              <w:jc w:val="right"/>
              <w:ind w:right="240"/>
              <w:spacing w:after="0" w:line="132" w:lineRule="exact"/>
              <w:rPr>
                <w:sz w:val="20"/>
                <w:szCs w:val="20"/>
                <w:color w:val="auto"/>
              </w:rPr>
            </w:pPr>
            <w:r>
              <w:rPr>
                <w:rFonts w:ascii="Arial" w:cs="Arial" w:eastAsia="Arial" w:hAnsi="Arial"/>
                <w:sz w:val="12"/>
                <w:szCs w:val="12"/>
                <w:color w:val="auto"/>
              </w:rPr>
              <w:t>(120,569)</w:t>
            </w:r>
          </w:p>
        </w:tc>
        <w:tc>
          <w:tcPr>
            <w:tcW w:w="180" w:type="dxa"/>
            <w:vAlign w:val="bottom"/>
          </w:tcPr>
          <w:p>
            <w:pPr>
              <w:spacing w:after="0"/>
              <w:rPr>
                <w:sz w:val="11"/>
                <w:szCs w:val="11"/>
                <w:color w:val="auto"/>
              </w:rPr>
            </w:pPr>
          </w:p>
        </w:tc>
        <w:tc>
          <w:tcPr>
            <w:tcW w:w="1640" w:type="dxa"/>
            <w:vAlign w:val="bottom"/>
            <w:gridSpan w:val="2"/>
          </w:tcPr>
          <w:p>
            <w:pPr>
              <w:jc w:val="right"/>
              <w:ind w:right="80"/>
              <w:spacing w:after="0" w:line="132" w:lineRule="exact"/>
              <w:rPr>
                <w:sz w:val="20"/>
                <w:szCs w:val="20"/>
                <w:color w:val="auto"/>
              </w:rPr>
            </w:pPr>
            <w:r>
              <w:rPr>
                <w:rFonts w:ascii="Arial" w:cs="Arial" w:eastAsia="Arial" w:hAnsi="Arial"/>
                <w:sz w:val="12"/>
                <w:szCs w:val="12"/>
                <w:color w:val="auto"/>
              </w:rPr>
              <w:t>(218,025)</w:t>
            </w: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Accumulated other comprehensive loss</w:t>
            </w:r>
          </w:p>
        </w:tc>
        <w:tc>
          <w:tcPr>
            <w:tcW w:w="18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240"/>
              <w:spacing w:after="0"/>
              <w:rPr>
                <w:sz w:val="20"/>
                <w:szCs w:val="20"/>
                <w:color w:val="auto"/>
              </w:rPr>
            </w:pPr>
            <w:r>
              <w:rPr>
                <w:rFonts w:ascii="Arial" w:cs="Arial" w:eastAsia="Arial" w:hAnsi="Arial"/>
                <w:sz w:val="12"/>
                <w:szCs w:val="12"/>
                <w:color w:val="auto"/>
              </w:rPr>
              <w:t>(13,865)</w:t>
            </w:r>
          </w:p>
        </w:tc>
        <w:tc>
          <w:tcPr>
            <w:tcW w:w="180" w:type="dxa"/>
            <w:vAlign w:val="bottom"/>
            <w:shd w:val="clear" w:color="auto" w:fill="CFF0FC"/>
          </w:tcPr>
          <w:p>
            <w:pPr>
              <w:spacing w:after="0"/>
              <w:rPr>
                <w:sz w:val="12"/>
                <w:szCs w:val="12"/>
                <w:color w:val="auto"/>
              </w:rPr>
            </w:pPr>
          </w:p>
        </w:tc>
        <w:tc>
          <w:tcPr>
            <w:tcW w:w="16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(14,261)</w:t>
            </w:r>
          </w:p>
        </w:tc>
      </w:tr>
      <w:tr>
        <w:trPr>
          <w:trHeight w:val="135"/>
        </w:trPr>
        <w:tc>
          <w:tcPr>
            <w:tcW w:w="7480" w:type="dxa"/>
            <w:vAlign w:val="bottom"/>
          </w:tcPr>
          <w:p>
            <w:pPr>
              <w:ind w:left="260"/>
              <w:spacing w:after="0" w:line="136" w:lineRule="exact"/>
              <w:rPr>
                <w:sz w:val="20"/>
                <w:szCs w:val="20"/>
                <w:color w:val="auto"/>
              </w:rPr>
            </w:pPr>
            <w:r>
              <w:rPr>
                <w:rFonts w:ascii="Arial" w:cs="Arial" w:eastAsia="Arial" w:hAnsi="Arial"/>
                <w:sz w:val="12"/>
                <w:szCs w:val="12"/>
                <w:color w:val="auto"/>
              </w:rPr>
              <w:t>Total Parsons Corporation shareholders' equity</w:t>
            </w: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1,813,772</w:t>
            </w:r>
          </w:p>
        </w:tc>
        <w:tc>
          <w:tcPr>
            <w:tcW w:w="2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2"/>
                <w:szCs w:val="12"/>
                <w:color w:val="auto"/>
              </w:rPr>
              <w:t>1,629,890</w:t>
            </w:r>
          </w:p>
        </w:tc>
        <w:tc>
          <w:tcPr>
            <w:tcW w:w="120" w:type="dxa"/>
            <w:vAlign w:val="bottom"/>
          </w:tcPr>
          <w:p>
            <w:pPr>
              <w:spacing w:after="0"/>
              <w:rPr>
                <w:sz w:val="11"/>
                <w:szCs w:val="11"/>
                <w:color w:val="auto"/>
              </w:rPr>
            </w:pPr>
          </w:p>
        </w:tc>
      </w:tr>
      <w:tr>
        <w:trPr>
          <w:trHeight w:val="144"/>
        </w:trPr>
        <w:tc>
          <w:tcPr>
            <w:tcW w:w="7480" w:type="dxa"/>
            <w:vAlign w:val="bottom"/>
            <w:shd w:val="clear" w:color="auto" w:fill="CFF0FC"/>
          </w:tcPr>
          <w:p>
            <w:pPr>
              <w:ind w:left="260"/>
              <w:spacing w:after="0"/>
              <w:rPr>
                <w:sz w:val="20"/>
                <w:szCs w:val="20"/>
                <w:color w:val="auto"/>
              </w:rPr>
            </w:pPr>
            <w:r>
              <w:rPr>
                <w:rFonts w:ascii="Arial" w:cs="Arial" w:eastAsia="Arial" w:hAnsi="Arial"/>
                <w:sz w:val="12"/>
                <w:szCs w:val="12"/>
                <w:color w:val="auto"/>
              </w:rPr>
              <w:t>Noncontrolling interests</w:t>
            </w:r>
          </w:p>
        </w:tc>
        <w:tc>
          <w:tcPr>
            <w:tcW w:w="1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47,645</w:t>
            </w:r>
          </w:p>
        </w:tc>
        <w:tc>
          <w:tcPr>
            <w:tcW w:w="280" w:type="dxa"/>
            <w:vAlign w:val="bottom"/>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30,866</w:t>
            </w:r>
          </w:p>
        </w:tc>
        <w:tc>
          <w:tcPr>
            <w:tcW w:w="120" w:type="dxa"/>
            <w:vAlign w:val="bottom"/>
            <w:shd w:val="clear" w:color="auto" w:fill="CFF0FC"/>
          </w:tcPr>
          <w:p>
            <w:pPr>
              <w:spacing w:after="0"/>
              <w:rPr>
                <w:sz w:val="12"/>
                <w:szCs w:val="12"/>
                <w:color w:val="auto"/>
              </w:rPr>
            </w:pPr>
          </w:p>
        </w:tc>
      </w:tr>
      <w:tr>
        <w:trPr>
          <w:trHeight w:val="135"/>
        </w:trPr>
        <w:tc>
          <w:tcPr>
            <w:tcW w:w="7480" w:type="dxa"/>
            <w:vAlign w:val="bottom"/>
            <w:tcBorders>
              <w:bottom w:val="single" w:sz="8" w:color="CFF0FC"/>
            </w:tcBorders>
          </w:tcPr>
          <w:p>
            <w:pPr>
              <w:ind w:left="260"/>
              <w:spacing w:after="0" w:line="136" w:lineRule="exact"/>
              <w:rPr>
                <w:sz w:val="20"/>
                <w:szCs w:val="20"/>
                <w:color w:val="auto"/>
              </w:rPr>
            </w:pPr>
            <w:r>
              <w:rPr>
                <w:rFonts w:ascii="Arial" w:cs="Arial" w:eastAsia="Arial" w:hAnsi="Arial"/>
                <w:sz w:val="12"/>
                <w:szCs w:val="12"/>
                <w:color w:val="auto"/>
              </w:rPr>
              <w:t>Total shareholders' equity</w:t>
            </w: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1,861,417</w:t>
            </w:r>
          </w:p>
        </w:tc>
        <w:tc>
          <w:tcPr>
            <w:tcW w:w="280" w:type="dxa"/>
            <w:vAlign w:val="bottom"/>
            <w:tcBorders>
              <w:bottom w:val="single" w:sz="8" w:color="CFF0FC"/>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1,660,756</w:t>
            </w:r>
          </w:p>
        </w:tc>
        <w:tc>
          <w:tcPr>
            <w:tcW w:w="120" w:type="dxa"/>
            <w:vAlign w:val="bottom"/>
            <w:tcBorders>
              <w:bottom w:val="single" w:sz="8" w:color="CFF0FC"/>
            </w:tcBorders>
          </w:tcPr>
          <w:p>
            <w:pPr>
              <w:spacing w:after="0"/>
              <w:rPr>
                <w:sz w:val="11"/>
                <w:szCs w:val="11"/>
                <w:color w:val="auto"/>
              </w:rPr>
            </w:pPr>
          </w:p>
        </w:tc>
      </w:tr>
      <w:tr>
        <w:trPr>
          <w:trHeight w:val="135"/>
        </w:trPr>
        <w:tc>
          <w:tcPr>
            <w:tcW w:w="7480" w:type="dxa"/>
            <w:vAlign w:val="bottom"/>
            <w:tcBorders>
              <w:bottom w:val="single" w:sz="8" w:color="CFF0FC"/>
            </w:tcBorders>
            <w:shd w:val="clear" w:color="auto" w:fill="CFF0FC"/>
          </w:tcPr>
          <w:p>
            <w:pPr>
              <w:ind w:left="260"/>
              <w:spacing w:after="0" w:line="136" w:lineRule="exact"/>
              <w:rPr>
                <w:sz w:val="20"/>
                <w:szCs w:val="20"/>
                <w:color w:val="auto"/>
              </w:rPr>
            </w:pPr>
            <w:r>
              <w:rPr>
                <w:rFonts w:ascii="Arial" w:cs="Arial" w:eastAsia="Arial" w:hAnsi="Arial"/>
                <w:sz w:val="12"/>
                <w:szCs w:val="12"/>
                <w:color w:val="auto"/>
              </w:rPr>
              <w:t>Total liabilities and shareholders' equity</w:t>
            </w: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3,937,704</w:t>
            </w:r>
          </w:p>
        </w:tc>
        <w:tc>
          <w:tcPr>
            <w:tcW w:w="280" w:type="dxa"/>
            <w:vAlign w:val="bottom"/>
            <w:tcBorders>
              <w:bottom w:val="single" w:sz="8" w:color="CFF0FC"/>
            </w:tcBorders>
            <w:shd w:val="clear" w:color="auto" w:fill="CFF0FC"/>
          </w:tcPr>
          <w:p>
            <w:pPr>
              <w:spacing w:after="0"/>
              <w:rPr>
                <w:sz w:val="11"/>
                <w:szCs w:val="11"/>
                <w:color w:val="auto"/>
              </w:rPr>
            </w:pPr>
          </w:p>
        </w:tc>
        <w:tc>
          <w:tcPr>
            <w:tcW w:w="18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9"/>
                <w:szCs w:val="9"/>
                <w:color w:val="auto"/>
                <w:w w:val="78"/>
              </w:rPr>
              <w:t>$</w:t>
            </w:r>
          </w:p>
        </w:tc>
        <w:tc>
          <w:tcPr>
            <w:tcW w:w="152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2"/>
                <w:szCs w:val="12"/>
                <w:color w:val="auto"/>
              </w:rPr>
              <w:t>3,450,368</w:t>
            </w:r>
          </w:p>
        </w:tc>
        <w:tc>
          <w:tcPr>
            <w:tcW w:w="120" w:type="dxa"/>
            <w:vAlign w:val="bottom"/>
            <w:tcBorders>
              <w:bottom w:val="single" w:sz="8" w:color="CFF0FC"/>
            </w:tcBorders>
            <w:shd w:val="clear" w:color="auto" w:fill="CFF0FC"/>
          </w:tcPr>
          <w:p>
            <w:pPr>
              <w:spacing w:after="0"/>
              <w:rPr>
                <w:sz w:val="11"/>
                <w:szCs w:val="11"/>
                <w:color w:val="auto"/>
              </w:rPr>
            </w:pP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8" w:name="page99"/>
    <w:bookmarkEnd w:id="9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Income</w:t>
      </w:r>
    </w:p>
    <w:p>
      <w:pPr>
        <w:jc w:val="center"/>
        <w:spacing w:after="0" w:line="231" w:lineRule="auto"/>
        <w:rPr>
          <w:sz w:val="20"/>
          <w:szCs w:val="20"/>
          <w:color w:val="auto"/>
        </w:rPr>
      </w:pPr>
      <w:r>
        <w:rPr>
          <w:rFonts w:ascii="Arial" w:cs="Arial" w:eastAsia="Arial" w:hAnsi="Arial"/>
          <w:sz w:val="15"/>
          <w:szCs w:val="15"/>
          <w:b w:val="1"/>
          <w:bCs w:val="1"/>
          <w:color w:val="auto"/>
        </w:rPr>
        <w:t>Years Ended December 31, 2020, December 31, 2019 and December 31, 2018</w:t>
      </w:r>
    </w:p>
    <w:p>
      <w:pPr>
        <w:jc w:val="center"/>
        <w:spacing w:after="0"/>
        <w:rPr>
          <w:sz w:val="20"/>
          <w:szCs w:val="20"/>
          <w:color w:val="auto"/>
        </w:rPr>
      </w:pPr>
      <w:r>
        <w:rPr>
          <w:rFonts w:ascii="Arial" w:cs="Arial" w:eastAsia="Arial" w:hAnsi="Arial"/>
          <w:sz w:val="15"/>
          <w:szCs w:val="15"/>
          <w:i w:val="1"/>
          <w:iCs w:val="1"/>
          <w:color w:val="auto"/>
        </w:rPr>
        <w:t>(in thousands, except for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3,918,946</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Direct cost of contracts</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3,042,087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3,123,062</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2,795,005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Equity in earnings of unconsolidated joint ventures</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30,059</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41,721</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36,915</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Indirect, general and administrative expenses</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729,103</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781,408</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597,410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Operating income</w:t>
            </w:r>
          </w:p>
        </w:tc>
        <w:tc>
          <w:tcPr>
            <w:tcW w:w="3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177,815</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92,063</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205,008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Interest income</w:t>
            </w:r>
          </w:p>
        </w:tc>
        <w:tc>
          <w:tcPr>
            <w:tcW w:w="32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787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1,300</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2,710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(20,956)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(23,729)</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(20,842)</w:t>
            </w: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Other income (expense), net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3,767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(2,392)</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(1,651)</w:t>
            </w: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Gain associated with claim on long-term contract</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74,578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other (expense) income</w:t>
            </w:r>
          </w:p>
        </w:tc>
        <w:tc>
          <w:tcPr>
            <w:tcW w:w="320" w:type="dxa"/>
            <w:vAlign w:val="bottom"/>
          </w:tcPr>
          <w:p>
            <w:pPr>
              <w:spacing w:after="0"/>
              <w:rPr>
                <w:sz w:val="14"/>
                <w:szCs w:val="14"/>
                <w:color w:val="auto"/>
              </w:rPr>
            </w:pPr>
          </w:p>
        </w:tc>
        <w:tc>
          <w:tcPr>
            <w:tcW w:w="11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(16,402)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(24,821)</w:t>
            </w: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54,795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660" w:type="dxa"/>
            <w:vAlign w:val="bottom"/>
            <w:tcBorders>
              <w:top w:val="single" w:sz="8" w:color="CFF0FC"/>
            </w:tcBorders>
            <w:shd w:val="clear" w:color="auto" w:fill="CFF0FC"/>
          </w:tcPr>
          <w:p>
            <w:pPr>
              <w:ind w:left="220"/>
              <w:spacing w:after="0" w:line="169" w:lineRule="exact"/>
              <w:rPr>
                <w:sz w:val="20"/>
                <w:szCs w:val="20"/>
                <w:color w:val="auto"/>
              </w:rPr>
            </w:pPr>
            <w:r>
              <w:rPr>
                <w:rFonts w:ascii="Arial" w:cs="Arial" w:eastAsia="Arial" w:hAnsi="Arial"/>
                <w:sz w:val="15"/>
                <w:szCs w:val="15"/>
                <w:color w:val="auto"/>
              </w:rPr>
              <w:t>Income before income tax expense</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161,413</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67,242</w:t>
            </w:r>
          </w:p>
        </w:tc>
        <w:tc>
          <w:tcPr>
            <w:tcW w:w="2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259,803</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(42,492)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69,886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(20,367)</w:t>
            </w:r>
          </w:p>
        </w:tc>
        <w:tc>
          <w:tcPr>
            <w:tcW w:w="0" w:type="dxa"/>
            <w:vAlign w:val="bottom"/>
          </w:tcPr>
          <w:p>
            <w:pPr>
              <w:spacing w:after="0"/>
              <w:rPr>
                <w:sz w:val="1"/>
                <w:szCs w:val="1"/>
                <w:color w:val="auto"/>
              </w:rPr>
            </w:pPr>
          </w:p>
        </w:tc>
      </w:tr>
      <w:tr>
        <w:trPr>
          <w:trHeight w:val="168"/>
        </w:trPr>
        <w:tc>
          <w:tcPr>
            <w:tcW w:w="6660" w:type="dxa"/>
            <w:vAlign w:val="bottom"/>
            <w:tcBorders>
              <w:top w:val="single" w:sz="8" w:color="CFF0FC"/>
            </w:tcBorders>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118,921</w:t>
            </w: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137,128</w:t>
            </w:r>
          </w:p>
        </w:tc>
        <w:tc>
          <w:tcPr>
            <w:tcW w:w="26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239,436</w:t>
            </w: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(20,380)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5"/>
                <w:szCs w:val="15"/>
                <w:color w:val="auto"/>
              </w:rPr>
              <w:t>(16,594)</w:t>
            </w: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(17,099)</w:t>
            </w:r>
          </w:p>
        </w:tc>
        <w:tc>
          <w:tcPr>
            <w:tcW w:w="0" w:type="dxa"/>
            <w:vAlign w:val="bottom"/>
          </w:tcPr>
          <w:p>
            <w:pPr>
              <w:spacing w:after="0"/>
              <w:rPr>
                <w:sz w:val="1"/>
                <w:szCs w:val="1"/>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98,541</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120,534</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222,337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5"/>
                <w:szCs w:val="15"/>
                <w:color w:val="auto"/>
              </w:rPr>
              <w:t>Earnings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Basic earnings per share</w:t>
            </w:r>
          </w:p>
        </w:tc>
        <w:tc>
          <w:tcPr>
            <w:tcW w:w="32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0.98</w:t>
            </w:r>
          </w:p>
        </w:tc>
        <w:tc>
          <w:tcPr>
            <w:tcW w:w="16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660" w:type="dxa"/>
            <w:vAlign w:val="bottom"/>
          </w:tcPr>
          <w:p>
            <w:pPr>
              <w:ind w:left="220"/>
              <w:spacing w:after="0" w:line="151" w:lineRule="exact"/>
              <w:rPr>
                <w:sz w:val="20"/>
                <w:szCs w:val="20"/>
                <w:color w:val="auto"/>
              </w:rPr>
            </w:pPr>
            <w:r>
              <w:rPr>
                <w:rFonts w:ascii="Arial" w:cs="Arial" w:eastAsia="Arial" w:hAnsi="Arial"/>
                <w:sz w:val="15"/>
                <w:szCs w:val="15"/>
                <w:color w:val="auto"/>
              </w:rPr>
              <w:t>Diluted earnings per share</w:t>
            </w:r>
          </w:p>
        </w:tc>
        <w:tc>
          <w:tcPr>
            <w:tcW w:w="320" w:type="dxa"/>
            <w:vAlign w:val="bottom"/>
          </w:tcPr>
          <w:p>
            <w:pPr>
              <w:jc w:val="right"/>
              <w:ind w:right="146"/>
              <w:spacing w:after="0" w:line="151"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51" w:lineRule="exact"/>
              <w:rPr>
                <w:sz w:val="20"/>
                <w:szCs w:val="20"/>
                <w:color w:val="auto"/>
              </w:rPr>
            </w:pPr>
            <w:r>
              <w:rPr>
                <w:rFonts w:ascii="Arial" w:cs="Arial" w:eastAsia="Arial" w:hAnsi="Arial"/>
                <w:sz w:val="15"/>
                <w:szCs w:val="15"/>
                <w:color w:val="auto"/>
              </w:rPr>
              <w:t>0.97</w:t>
            </w:r>
          </w:p>
        </w:tc>
        <w:tc>
          <w:tcPr>
            <w:tcW w:w="160" w:type="dxa"/>
            <w:vAlign w:val="bottom"/>
          </w:tcPr>
          <w:p>
            <w:pPr>
              <w:spacing w:after="0"/>
              <w:rPr>
                <w:sz w:val="13"/>
                <w:szCs w:val="13"/>
                <w:color w:val="auto"/>
              </w:rPr>
            </w:pPr>
          </w:p>
        </w:tc>
        <w:tc>
          <w:tcPr>
            <w:tcW w:w="420" w:type="dxa"/>
            <w:vAlign w:val="bottom"/>
            <w:gridSpan w:val="2"/>
          </w:tcPr>
          <w:p>
            <w:pPr>
              <w:jc w:val="right"/>
              <w:ind w:right="220"/>
              <w:spacing w:after="0" w:line="151"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1" w:lineRule="exact"/>
              <w:rPr>
                <w:sz w:val="20"/>
                <w:szCs w:val="20"/>
                <w:color w:val="auto"/>
              </w:rPr>
            </w:pPr>
            <w:r>
              <w:rPr>
                <w:rFonts w:ascii="Arial" w:cs="Arial" w:eastAsia="Arial" w:hAnsi="Arial"/>
                <w:sz w:val="15"/>
                <w:szCs w:val="15"/>
                <w:color w:val="auto"/>
              </w:rPr>
              <w:t>1.30</w:t>
            </w:r>
          </w:p>
        </w:tc>
        <w:tc>
          <w:tcPr>
            <w:tcW w:w="260" w:type="dxa"/>
            <w:vAlign w:val="bottom"/>
          </w:tcPr>
          <w:p>
            <w:pPr>
              <w:spacing w:after="0"/>
              <w:rPr>
                <w:sz w:val="13"/>
                <w:szCs w:val="13"/>
                <w:color w:val="auto"/>
              </w:rPr>
            </w:pPr>
          </w:p>
        </w:tc>
        <w:tc>
          <w:tcPr>
            <w:tcW w:w="300" w:type="dxa"/>
            <w:vAlign w:val="bottom"/>
          </w:tcPr>
          <w:p>
            <w:pPr>
              <w:jc w:val="right"/>
              <w:ind w:right="146"/>
              <w:spacing w:after="0" w:line="151"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51" w:lineRule="exact"/>
              <w:rPr>
                <w:sz w:val="20"/>
                <w:szCs w:val="20"/>
                <w:color w:val="auto"/>
              </w:rPr>
            </w:pPr>
            <w:r>
              <w:rPr>
                <w:rFonts w:ascii="Arial" w:cs="Arial" w:eastAsia="Arial" w:hAnsi="Arial"/>
                <w:sz w:val="15"/>
                <w:szCs w:val="15"/>
                <w:color w:val="auto"/>
              </w:rPr>
              <w:t>2.78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99" w:name="page100"/>
    <w:bookmarkEnd w:id="9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Comprehensive Income</w:t>
      </w:r>
    </w:p>
    <w:p>
      <w:pPr>
        <w:jc w:val="center"/>
        <w:spacing w:after="0" w:line="231" w:lineRule="auto"/>
        <w:rPr>
          <w:sz w:val="20"/>
          <w:szCs w:val="20"/>
          <w:color w:val="auto"/>
        </w:rPr>
      </w:pPr>
      <w:r>
        <w:rPr>
          <w:rFonts w:ascii="Arial" w:cs="Arial" w:eastAsia="Arial" w:hAnsi="Arial"/>
          <w:sz w:val="15"/>
          <w:szCs w:val="15"/>
          <w:b w:val="1"/>
          <w:bCs w:val="1"/>
          <w:color w:val="auto"/>
        </w:rPr>
        <w:t>Years Ended December 31, 2020, December 31, 2019 and December 31, 2018</w:t>
      </w:r>
    </w:p>
    <w:p>
      <w:pPr>
        <w:jc w:val="center"/>
        <w:spacing w:after="0"/>
        <w:rPr>
          <w:sz w:val="20"/>
          <w:szCs w:val="20"/>
          <w:color w:val="auto"/>
        </w:rPr>
      </w:pPr>
      <w:r>
        <w:rPr>
          <w:rFonts w:ascii="Arial" w:cs="Arial" w:eastAsia="Arial" w:hAnsi="Arial"/>
          <w:sz w:val="15"/>
          <w:szCs w:val="15"/>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24765</wp:posOffset>
            </wp:positionV>
            <wp:extent cx="715708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income including noncontrolling interests</w:t>
            </w:r>
          </w:p>
        </w:tc>
        <w:tc>
          <w:tcPr>
            <w:tcW w:w="32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118,921</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137,128</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239,436</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Other comprehensive income (loss), net of tax</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Foreign currency translation adjustment, net of tax</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8,418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(7,800)</w:t>
            </w: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Pension adjustments, net of tax</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(88)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(56)</w:t>
            </w:r>
          </w:p>
        </w:tc>
      </w:tr>
      <w:tr>
        <w:trPr>
          <w:trHeight w:val="168"/>
        </w:trPr>
        <w:tc>
          <w:tcPr>
            <w:tcW w:w="6660" w:type="dxa"/>
            <w:vAlign w:val="bottom"/>
            <w:tcBorders>
              <w:top w:val="single" w:sz="8" w:color="CFF0FC"/>
            </w:tcBorders>
            <w:shd w:val="clear" w:color="auto" w:fill="CFF0FC"/>
          </w:tcPr>
          <w:p>
            <w:pPr>
              <w:ind w:left="420"/>
              <w:spacing w:after="0" w:line="168" w:lineRule="exact"/>
              <w:rPr>
                <w:sz w:val="20"/>
                <w:szCs w:val="20"/>
                <w:color w:val="auto"/>
              </w:rPr>
            </w:pPr>
            <w:r>
              <w:rPr>
                <w:rFonts w:ascii="Arial" w:cs="Arial" w:eastAsia="Arial" w:hAnsi="Arial"/>
                <w:sz w:val="15"/>
                <w:szCs w:val="15"/>
                <w:color w:val="auto"/>
              </w:rPr>
              <w:t>Comprehensive income including noncontrolling</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540"/>
              <w:spacing w:after="0" w:line="167" w:lineRule="exact"/>
              <w:rPr>
                <w:sz w:val="20"/>
                <w:szCs w:val="20"/>
                <w:color w:val="auto"/>
              </w:rPr>
            </w:pPr>
            <w:r>
              <w:rPr>
                <w:rFonts w:ascii="Arial" w:cs="Arial" w:eastAsia="Arial" w:hAnsi="Arial"/>
                <w:sz w:val="15"/>
                <w:szCs w:val="15"/>
                <w:color w:val="auto"/>
              </w:rPr>
              <w:t>interests, net of tax</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119,317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145,827</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231,580</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Comprehensive income attributable to noncontrolling interests, net of tax</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(20,380)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(16,597)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(17,197)</w:t>
            </w:r>
          </w:p>
        </w:tc>
      </w:tr>
      <w:tr>
        <w:trPr>
          <w:trHeight w:val="168"/>
        </w:trPr>
        <w:tc>
          <w:tcPr>
            <w:tcW w:w="6660" w:type="dxa"/>
            <w:vAlign w:val="bottom"/>
            <w:tcBorders>
              <w:top w:val="single" w:sz="8" w:color="CFF0FC"/>
            </w:tcBorders>
            <w:shd w:val="clear" w:color="auto" w:fill="CFF0FC"/>
          </w:tcPr>
          <w:p>
            <w:pPr>
              <w:ind w:left="420"/>
              <w:spacing w:after="0" w:line="168" w:lineRule="exact"/>
              <w:rPr>
                <w:sz w:val="20"/>
                <w:szCs w:val="20"/>
                <w:color w:val="auto"/>
              </w:rPr>
            </w:pPr>
            <w:r>
              <w:rPr>
                <w:rFonts w:ascii="Arial" w:cs="Arial" w:eastAsia="Arial" w:hAnsi="Arial"/>
                <w:sz w:val="15"/>
                <w:szCs w:val="15"/>
                <w:color w:val="auto"/>
              </w:rPr>
              <w:t>Comprehensive income attributable to Parsons</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540"/>
              <w:spacing w:after="0" w:line="167" w:lineRule="exact"/>
              <w:rPr>
                <w:sz w:val="20"/>
                <w:szCs w:val="20"/>
                <w:color w:val="auto"/>
              </w:rPr>
            </w:pPr>
            <w:r>
              <w:rPr>
                <w:rFonts w:ascii="Arial" w:cs="Arial" w:eastAsia="Arial" w:hAnsi="Arial"/>
                <w:sz w:val="15"/>
                <w:szCs w:val="15"/>
                <w:color w:val="auto"/>
              </w:rPr>
              <w:t>Corporation, net of tax</w:t>
            </w:r>
          </w:p>
        </w:tc>
        <w:tc>
          <w:tcPr>
            <w:tcW w:w="320" w:type="dxa"/>
            <w:vAlign w:val="bottom"/>
            <w:shd w:val="clear" w:color="auto" w:fill="CFF0FC"/>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98,937</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129,230</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214,383</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2"/>
          <w:szCs w:val="12"/>
          <w:b w:val="1"/>
          <w:bCs w:val="1"/>
          <w:color w:val="auto"/>
        </w:rPr>
        <w:t>PARSONS CORPORATION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Consolidated Statements of Changes in Redeemable Common Stock and Shareholders’ Equity (Deficit)</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Years Ended 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71570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ectPr>
          <w:pgSz w:w="11900" w:h="16838" w:orient="portrait"/>
          <w:cols w:equalWidth="0" w:num="1">
            <w:col w:w="11260"/>
          </w:cols>
          <w:pgMar w:left="300" w:top="307"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9"/>
                <w:szCs w:val="9"/>
                <w:b w:val="1"/>
                <w:bCs w:val="1"/>
                <w:color w:val="auto"/>
              </w:rPr>
              <w:t>Redeemable</w:t>
            </w:r>
          </w:p>
        </w:tc>
      </w:tr>
      <w:tr>
        <w:trPr>
          <w:trHeight w:val="112"/>
        </w:trPr>
        <w:tc>
          <w:tcPr>
            <w:tcW w:w="2600" w:type="dxa"/>
            <w:vAlign w:val="bottom"/>
          </w:tcPr>
          <w:p>
            <w:pPr>
              <w:spacing w:after="0"/>
              <w:rPr>
                <w:sz w:val="20"/>
                <w:szCs w:val="20"/>
                <w:color w:val="auto"/>
              </w:rPr>
            </w:pPr>
            <w:r>
              <w:rPr>
                <w:rFonts w:ascii="Arial" w:cs="Arial" w:eastAsia="Arial" w:hAnsi="Arial"/>
                <w:sz w:val="9"/>
                <w:szCs w:val="9"/>
                <w:i w:val="1"/>
                <w:iCs w:val="1"/>
                <w:color w:val="auto"/>
              </w:rPr>
              <w:t>(in thousands)</w:t>
            </w:r>
          </w:p>
        </w:tc>
        <w:tc>
          <w:tcPr>
            <w:tcW w:w="60" w:type="dxa"/>
            <w:vAlign w:val="bottom"/>
          </w:tcPr>
          <w:p>
            <w:pPr>
              <w:spacing w:after="0"/>
              <w:rPr>
                <w:sz w:val="9"/>
                <w:szCs w:val="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9"/>
              </w:rPr>
              <w:t>Common Stock</w:t>
            </w:r>
          </w:p>
        </w:tc>
      </w:tr>
      <w:tr>
        <w:trPr>
          <w:trHeight w:val="119"/>
        </w:trPr>
        <w:tc>
          <w:tcPr>
            <w:tcW w:w="2600" w:type="dxa"/>
            <w:vAlign w:val="bottom"/>
          </w:tcPr>
          <w:p>
            <w:pPr>
              <w:spacing w:after="0"/>
              <w:rPr>
                <w:sz w:val="20"/>
                <w:szCs w:val="20"/>
                <w:color w:val="auto"/>
              </w:rPr>
            </w:pPr>
            <w:r>
              <w:rPr>
                <w:rFonts w:ascii="Arial" w:cs="Arial" w:eastAsia="Arial" w:hAnsi="Arial"/>
                <w:sz w:val="10"/>
                <w:szCs w:val="10"/>
                <w:b w:val="1"/>
                <w:bCs w:val="1"/>
                <w:color w:val="auto"/>
              </w:rPr>
              <w:t>Balances at December 29, 2017</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1,855,305</w:t>
            </w:r>
          </w:p>
        </w:tc>
        <w:tc>
          <w:tcPr>
            <w:tcW w:w="20" w:type="dxa"/>
            <w:vAlign w:val="bottom"/>
          </w:tcPr>
          <w:p>
            <w:pPr>
              <w:spacing w:after="0"/>
              <w:rPr>
                <w:sz w:val="10"/>
                <w:szCs w:val="10"/>
                <w:color w:val="auto"/>
              </w:rPr>
            </w:pP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Comprehensive income</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600" w:type="dxa"/>
            <w:vAlign w:val="bottom"/>
          </w:tcPr>
          <w:p>
            <w:pPr>
              <w:ind w:left="220"/>
              <w:spacing w:after="0"/>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ind w:left="220"/>
              <w:spacing w:after="0"/>
              <w:rPr>
                <w:sz w:val="20"/>
                <w:szCs w:val="20"/>
                <w:color w:val="auto"/>
              </w:rPr>
            </w:pPr>
            <w:r>
              <w:rPr>
                <w:rFonts w:ascii="Arial" w:cs="Arial" w:eastAsia="Arial" w:hAnsi="Arial"/>
                <w:sz w:val="10"/>
                <w:szCs w:val="10"/>
                <w:color w:val="auto"/>
              </w:rPr>
              <w:t>Foreign currency</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300"/>
              <w:spacing w:after="0"/>
              <w:rPr>
                <w:sz w:val="20"/>
                <w:szCs w:val="20"/>
                <w:color w:val="auto"/>
              </w:rPr>
            </w:pPr>
            <w:r>
              <w:rPr>
                <w:rFonts w:ascii="Arial" w:cs="Arial" w:eastAsia="Arial" w:hAnsi="Arial"/>
                <w:sz w:val="10"/>
                <w:szCs w:val="10"/>
                <w:color w:val="auto"/>
              </w:rPr>
              <w:t>translation gain (loss)</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ind w:left="220"/>
              <w:spacing w:after="0"/>
              <w:rPr>
                <w:sz w:val="20"/>
                <w:szCs w:val="20"/>
                <w:color w:val="auto"/>
              </w:rPr>
            </w:pPr>
            <w:r>
              <w:rPr>
                <w:rFonts w:ascii="Arial" w:cs="Arial" w:eastAsia="Arial" w:hAnsi="Arial"/>
                <w:sz w:val="10"/>
                <w:szCs w:val="10"/>
                <w:color w:val="auto"/>
              </w:rPr>
              <w:t>Pension adjustments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Adoption of ASC 606</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Purchase of treasury stock</w:t>
            </w:r>
          </w:p>
        </w:tc>
        <w:tc>
          <w:tcPr>
            <w:tcW w:w="6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0"/>
                <w:szCs w:val="10"/>
                <w:color w:val="auto"/>
              </w:rPr>
              <w:t>(125,814)</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Contributions of treasury</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stock to ESOP</w:t>
            </w:r>
          </w:p>
        </w:tc>
        <w:tc>
          <w:tcPr>
            <w:tcW w:w="6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47,043</w:t>
            </w:r>
          </w:p>
        </w:tc>
        <w:tc>
          <w:tcPr>
            <w:tcW w:w="20" w:type="dxa"/>
            <w:vAlign w:val="bottom"/>
          </w:tcPr>
          <w:p>
            <w:pPr>
              <w:spacing w:after="0"/>
              <w:rPr>
                <w:sz w:val="9"/>
                <w:szCs w:val="9"/>
                <w:color w:val="auto"/>
              </w:rPr>
            </w:pP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Contributions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Distributions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ESOP shares at redemption</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09"/>
        </w:trPr>
        <w:tc>
          <w:tcPr>
            <w:tcW w:w="2600" w:type="dxa"/>
            <w:vAlign w:val="bottom"/>
          </w:tcPr>
          <w:p>
            <w:pPr>
              <w:ind w:left="80"/>
              <w:spacing w:after="0" w:line="109" w:lineRule="exact"/>
              <w:rPr>
                <w:sz w:val="20"/>
                <w:szCs w:val="20"/>
                <w:color w:val="auto"/>
              </w:rPr>
            </w:pPr>
            <w:r>
              <w:rPr>
                <w:rFonts w:ascii="Arial" w:cs="Arial" w:eastAsia="Arial" w:hAnsi="Arial"/>
                <w:sz w:val="10"/>
                <w:szCs w:val="10"/>
                <w:color w:val="auto"/>
              </w:rPr>
              <w:t>value</w:t>
            </w:r>
          </w:p>
        </w:tc>
        <w:tc>
          <w:tcPr>
            <w:tcW w:w="6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rPr>
              <w:t>99,775</w:t>
            </w:r>
          </w:p>
        </w:tc>
        <w:tc>
          <w:tcPr>
            <w:tcW w:w="20" w:type="dxa"/>
            <w:vAlign w:val="bottom"/>
          </w:tcPr>
          <w:p>
            <w:pPr>
              <w:spacing w:after="0"/>
              <w:rPr>
                <w:sz w:val="9"/>
                <w:szCs w:val="9"/>
                <w:color w:val="auto"/>
              </w:rPr>
            </w:pPr>
          </w:p>
        </w:tc>
      </w:tr>
      <w:tr>
        <w:trPr>
          <w:trHeight w:val="113"/>
        </w:trPr>
        <w:tc>
          <w:tcPr>
            <w:tcW w:w="2600" w:type="dxa"/>
            <w:vAlign w:val="bottom"/>
          </w:tcPr>
          <w:p>
            <w:pPr>
              <w:spacing w:after="0" w:line="113" w:lineRule="exact"/>
              <w:rPr>
                <w:sz w:val="20"/>
                <w:szCs w:val="20"/>
                <w:color w:val="auto"/>
              </w:rPr>
            </w:pPr>
            <w:r>
              <w:rPr>
                <w:rFonts w:ascii="Arial" w:cs="Arial" w:eastAsia="Arial" w:hAnsi="Arial"/>
                <w:sz w:val="10"/>
                <w:szCs w:val="10"/>
                <w:b w:val="1"/>
                <w:bCs w:val="1"/>
                <w:color w:val="auto"/>
              </w:rPr>
              <w:t>Balances at December 31, 2018</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1,876,309</w:t>
            </w:r>
          </w:p>
        </w:tc>
        <w:tc>
          <w:tcPr>
            <w:tcW w:w="20" w:type="dxa"/>
            <w:vAlign w:val="bottom"/>
          </w:tcPr>
          <w:p>
            <w:pPr>
              <w:spacing w:after="0"/>
              <w:rPr>
                <w:sz w:val="9"/>
                <w:szCs w:val="9"/>
                <w:color w:val="auto"/>
              </w:rPr>
            </w:pPr>
          </w:p>
        </w:tc>
      </w:tr>
      <w:tr>
        <w:trPr>
          <w:trHeight w:val="119"/>
        </w:trPr>
        <w:tc>
          <w:tcPr>
            <w:tcW w:w="2600" w:type="dxa"/>
            <w:vAlign w:val="bottom"/>
          </w:tcPr>
          <w:p>
            <w:pPr>
              <w:spacing w:after="0"/>
              <w:rPr>
                <w:sz w:val="20"/>
                <w:szCs w:val="20"/>
                <w:color w:val="auto"/>
              </w:rPr>
            </w:pPr>
            <w:r>
              <w:rPr>
                <w:rFonts w:ascii="Arial" w:cs="Arial" w:eastAsia="Arial" w:hAnsi="Arial"/>
                <w:sz w:val="10"/>
                <w:szCs w:val="10"/>
                <w:color w:val="auto"/>
              </w:rPr>
              <w:t>Comprehensive income</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600" w:type="dxa"/>
            <w:vAlign w:val="bottom"/>
          </w:tcPr>
          <w:p>
            <w:pPr>
              <w:ind w:left="220"/>
              <w:spacing w:after="0"/>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ind w:left="220"/>
              <w:spacing w:after="0"/>
              <w:rPr>
                <w:sz w:val="20"/>
                <w:szCs w:val="20"/>
                <w:color w:val="auto"/>
              </w:rPr>
            </w:pPr>
            <w:r>
              <w:rPr>
                <w:rFonts w:ascii="Arial" w:cs="Arial" w:eastAsia="Arial" w:hAnsi="Arial"/>
                <w:sz w:val="10"/>
                <w:szCs w:val="10"/>
                <w:color w:val="auto"/>
              </w:rPr>
              <w:t>Foreign currency</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300"/>
              <w:spacing w:after="0"/>
              <w:rPr>
                <w:sz w:val="20"/>
                <w:szCs w:val="20"/>
                <w:color w:val="auto"/>
              </w:rPr>
            </w:pPr>
            <w:r>
              <w:rPr>
                <w:rFonts w:ascii="Arial" w:cs="Arial" w:eastAsia="Arial" w:hAnsi="Arial"/>
                <w:sz w:val="10"/>
                <w:szCs w:val="10"/>
                <w:color w:val="auto"/>
              </w:rPr>
              <w:t>translation gain</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ind w:left="220"/>
              <w:spacing w:after="0"/>
              <w:rPr>
                <w:sz w:val="20"/>
                <w:szCs w:val="20"/>
                <w:color w:val="auto"/>
              </w:rPr>
            </w:pPr>
            <w:r>
              <w:rPr>
                <w:rFonts w:ascii="Arial" w:cs="Arial" w:eastAsia="Arial" w:hAnsi="Arial"/>
                <w:sz w:val="10"/>
                <w:szCs w:val="10"/>
                <w:color w:val="auto"/>
              </w:rPr>
              <w:t>Pension adjustments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ASC 842 transition</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adjustment</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Purchase of treasury stock</w:t>
            </w:r>
          </w:p>
        </w:tc>
        <w:tc>
          <w:tcPr>
            <w:tcW w:w="6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0"/>
                <w:szCs w:val="10"/>
                <w:color w:val="auto"/>
              </w:rPr>
              <w:t>(6,219)</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Contributions of treasury</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stock to ESOP</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Contributions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Distributions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Dividend paid</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Stock-based compensation</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Issuance of equity securities,</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net of retirements</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Conversion of S-Corp to</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C-Corp</w:t>
            </w:r>
          </w:p>
        </w:tc>
        <w:tc>
          <w:tcPr>
            <w:tcW w:w="6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25,877</w:t>
            </w:r>
          </w:p>
        </w:tc>
        <w:tc>
          <w:tcPr>
            <w:tcW w:w="20" w:type="dxa"/>
            <w:vAlign w:val="bottom"/>
          </w:tcPr>
          <w:p>
            <w:pPr>
              <w:spacing w:after="0"/>
              <w:rPr>
                <w:sz w:val="9"/>
                <w:szCs w:val="9"/>
                <w:color w:val="auto"/>
              </w:rPr>
            </w:pP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IPO proceeds, net</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ESOP shares at redemption</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value</w:t>
            </w:r>
          </w:p>
        </w:tc>
        <w:tc>
          <w:tcPr>
            <w:tcW w:w="6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857,559</w:t>
            </w:r>
          </w:p>
        </w:tc>
        <w:tc>
          <w:tcPr>
            <w:tcW w:w="20" w:type="dxa"/>
            <w:vAlign w:val="bottom"/>
          </w:tcPr>
          <w:p>
            <w:pPr>
              <w:spacing w:after="0"/>
              <w:rPr>
                <w:sz w:val="9"/>
                <w:szCs w:val="9"/>
                <w:color w:val="auto"/>
              </w:rPr>
            </w:pP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Temporary to permanent</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1"/>
        </w:trPr>
        <w:tc>
          <w:tcPr>
            <w:tcW w:w="2600" w:type="dxa"/>
            <w:vAlign w:val="bottom"/>
          </w:tcPr>
          <w:p>
            <w:pPr>
              <w:ind w:left="80"/>
              <w:spacing w:after="0" w:line="111" w:lineRule="exact"/>
              <w:rPr>
                <w:sz w:val="20"/>
                <w:szCs w:val="20"/>
                <w:color w:val="auto"/>
              </w:rPr>
            </w:pPr>
            <w:r>
              <w:rPr>
                <w:rFonts w:ascii="Arial" w:cs="Arial" w:eastAsia="Arial" w:hAnsi="Arial"/>
                <w:sz w:val="10"/>
                <w:szCs w:val="10"/>
                <w:color w:val="auto"/>
              </w:rPr>
              <w:t>equity end of lock-up</w:t>
            </w: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9"/>
        </w:trPr>
        <w:tc>
          <w:tcPr>
            <w:tcW w:w="2600" w:type="dxa"/>
            <w:vAlign w:val="bottom"/>
          </w:tcPr>
          <w:p>
            <w:pPr>
              <w:ind w:left="80"/>
              <w:spacing w:after="0" w:line="109" w:lineRule="exact"/>
              <w:rPr>
                <w:sz w:val="20"/>
                <w:szCs w:val="20"/>
                <w:color w:val="auto"/>
              </w:rPr>
            </w:pPr>
            <w:r>
              <w:rPr>
                <w:rFonts w:ascii="Arial" w:cs="Arial" w:eastAsia="Arial" w:hAnsi="Arial"/>
                <w:sz w:val="10"/>
                <w:szCs w:val="10"/>
                <w:color w:val="auto"/>
              </w:rPr>
              <w:t>period</w:t>
            </w:r>
          </w:p>
        </w:tc>
        <w:tc>
          <w:tcPr>
            <w:tcW w:w="60" w:type="dxa"/>
            <w:vAlign w:val="bottom"/>
          </w:tcPr>
          <w:p>
            <w:pPr>
              <w:spacing w:after="0"/>
              <w:rPr>
                <w:sz w:val="9"/>
                <w:szCs w:val="9"/>
                <w:color w:val="auto"/>
              </w:rPr>
            </w:pPr>
          </w:p>
        </w:tc>
        <w:tc>
          <w:tcPr>
            <w:tcW w:w="800" w:type="dxa"/>
            <w:vAlign w:val="bottom"/>
            <w:gridSpan w:val="2"/>
          </w:tcPr>
          <w:p>
            <w:pPr>
              <w:jc w:val="right"/>
              <w:spacing w:after="0" w:line="109" w:lineRule="exact"/>
              <w:rPr>
                <w:sz w:val="20"/>
                <w:szCs w:val="20"/>
                <w:color w:val="auto"/>
              </w:rPr>
            </w:pPr>
            <w:r>
              <w:rPr>
                <w:rFonts w:ascii="Arial" w:cs="Arial" w:eastAsia="Arial" w:hAnsi="Arial"/>
                <w:sz w:val="10"/>
                <w:szCs w:val="10"/>
                <w:color w:val="auto"/>
              </w:rPr>
              <w:t>(2,753,526)</w:t>
            </w:r>
          </w:p>
        </w:tc>
      </w:tr>
      <w:tr>
        <w:trPr>
          <w:trHeight w:val="113"/>
        </w:trPr>
        <w:tc>
          <w:tcPr>
            <w:tcW w:w="2600" w:type="dxa"/>
            <w:vAlign w:val="bottom"/>
          </w:tcPr>
          <w:p>
            <w:pPr>
              <w:spacing w:after="0" w:line="113" w:lineRule="exact"/>
              <w:rPr>
                <w:sz w:val="20"/>
                <w:szCs w:val="20"/>
                <w:color w:val="auto"/>
              </w:rPr>
            </w:pPr>
            <w:r>
              <w:rPr>
                <w:rFonts w:ascii="Arial" w:cs="Arial" w:eastAsia="Arial" w:hAnsi="Arial"/>
                <w:sz w:val="10"/>
                <w:szCs w:val="10"/>
                <w:b w:val="1"/>
                <w:bCs w:val="1"/>
                <w:color w:val="auto"/>
              </w:rPr>
              <w:t>Balances at December 31, 2019</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r>
      <w:tr>
        <w:trPr>
          <w:trHeight w:val="119"/>
        </w:trPr>
        <w:tc>
          <w:tcPr>
            <w:tcW w:w="2600" w:type="dxa"/>
            <w:vAlign w:val="bottom"/>
          </w:tcPr>
          <w:p>
            <w:pPr>
              <w:spacing w:after="0"/>
              <w:rPr>
                <w:sz w:val="20"/>
                <w:szCs w:val="20"/>
                <w:color w:val="auto"/>
              </w:rPr>
            </w:pPr>
            <w:r>
              <w:rPr>
                <w:rFonts w:ascii="Arial" w:cs="Arial" w:eastAsia="Arial" w:hAnsi="Arial"/>
                <w:sz w:val="10"/>
                <w:szCs w:val="10"/>
                <w:color w:val="auto"/>
              </w:rPr>
              <w:t>Comprehensive income</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2"/>
        </w:trPr>
        <w:tc>
          <w:tcPr>
            <w:tcW w:w="2600" w:type="dxa"/>
            <w:vAlign w:val="bottom"/>
          </w:tcPr>
          <w:p>
            <w:pPr>
              <w:ind w:left="220"/>
              <w:spacing w:after="0"/>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ind w:left="220"/>
              <w:spacing w:after="0"/>
              <w:rPr>
                <w:sz w:val="20"/>
                <w:szCs w:val="20"/>
                <w:color w:val="auto"/>
              </w:rPr>
            </w:pPr>
            <w:r>
              <w:rPr>
                <w:rFonts w:ascii="Arial" w:cs="Arial" w:eastAsia="Arial" w:hAnsi="Arial"/>
                <w:sz w:val="10"/>
                <w:szCs w:val="10"/>
                <w:color w:val="auto"/>
              </w:rPr>
              <w:t>Foreign currency</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300"/>
              <w:spacing w:after="0"/>
              <w:rPr>
                <w:sz w:val="20"/>
                <w:szCs w:val="20"/>
                <w:color w:val="auto"/>
              </w:rPr>
            </w:pPr>
            <w:r>
              <w:rPr>
                <w:rFonts w:ascii="Arial" w:cs="Arial" w:eastAsia="Arial" w:hAnsi="Arial"/>
                <w:sz w:val="10"/>
                <w:szCs w:val="10"/>
                <w:color w:val="auto"/>
              </w:rPr>
              <w:t>translation (loss), net</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ind w:left="220"/>
              <w:spacing w:after="0"/>
              <w:rPr>
                <w:sz w:val="20"/>
                <w:szCs w:val="20"/>
                <w:color w:val="auto"/>
              </w:rPr>
            </w:pPr>
            <w:r>
              <w:rPr>
                <w:rFonts w:ascii="Arial" w:cs="Arial" w:eastAsia="Arial" w:hAnsi="Arial"/>
                <w:sz w:val="10"/>
                <w:szCs w:val="10"/>
                <w:color w:val="auto"/>
              </w:rPr>
              <w:t>Pension adjustments,</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300"/>
              <w:spacing w:after="0"/>
              <w:rPr>
                <w:sz w:val="20"/>
                <w:szCs w:val="20"/>
                <w:color w:val="auto"/>
              </w:rPr>
            </w:pPr>
            <w:r>
              <w:rPr>
                <w:rFonts w:ascii="Arial" w:cs="Arial" w:eastAsia="Arial" w:hAnsi="Arial"/>
                <w:sz w:val="10"/>
                <w:szCs w:val="10"/>
                <w:color w:val="auto"/>
              </w:rPr>
              <w:t>net</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Adoption of ASU 2016-13</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Contributions of treasury</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stock to ESOP</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Contributions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2600" w:type="dxa"/>
            <w:vAlign w:val="bottom"/>
          </w:tcPr>
          <w:p>
            <w:pPr>
              <w:spacing w:after="0"/>
              <w:rPr>
                <w:sz w:val="20"/>
                <w:szCs w:val="20"/>
                <w:color w:val="auto"/>
              </w:rPr>
            </w:pPr>
            <w:r>
              <w:rPr>
                <w:rFonts w:ascii="Arial" w:cs="Arial" w:eastAsia="Arial" w:hAnsi="Arial"/>
                <w:sz w:val="10"/>
                <w:szCs w:val="10"/>
                <w:color w:val="auto"/>
              </w:rPr>
              <w:t>Distributions</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Issuance of equity securities,</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net of retirement</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Equity component value of</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convertible note issuance</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Purchase of convertible note</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hedge</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8"/>
        </w:trPr>
        <w:tc>
          <w:tcPr>
            <w:tcW w:w="2600" w:type="dxa"/>
            <w:vAlign w:val="bottom"/>
          </w:tcPr>
          <w:p>
            <w:pPr>
              <w:spacing w:after="0"/>
              <w:rPr>
                <w:sz w:val="20"/>
                <w:szCs w:val="20"/>
                <w:color w:val="auto"/>
              </w:rPr>
            </w:pPr>
            <w:r>
              <w:rPr>
                <w:rFonts w:ascii="Arial" w:cs="Arial" w:eastAsia="Arial" w:hAnsi="Arial"/>
                <w:sz w:val="10"/>
                <w:szCs w:val="10"/>
                <w:color w:val="auto"/>
              </w:rPr>
              <w:t>Sale of common stock</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2600" w:type="dxa"/>
            <w:vAlign w:val="bottom"/>
          </w:tcPr>
          <w:p>
            <w:pPr>
              <w:ind w:left="80"/>
              <w:spacing w:after="0"/>
              <w:rPr>
                <w:sz w:val="20"/>
                <w:szCs w:val="20"/>
                <w:color w:val="auto"/>
              </w:rPr>
            </w:pPr>
            <w:r>
              <w:rPr>
                <w:rFonts w:ascii="Arial" w:cs="Arial" w:eastAsia="Arial" w:hAnsi="Arial"/>
                <w:sz w:val="10"/>
                <w:szCs w:val="10"/>
                <w:color w:val="auto"/>
              </w:rPr>
              <w:t>warrants</w:t>
            </w:r>
          </w:p>
        </w:tc>
        <w:tc>
          <w:tcPr>
            <w:tcW w:w="60" w:type="dxa"/>
            <w:vAlign w:val="bottom"/>
          </w:tcPr>
          <w:p>
            <w:pPr>
              <w:spacing w:after="0"/>
              <w:rPr>
                <w:sz w:val="9"/>
                <w:szCs w:val="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17"/>
        </w:trPr>
        <w:tc>
          <w:tcPr>
            <w:tcW w:w="2600" w:type="dxa"/>
            <w:vAlign w:val="bottom"/>
          </w:tcPr>
          <w:p>
            <w:pPr>
              <w:spacing w:after="0"/>
              <w:rPr>
                <w:sz w:val="20"/>
                <w:szCs w:val="20"/>
                <w:color w:val="auto"/>
              </w:rPr>
            </w:pPr>
            <w:r>
              <w:rPr>
                <w:rFonts w:ascii="Arial" w:cs="Arial" w:eastAsia="Arial" w:hAnsi="Arial"/>
                <w:sz w:val="10"/>
                <w:szCs w:val="10"/>
                <w:color w:val="auto"/>
              </w:rPr>
              <w:t>Stock-based compensation</w:t>
            </w:r>
          </w:p>
        </w:tc>
        <w:tc>
          <w:tcPr>
            <w:tcW w:w="60" w:type="dxa"/>
            <w:vAlign w:val="bottom"/>
          </w:tcPr>
          <w:p>
            <w:pPr>
              <w:spacing w:after="0"/>
              <w:rPr>
                <w:sz w:val="10"/>
                <w:szCs w:val="1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1"/>
        </w:trPr>
        <w:tc>
          <w:tcPr>
            <w:tcW w:w="2600" w:type="dxa"/>
            <w:vAlign w:val="bottom"/>
          </w:tcPr>
          <w:p>
            <w:pPr>
              <w:spacing w:after="0"/>
              <w:rPr>
                <w:sz w:val="20"/>
                <w:szCs w:val="20"/>
                <w:color w:val="auto"/>
              </w:rPr>
            </w:pPr>
            <w:r>
              <w:rPr>
                <w:rFonts w:ascii="Arial" w:cs="Arial" w:eastAsia="Arial" w:hAnsi="Arial"/>
                <w:sz w:val="10"/>
                <w:szCs w:val="10"/>
                <w:b w:val="1"/>
                <w:bCs w:val="1"/>
                <w:color w:val="auto"/>
              </w:rPr>
              <w:t>Balances at December 31, 2020</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9"/>
              </w:rPr>
              <w:t>Accumulated</w:t>
            </w: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right"/>
              <w:ind w:right="380"/>
              <w:spacing w:after="0" w:line="100" w:lineRule="exact"/>
              <w:rPr>
                <w:sz w:val="20"/>
                <w:szCs w:val="20"/>
                <w:color w:val="auto"/>
              </w:rPr>
            </w:pPr>
            <w:r>
              <w:rPr>
                <w:rFonts w:ascii="Arial" w:cs="Arial" w:eastAsia="Arial" w:hAnsi="Arial"/>
                <w:sz w:val="9"/>
                <w:szCs w:val="9"/>
                <w:b w:val="1"/>
                <w:bCs w:val="1"/>
                <w:color w:val="auto"/>
              </w:rPr>
              <w:t>Additional</w:t>
            </w: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9"/>
              </w:rPr>
              <w:t>Other</w:t>
            </w:r>
          </w:p>
        </w:tc>
        <w:tc>
          <w:tcPr>
            <w:tcW w:w="16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2"/>
              </w:rPr>
              <w:t>Total</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0"/>
        </w:trPr>
        <w:tc>
          <w:tcPr>
            <w:tcW w:w="80" w:type="dxa"/>
            <w:vAlign w:val="bottom"/>
          </w:tcPr>
          <w:p>
            <w:pPr>
              <w:spacing w:after="0"/>
              <w:rPr>
                <w:sz w:val="8"/>
                <w:szCs w:val="8"/>
                <w:color w:val="auto"/>
              </w:rPr>
            </w:pPr>
          </w:p>
        </w:tc>
        <w:tc>
          <w:tcPr>
            <w:tcW w:w="720" w:type="dxa"/>
            <w:vAlign w:val="bottom"/>
            <w:gridSpan w:val="2"/>
          </w:tcPr>
          <w:p>
            <w:pPr>
              <w:ind w:left="20"/>
              <w:spacing w:after="0" w:line="100" w:lineRule="exact"/>
              <w:rPr>
                <w:sz w:val="20"/>
                <w:szCs w:val="20"/>
                <w:color w:val="auto"/>
              </w:rPr>
            </w:pPr>
            <w:r>
              <w:rPr>
                <w:rFonts w:ascii="Arial" w:cs="Arial" w:eastAsia="Arial" w:hAnsi="Arial"/>
                <w:sz w:val="9"/>
                <w:szCs w:val="9"/>
                <w:b w:val="1"/>
                <w:bCs w:val="1"/>
                <w:color w:val="auto"/>
              </w:rPr>
              <w:t>Common</w:t>
            </w:r>
          </w:p>
        </w:tc>
        <w:tc>
          <w:tcPr>
            <w:tcW w:w="100" w:type="dxa"/>
            <w:vAlign w:val="bottom"/>
          </w:tcPr>
          <w:p>
            <w:pPr>
              <w:spacing w:after="0"/>
              <w:rPr>
                <w:sz w:val="8"/>
                <w:szCs w:val="8"/>
                <w:color w:val="auto"/>
              </w:rPr>
            </w:pPr>
          </w:p>
        </w:tc>
        <w:tc>
          <w:tcPr>
            <w:tcW w:w="700" w:type="dxa"/>
            <w:vAlign w:val="bottom"/>
            <w:gridSpan w:val="2"/>
          </w:tcPr>
          <w:p>
            <w:pPr>
              <w:jc w:val="right"/>
              <w:ind w:right="280"/>
              <w:spacing w:after="0" w:line="100" w:lineRule="exact"/>
              <w:rPr>
                <w:sz w:val="20"/>
                <w:szCs w:val="20"/>
                <w:color w:val="auto"/>
              </w:rPr>
            </w:pPr>
            <w:r>
              <w:rPr>
                <w:rFonts w:ascii="Arial" w:cs="Arial" w:eastAsia="Arial" w:hAnsi="Arial"/>
                <w:sz w:val="9"/>
                <w:szCs w:val="9"/>
                <w:b w:val="1"/>
                <w:bCs w:val="1"/>
                <w:color w:val="auto"/>
              </w:rPr>
              <w:t>Treasury</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right"/>
              <w:ind w:right="460"/>
              <w:spacing w:after="0" w:line="100" w:lineRule="exact"/>
              <w:rPr>
                <w:sz w:val="20"/>
                <w:szCs w:val="20"/>
                <w:color w:val="auto"/>
              </w:rPr>
            </w:pPr>
            <w:r>
              <w:rPr>
                <w:rFonts w:ascii="Arial" w:cs="Arial" w:eastAsia="Arial" w:hAnsi="Arial"/>
                <w:sz w:val="9"/>
                <w:szCs w:val="9"/>
                <w:b w:val="1"/>
                <w:bCs w:val="1"/>
                <w:color w:val="auto"/>
              </w:rPr>
              <w:t>Paid-in</w:t>
            </w:r>
          </w:p>
        </w:tc>
        <w:tc>
          <w:tcPr>
            <w:tcW w:w="60" w:type="dxa"/>
            <w:vAlign w:val="bottom"/>
          </w:tcPr>
          <w:p>
            <w:pPr>
              <w:spacing w:after="0"/>
              <w:rPr>
                <w:sz w:val="8"/>
                <w:szCs w:val="8"/>
                <w:color w:val="auto"/>
              </w:rPr>
            </w:pPr>
          </w:p>
        </w:tc>
        <w:tc>
          <w:tcPr>
            <w:tcW w:w="900" w:type="dxa"/>
            <w:vAlign w:val="bottom"/>
            <w:gridSpan w:val="2"/>
          </w:tcPr>
          <w:p>
            <w:pPr>
              <w:jc w:val="right"/>
              <w:ind w:right="320"/>
              <w:spacing w:after="0" w:line="100" w:lineRule="exact"/>
              <w:rPr>
                <w:sz w:val="20"/>
                <w:szCs w:val="20"/>
                <w:color w:val="auto"/>
              </w:rPr>
            </w:pPr>
            <w:r>
              <w:rPr>
                <w:rFonts w:ascii="Arial" w:cs="Arial" w:eastAsia="Arial" w:hAnsi="Arial"/>
                <w:sz w:val="9"/>
                <w:szCs w:val="9"/>
                <w:b w:val="1"/>
                <w:bCs w:val="1"/>
                <w:color w:val="auto"/>
                <w:w w:val="99"/>
              </w:rPr>
              <w:t>Accumulated</w:t>
            </w:r>
          </w:p>
        </w:tc>
        <w:tc>
          <w:tcPr>
            <w:tcW w:w="60" w:type="dxa"/>
            <w:vAlign w:val="bottom"/>
          </w:tcPr>
          <w:p>
            <w:pPr>
              <w:spacing w:after="0"/>
              <w:rPr>
                <w:sz w:val="8"/>
                <w:szCs w:val="8"/>
                <w:color w:val="auto"/>
              </w:rPr>
            </w:pPr>
          </w:p>
        </w:tc>
        <w:tc>
          <w:tcPr>
            <w:tcW w:w="880" w:type="dxa"/>
            <w:vAlign w:val="bottom"/>
            <w:gridSpan w:val="2"/>
          </w:tcPr>
          <w:p>
            <w:pPr>
              <w:jc w:val="center"/>
              <w:ind w:right="180"/>
              <w:spacing w:after="0" w:line="100" w:lineRule="exact"/>
              <w:rPr>
                <w:sz w:val="20"/>
                <w:szCs w:val="20"/>
                <w:color w:val="auto"/>
              </w:rPr>
            </w:pPr>
            <w:r>
              <w:rPr>
                <w:rFonts w:ascii="Arial" w:cs="Arial" w:eastAsia="Arial" w:hAnsi="Arial"/>
                <w:sz w:val="9"/>
                <w:szCs w:val="9"/>
                <w:b w:val="1"/>
                <w:bCs w:val="1"/>
                <w:color w:val="auto"/>
                <w:w w:val="97"/>
              </w:rPr>
              <w:t>Comprehensive</w:t>
            </w:r>
          </w:p>
        </w:tc>
        <w:tc>
          <w:tcPr>
            <w:tcW w:w="160" w:type="dxa"/>
            <w:vAlign w:val="bottom"/>
          </w:tcPr>
          <w:p>
            <w:pPr>
              <w:spacing w:after="0"/>
              <w:rPr>
                <w:sz w:val="8"/>
                <w:szCs w:val="8"/>
                <w:color w:val="auto"/>
              </w:rPr>
            </w:pPr>
          </w:p>
        </w:tc>
        <w:tc>
          <w:tcPr>
            <w:tcW w:w="880" w:type="dxa"/>
            <w:vAlign w:val="bottom"/>
            <w:gridSpan w:val="2"/>
          </w:tcPr>
          <w:p>
            <w:pPr>
              <w:jc w:val="center"/>
              <w:ind w:right="200"/>
              <w:spacing w:after="0" w:line="100" w:lineRule="exact"/>
              <w:rPr>
                <w:sz w:val="20"/>
                <w:szCs w:val="20"/>
                <w:color w:val="auto"/>
              </w:rPr>
            </w:pPr>
            <w:r>
              <w:rPr>
                <w:rFonts w:ascii="Arial" w:cs="Arial" w:eastAsia="Arial" w:hAnsi="Arial"/>
                <w:sz w:val="9"/>
                <w:szCs w:val="9"/>
                <w:b w:val="1"/>
                <w:bCs w:val="1"/>
                <w:color w:val="auto"/>
                <w:w w:val="97"/>
              </w:rPr>
              <w:t>Parsons Equity</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2"/>
          </w:tcPr>
          <w:p>
            <w:pPr>
              <w:jc w:val="right"/>
              <w:ind w:right="320"/>
              <w:spacing w:after="0" w:line="100" w:lineRule="exact"/>
              <w:rPr>
                <w:sz w:val="20"/>
                <w:szCs w:val="20"/>
                <w:color w:val="auto"/>
              </w:rPr>
            </w:pPr>
            <w:r>
              <w:rPr>
                <w:rFonts w:ascii="Arial" w:cs="Arial" w:eastAsia="Arial" w:hAnsi="Arial"/>
                <w:sz w:val="9"/>
                <w:szCs w:val="9"/>
                <w:b w:val="1"/>
                <w:bCs w:val="1"/>
                <w:color w:val="auto"/>
                <w:w w:val="96"/>
              </w:rPr>
              <w:t>Noncontrolling</w:t>
            </w: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2"/>
        </w:trPr>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9"/>
                <w:szCs w:val="9"/>
                <w:b w:val="1"/>
                <w:bCs w:val="1"/>
                <w:color w:val="auto"/>
              </w:rPr>
              <w:t>Stock</w:t>
            </w: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9"/>
                <w:szCs w:val="9"/>
                <w:b w:val="1"/>
                <w:bCs w:val="1"/>
                <w:color w:val="auto"/>
              </w:rPr>
              <w:t>Stock</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9"/>
                <w:szCs w:val="9"/>
                <w:b w:val="1"/>
                <w:bCs w:val="1"/>
                <w:color w:val="auto"/>
              </w:rPr>
              <w:t>Capital</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9"/>
                <w:szCs w:val="9"/>
                <w:b w:val="1"/>
                <w:bCs w:val="1"/>
                <w:color w:val="auto"/>
              </w:rPr>
              <w:t>Deficit</w:t>
            </w: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9"/>
                <w:szCs w:val="9"/>
                <w:b w:val="1"/>
                <w:bCs w:val="1"/>
                <w:color w:val="auto"/>
                <w:w w:val="98"/>
              </w:rPr>
              <w:t>(Loss) Income</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9"/>
                <w:szCs w:val="9"/>
                <w:b w:val="1"/>
                <w:bCs w:val="1"/>
                <w:color w:val="auto"/>
              </w:rPr>
              <w:t>(Deficit)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9"/>
                <w:szCs w:val="9"/>
                <w:b w:val="1"/>
                <w:bCs w:val="1"/>
                <w:color w:val="auto"/>
              </w:rPr>
              <w:t>Interests</w:t>
            </w: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212"/>
              <w:spacing w:after="0"/>
              <w:rPr>
                <w:sz w:val="20"/>
                <w:szCs w:val="20"/>
                <w:color w:val="auto"/>
              </w:rPr>
            </w:pPr>
            <w:r>
              <w:rPr>
                <w:rFonts w:ascii="Arial" w:cs="Arial" w:eastAsia="Arial" w:hAnsi="Arial"/>
                <w:sz w:val="9"/>
                <w:szCs w:val="9"/>
                <w:b w:val="1"/>
                <w:bCs w:val="1"/>
                <w:color w:val="auto"/>
              </w:rPr>
              <w:t>Total</w:t>
            </w:r>
          </w:p>
        </w:tc>
        <w:tc>
          <w:tcPr>
            <w:tcW w:w="20" w:type="dxa"/>
            <w:vAlign w:val="bottom"/>
          </w:tcPr>
          <w:p>
            <w:pPr>
              <w:spacing w:after="0"/>
              <w:rPr>
                <w:sz w:val="9"/>
                <w:szCs w:val="9"/>
                <w:color w:val="auto"/>
              </w:rPr>
            </w:pPr>
          </w:p>
        </w:tc>
      </w:tr>
      <w:tr>
        <w:trPr>
          <w:trHeight w:val="119"/>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(876,372)</w:t>
            </w: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(186,035)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(15,003)</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(1,077,410)</w:t>
            </w:r>
          </w:p>
        </w:tc>
        <w:tc>
          <w:tcPr>
            <w:tcW w:w="1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27,494</w:t>
            </w:r>
          </w:p>
        </w:tc>
        <w:tc>
          <w:tcPr>
            <w:tcW w:w="22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(1,049,916)</w:t>
            </w:r>
          </w:p>
        </w:tc>
      </w:tr>
      <w:tr>
        <w:trPr>
          <w:trHeight w:val="244"/>
        </w:trPr>
        <w:tc>
          <w:tcPr>
            <w:tcW w:w="8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222,337</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222,337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17,099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239,436</w:t>
            </w:r>
          </w:p>
        </w:tc>
        <w:tc>
          <w:tcPr>
            <w:tcW w:w="20" w:type="dxa"/>
            <w:vAlign w:val="bottom"/>
          </w:tcPr>
          <w:p>
            <w:pPr>
              <w:spacing w:after="0"/>
              <w:rPr>
                <w:sz w:val="21"/>
                <w:szCs w:val="21"/>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(7,898)</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(7,898)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(7,800)</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(56)</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(56)</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(4,735)</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(4,735)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(4,735)</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(125,814)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125,814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45,161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(45,161)</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20,656</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20,656</w:t>
            </w:r>
          </w:p>
        </w:tc>
        <w:tc>
          <w:tcPr>
            <w:tcW w:w="20" w:type="dxa"/>
            <w:vAlign w:val="bottom"/>
          </w:tcPr>
          <w:p>
            <w:pPr>
              <w:spacing w:after="0"/>
              <w:rPr>
                <w:sz w:val="10"/>
                <w:szCs w:val="1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0"/>
                <w:szCs w:val="10"/>
                <w:color w:val="auto"/>
              </w:rPr>
              <w:t>(18,886)</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(18,886)</w:t>
            </w:r>
          </w:p>
        </w:tc>
      </w:tr>
      <w:tr>
        <w:trPr>
          <w:trHeight w:val="227"/>
        </w:trPr>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(99,775)</w:t>
            </w:r>
          </w:p>
        </w:tc>
        <w:tc>
          <w:tcPr>
            <w:tcW w:w="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(99,775)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(99,775)</w:t>
            </w: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13"/>
        </w:trPr>
        <w:tc>
          <w:tcPr>
            <w:tcW w:w="8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9"/>
                <w:szCs w:val="9"/>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(957,025)</w:t>
            </w:r>
          </w:p>
        </w:tc>
        <w:tc>
          <w:tcPr>
            <w:tcW w:w="20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860" w:type="dxa"/>
            <w:vAlign w:val="bottom"/>
            <w:gridSpan w:val="2"/>
          </w:tcPr>
          <w:p>
            <w:pPr>
              <w:jc w:val="right"/>
              <w:ind w:right="240"/>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12,445</w:t>
            </w:r>
          </w:p>
        </w:tc>
        <w:tc>
          <w:tcPr>
            <w:tcW w:w="220" w:type="dxa"/>
            <w:vAlign w:val="bottom"/>
          </w:tcPr>
          <w:p>
            <w:pPr>
              <w:spacing w:after="0"/>
              <w:rPr>
                <w:sz w:val="9"/>
                <w:szCs w:val="9"/>
                <w:color w:val="auto"/>
              </w:rPr>
            </w:pPr>
          </w:p>
        </w:tc>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(22,957)</w:t>
            </w:r>
          </w:p>
        </w:tc>
        <w:tc>
          <w:tcPr>
            <w:tcW w:w="1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(967,537)</w:t>
            </w:r>
          </w:p>
        </w:tc>
        <w:tc>
          <w:tcPr>
            <w:tcW w:w="1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46,461</w:t>
            </w:r>
          </w:p>
        </w:tc>
        <w:tc>
          <w:tcPr>
            <w:tcW w:w="220" w:type="dxa"/>
            <w:vAlign w:val="bottom"/>
          </w:tcPr>
          <w:p>
            <w:pPr>
              <w:spacing w:after="0"/>
              <w:rPr>
                <w:sz w:val="9"/>
                <w:szCs w:val="9"/>
                <w:color w:val="auto"/>
              </w:rPr>
            </w:pPr>
          </w:p>
        </w:tc>
        <w:tc>
          <w:tcPr>
            <w:tcW w:w="160" w:type="dxa"/>
            <w:vAlign w:val="bottom"/>
          </w:tcPr>
          <w:p>
            <w:pPr>
              <w:jc w:val="right"/>
              <w:ind w:right="52"/>
              <w:spacing w:after="0" w:line="113"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line="113" w:lineRule="exact"/>
              <w:rPr>
                <w:sz w:val="20"/>
                <w:szCs w:val="20"/>
                <w:color w:val="auto"/>
              </w:rPr>
            </w:pPr>
            <w:r>
              <w:rPr>
                <w:rFonts w:ascii="Arial" w:cs="Arial" w:eastAsia="Arial" w:hAnsi="Arial"/>
                <w:sz w:val="10"/>
                <w:szCs w:val="10"/>
                <w:color w:val="auto"/>
              </w:rPr>
              <w:t>(921,076)</w:t>
            </w:r>
          </w:p>
        </w:tc>
      </w:tr>
      <w:tr>
        <w:trPr>
          <w:trHeight w:val="241"/>
        </w:trPr>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120,534</w:t>
            </w: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120,534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16,594</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137,128</w:t>
            </w:r>
          </w:p>
        </w:tc>
        <w:tc>
          <w:tcPr>
            <w:tcW w:w="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8,415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8,415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8,418</w:t>
            </w:r>
          </w:p>
        </w:tc>
        <w:tc>
          <w:tcPr>
            <w:tcW w:w="20" w:type="dxa"/>
            <w:vAlign w:val="bottom"/>
          </w:tcPr>
          <w:p>
            <w:pPr>
              <w:spacing w:after="0"/>
              <w:rPr>
                <w:sz w:val="20"/>
                <w:szCs w:val="2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281</w:t>
            </w:r>
          </w:p>
        </w:tc>
        <w:tc>
          <w:tcPr>
            <w:tcW w:w="20" w:type="dxa"/>
            <w:vAlign w:val="bottom"/>
          </w:tcPr>
          <w:p>
            <w:pPr>
              <w:spacing w:after="0"/>
              <w:rPr>
                <w:sz w:val="10"/>
                <w:szCs w:val="1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52,608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52,608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52,608</w:t>
            </w:r>
          </w:p>
        </w:tc>
        <w:tc>
          <w:tcPr>
            <w:tcW w:w="20" w:type="dxa"/>
            <w:vAlign w:val="bottom"/>
          </w:tcPr>
          <w:p>
            <w:pPr>
              <w:spacing w:after="0"/>
              <w:rPr>
                <w:sz w:val="20"/>
                <w:szCs w:val="2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(6,272)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6,219</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(53)</w:t>
            </w: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29,057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24,587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53,644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53,644</w:t>
            </w:r>
          </w:p>
        </w:tc>
        <w:tc>
          <w:tcPr>
            <w:tcW w:w="20" w:type="dxa"/>
            <w:vAlign w:val="bottom"/>
          </w:tcPr>
          <w:p>
            <w:pPr>
              <w:spacing w:after="0"/>
              <w:rPr>
                <w:sz w:val="20"/>
                <w:szCs w:val="2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10,093</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10,093</w:t>
            </w:r>
          </w:p>
        </w:tc>
        <w:tc>
          <w:tcPr>
            <w:tcW w:w="20" w:type="dxa"/>
            <w:vAlign w:val="bottom"/>
          </w:tcPr>
          <w:p>
            <w:pPr>
              <w:spacing w:after="0"/>
              <w:rPr>
                <w:sz w:val="10"/>
                <w:szCs w:val="1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0"/>
                <w:szCs w:val="10"/>
                <w:color w:val="auto"/>
              </w:rPr>
              <w:t>(42,285)</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(42,285)</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(52,093)</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(52,093)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(52,093)</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8,272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8,272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8,272</w:t>
            </w:r>
          </w:p>
        </w:tc>
        <w:tc>
          <w:tcPr>
            <w:tcW w:w="20" w:type="dxa"/>
            <w:vAlign w:val="bottom"/>
          </w:tcPr>
          <w:p>
            <w:pPr>
              <w:spacing w:after="0"/>
              <w:rPr>
                <w:sz w:val="10"/>
                <w:szCs w:val="10"/>
                <w:color w:val="auto"/>
              </w:rPr>
            </w:pPr>
          </w:p>
        </w:tc>
      </w:tr>
      <w:tr>
        <w:trPr>
          <w:trHeight w:val="233"/>
        </w:trPr>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47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(999)</w:t>
            </w:r>
          </w:p>
        </w:tc>
        <w:tc>
          <w:tcPr>
            <w:tcW w:w="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(197)</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(1,149)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(1,149)</w:t>
            </w: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(25,877)</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(25,877)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(25,877)</w:t>
            </w:r>
          </w:p>
        </w:tc>
      </w:tr>
      <w:tr>
        <w:trPr>
          <w:trHeight w:val="122"/>
        </w:trPr>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21,296</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515,582</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536,878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536,878</w:t>
            </w:r>
          </w:p>
        </w:tc>
        <w:tc>
          <w:tcPr>
            <w:tcW w:w="20" w:type="dxa"/>
            <w:vAlign w:val="bottom"/>
          </w:tcPr>
          <w:p>
            <w:pPr>
              <w:spacing w:after="0"/>
              <w:rPr>
                <w:sz w:val="10"/>
                <w:szCs w:val="1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(525,895)</w:t>
            </w:r>
          </w:p>
        </w:tc>
        <w:tc>
          <w:tcPr>
            <w:tcW w:w="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(331,664)</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(857,559)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(857,559)</w:t>
            </w:r>
          </w:p>
        </w:tc>
      </w:tr>
      <w:tr>
        <w:trPr>
          <w:trHeight w:val="338"/>
        </w:trPr>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125,098</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2,628,428</w:t>
            </w: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2,753,526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2,753,526</w:t>
            </w:r>
          </w:p>
        </w:tc>
        <w:tc>
          <w:tcPr>
            <w:tcW w:w="20" w:type="dxa"/>
            <w:vAlign w:val="bottom"/>
          </w:tcPr>
          <w:p>
            <w:pPr>
              <w:spacing w:after="0"/>
              <w:rPr>
                <w:sz w:val="24"/>
                <w:szCs w:val="24"/>
                <w:color w:val="auto"/>
              </w:rPr>
            </w:pPr>
          </w:p>
        </w:tc>
      </w:tr>
      <w:tr>
        <w:trPr>
          <w:trHeight w:val="113"/>
        </w:trPr>
        <w:tc>
          <w:tcPr>
            <w:tcW w:w="8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13" w:lineRule="exact"/>
              <w:rPr>
                <w:sz w:val="20"/>
                <w:szCs w:val="20"/>
                <w:color w:val="auto"/>
              </w:rPr>
            </w:pPr>
            <w:r>
              <w:rPr>
                <w:rFonts w:ascii="Arial" w:cs="Arial" w:eastAsia="Arial" w:hAnsi="Arial"/>
                <w:sz w:val="10"/>
                <w:szCs w:val="10"/>
                <w:color w:val="auto"/>
              </w:rPr>
              <w:t>146,441</w:t>
            </w:r>
          </w:p>
        </w:tc>
        <w:tc>
          <w:tcPr>
            <w:tcW w:w="220" w:type="dxa"/>
            <w:vAlign w:val="bottom"/>
          </w:tcPr>
          <w:p>
            <w:pPr>
              <w:spacing w:after="0"/>
              <w:rPr>
                <w:sz w:val="9"/>
                <w:szCs w:val="9"/>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(934,240)</w:t>
            </w:r>
          </w:p>
        </w:tc>
        <w:tc>
          <w:tcPr>
            <w:tcW w:w="200" w:type="dxa"/>
            <w:vAlign w:val="bottom"/>
            <w:gridSpan w:val="2"/>
          </w:tcPr>
          <w:p>
            <w:pPr>
              <w:jc w:val="right"/>
              <w:ind w:right="60"/>
              <w:spacing w:after="0" w:line="113" w:lineRule="exact"/>
              <w:rPr>
                <w:sz w:val="20"/>
                <w:szCs w:val="20"/>
                <w:color w:val="auto"/>
              </w:rPr>
            </w:pPr>
            <w:r>
              <w:rPr>
                <w:rFonts w:ascii="Arial" w:cs="Arial" w:eastAsia="Arial" w:hAnsi="Arial"/>
                <w:sz w:val="10"/>
                <w:szCs w:val="10"/>
                <w:color w:val="auto"/>
              </w:rPr>
              <w:t>$</w:t>
            </w:r>
          </w:p>
        </w:tc>
        <w:tc>
          <w:tcPr>
            <w:tcW w:w="640" w:type="dxa"/>
            <w:vAlign w:val="bottom"/>
          </w:tcPr>
          <w:p>
            <w:pPr>
              <w:jc w:val="right"/>
              <w:spacing w:after="0" w:line="113" w:lineRule="exact"/>
              <w:rPr>
                <w:sz w:val="20"/>
                <w:szCs w:val="20"/>
                <w:color w:val="auto"/>
              </w:rPr>
            </w:pPr>
            <w:r>
              <w:rPr>
                <w:rFonts w:ascii="Arial" w:cs="Arial" w:eastAsia="Arial" w:hAnsi="Arial"/>
                <w:sz w:val="10"/>
                <w:szCs w:val="10"/>
                <w:color w:val="auto"/>
              </w:rPr>
              <w:t>2,649,975</w:t>
            </w:r>
          </w:p>
        </w:tc>
        <w:tc>
          <w:tcPr>
            <w:tcW w:w="22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(218,025)</w:t>
            </w:r>
          </w:p>
        </w:tc>
        <w:tc>
          <w:tcPr>
            <w:tcW w:w="60" w:type="dxa"/>
            <w:vAlign w:val="bottom"/>
          </w:tcPr>
          <w:p>
            <w:pPr>
              <w:jc w:val="right"/>
              <w:spacing w:after="0" w:line="113" w:lineRule="exact"/>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line="113" w:lineRule="exact"/>
              <w:rPr>
                <w:sz w:val="20"/>
                <w:szCs w:val="20"/>
                <w:color w:val="auto"/>
              </w:rPr>
            </w:pPr>
            <w:r>
              <w:rPr>
                <w:rFonts w:ascii="Arial" w:cs="Arial" w:eastAsia="Arial" w:hAnsi="Arial"/>
                <w:sz w:val="10"/>
                <w:szCs w:val="10"/>
                <w:color w:val="auto"/>
              </w:rPr>
              <w:t>(14,261)</w:t>
            </w:r>
          </w:p>
        </w:tc>
        <w:tc>
          <w:tcPr>
            <w:tcW w:w="16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c>
          <w:tcPr>
            <w:tcW w:w="760" w:type="dxa"/>
            <w:vAlign w:val="bottom"/>
          </w:tcPr>
          <w:p>
            <w:pPr>
              <w:jc w:val="right"/>
              <w:spacing w:after="0" w:line="113" w:lineRule="exact"/>
              <w:rPr>
                <w:sz w:val="20"/>
                <w:szCs w:val="20"/>
                <w:color w:val="auto"/>
              </w:rPr>
            </w:pPr>
            <w:r>
              <w:rPr>
                <w:rFonts w:ascii="Arial" w:cs="Arial" w:eastAsia="Arial" w:hAnsi="Arial"/>
                <w:sz w:val="10"/>
                <w:szCs w:val="10"/>
                <w:color w:val="auto"/>
              </w:rPr>
              <w:t>1,629,890</w:t>
            </w:r>
          </w:p>
        </w:tc>
        <w:tc>
          <w:tcPr>
            <w:tcW w:w="120" w:type="dxa"/>
            <w:vAlign w:val="bottom"/>
          </w:tcPr>
          <w:p>
            <w:pPr>
              <w:spacing w:after="0"/>
              <w:rPr>
                <w:sz w:val="9"/>
                <w:szCs w:val="9"/>
                <w:color w:val="auto"/>
              </w:rPr>
            </w:pPr>
          </w:p>
        </w:tc>
        <w:tc>
          <w:tcPr>
            <w:tcW w:w="180" w:type="dxa"/>
            <w:vAlign w:val="bottom"/>
            <w:gridSpan w:val="2"/>
          </w:tcPr>
          <w:p>
            <w:pPr>
              <w:jc w:val="right"/>
              <w:ind w:right="20"/>
              <w:spacing w:after="0" w:line="113" w:lineRule="exact"/>
              <w:rPr>
                <w:sz w:val="20"/>
                <w:szCs w:val="20"/>
                <w:color w:val="auto"/>
              </w:rPr>
            </w:pPr>
            <w:r>
              <w:rPr>
                <w:rFonts w:ascii="Arial" w:cs="Arial" w:eastAsia="Arial" w:hAnsi="Arial"/>
                <w:sz w:val="10"/>
                <w:szCs w:val="10"/>
                <w:color w:val="auto"/>
              </w:rPr>
              <w:t>$</w:t>
            </w:r>
          </w:p>
        </w:tc>
        <w:tc>
          <w:tcPr>
            <w:tcW w:w="740" w:type="dxa"/>
            <w:vAlign w:val="bottom"/>
          </w:tcPr>
          <w:p>
            <w:pPr>
              <w:jc w:val="right"/>
              <w:spacing w:after="0" w:line="113" w:lineRule="exact"/>
              <w:rPr>
                <w:sz w:val="20"/>
                <w:szCs w:val="20"/>
                <w:color w:val="auto"/>
              </w:rPr>
            </w:pPr>
            <w:r>
              <w:rPr>
                <w:rFonts w:ascii="Arial" w:cs="Arial" w:eastAsia="Arial" w:hAnsi="Arial"/>
                <w:sz w:val="10"/>
                <w:szCs w:val="10"/>
                <w:color w:val="auto"/>
              </w:rPr>
              <w:t>30,866</w:t>
            </w:r>
          </w:p>
        </w:tc>
        <w:tc>
          <w:tcPr>
            <w:tcW w:w="220" w:type="dxa"/>
            <w:vAlign w:val="bottom"/>
          </w:tcPr>
          <w:p>
            <w:pPr>
              <w:spacing w:after="0"/>
              <w:rPr>
                <w:sz w:val="9"/>
                <w:szCs w:val="9"/>
                <w:color w:val="auto"/>
              </w:rPr>
            </w:pPr>
          </w:p>
        </w:tc>
        <w:tc>
          <w:tcPr>
            <w:tcW w:w="160" w:type="dxa"/>
            <w:vAlign w:val="bottom"/>
          </w:tcPr>
          <w:p>
            <w:pPr>
              <w:jc w:val="right"/>
              <w:ind w:right="52"/>
              <w:spacing w:after="0" w:line="113"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3" w:lineRule="exact"/>
              <w:rPr>
                <w:sz w:val="20"/>
                <w:szCs w:val="20"/>
                <w:color w:val="auto"/>
              </w:rPr>
            </w:pPr>
            <w:r>
              <w:rPr>
                <w:rFonts w:ascii="Arial" w:cs="Arial" w:eastAsia="Arial" w:hAnsi="Arial"/>
                <w:sz w:val="10"/>
                <w:szCs w:val="10"/>
                <w:color w:val="auto"/>
              </w:rPr>
              <w:t>1,660,756</w:t>
            </w:r>
          </w:p>
        </w:tc>
        <w:tc>
          <w:tcPr>
            <w:tcW w:w="20" w:type="dxa"/>
            <w:vAlign w:val="bottom"/>
          </w:tcPr>
          <w:p>
            <w:pPr>
              <w:spacing w:after="0"/>
              <w:rPr>
                <w:sz w:val="9"/>
                <w:szCs w:val="9"/>
                <w:color w:val="auto"/>
              </w:rPr>
            </w:pPr>
          </w:p>
        </w:tc>
      </w:tr>
      <w:tr>
        <w:trPr>
          <w:trHeight w:val="241"/>
        </w:trPr>
        <w:tc>
          <w:tcPr>
            <w:tcW w:w="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98,541</w:t>
            </w:r>
          </w:p>
        </w:tc>
        <w:tc>
          <w:tcPr>
            <w:tcW w:w="2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98,541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20,380</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118,921</w:t>
            </w:r>
          </w:p>
        </w:tc>
        <w:tc>
          <w:tcPr>
            <w:tcW w:w="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484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484</w:t>
            </w:r>
          </w:p>
        </w:tc>
        <w:tc>
          <w:tcPr>
            <w:tcW w:w="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(88)</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(88)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(88)</w:t>
            </w: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(1,000)</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(1,000)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(1,000)</w:t>
            </w: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34,912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20,010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54,922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54,922</w:t>
            </w:r>
          </w:p>
        </w:tc>
        <w:tc>
          <w:tcPr>
            <w:tcW w:w="20" w:type="dxa"/>
            <w:vAlign w:val="bottom"/>
          </w:tcPr>
          <w:p>
            <w:pPr>
              <w:spacing w:after="0"/>
              <w:rPr>
                <w:sz w:val="20"/>
                <w:szCs w:val="2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2,215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2,215</w:t>
            </w:r>
          </w:p>
        </w:tc>
        <w:tc>
          <w:tcPr>
            <w:tcW w:w="20" w:type="dxa"/>
            <w:vAlign w:val="bottom"/>
          </w:tcPr>
          <w:p>
            <w:pPr>
              <w:spacing w:after="0"/>
              <w:rPr>
                <w:sz w:val="10"/>
                <w:szCs w:val="1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0"/>
                <w:szCs w:val="10"/>
                <w:color w:val="auto"/>
              </w:rPr>
              <w:t>(5,816)</w:t>
            </w:r>
          </w:p>
        </w:tc>
        <w:tc>
          <w:tcPr>
            <w:tcW w:w="160" w:type="dxa"/>
            <w:vAlign w:val="bottom"/>
          </w:tcPr>
          <w:p>
            <w:pPr>
              <w:spacing w:after="0"/>
              <w:rPr>
                <w:sz w:val="10"/>
                <w:szCs w:val="1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(5,816)</w:t>
            </w:r>
          </w:p>
        </w:tc>
      </w:tr>
      <w:tr>
        <w:trPr>
          <w:trHeight w:val="233"/>
        </w:trPr>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168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2,957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(85)</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3,040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3,040</w:t>
            </w:r>
          </w:p>
        </w:tc>
        <w:tc>
          <w:tcPr>
            <w:tcW w:w="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53,552</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53,552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53,552</w:t>
            </w:r>
          </w:p>
        </w:tc>
        <w:tc>
          <w:tcPr>
            <w:tcW w:w="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0"/>
                <w:szCs w:val="10"/>
                <w:color w:val="auto"/>
              </w:rPr>
              <w:t>(54,611)</w:t>
            </w: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(54,611)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0"/>
                <w:szCs w:val="10"/>
                <w:color w:val="auto"/>
              </w:rPr>
              <w:t>(54,611)</w:t>
            </w:r>
          </w:p>
        </w:tc>
      </w:tr>
      <w:tr>
        <w:trPr>
          <w:trHeight w:val="233"/>
        </w:trPr>
        <w:tc>
          <w:tcPr>
            <w:tcW w:w="8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13,808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13,808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13,808</w:t>
            </w:r>
          </w:p>
        </w:tc>
        <w:tc>
          <w:tcPr>
            <w:tcW w:w="20" w:type="dxa"/>
            <w:vAlign w:val="bottom"/>
          </w:tcPr>
          <w:p>
            <w:pPr>
              <w:spacing w:after="0"/>
              <w:rPr>
                <w:sz w:val="20"/>
                <w:szCs w:val="20"/>
                <w:color w:val="auto"/>
              </w:rPr>
            </w:pPr>
          </w:p>
        </w:tc>
      </w:tr>
      <w:tr>
        <w:trPr>
          <w:trHeight w:val="122"/>
        </w:trPr>
        <w:tc>
          <w:tcPr>
            <w:tcW w:w="80" w:type="dxa"/>
            <w:vAlign w:val="bottom"/>
          </w:tcPr>
          <w:p>
            <w:pPr>
              <w:spacing w:after="0"/>
              <w:rPr>
                <w:sz w:val="10"/>
                <w:szCs w:val="1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15,234</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15,234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15,234</w:t>
            </w:r>
          </w:p>
        </w:tc>
        <w:tc>
          <w:tcPr>
            <w:tcW w:w="20" w:type="dxa"/>
            <w:vAlign w:val="bottom"/>
          </w:tcPr>
          <w:p>
            <w:pPr>
              <w:spacing w:after="0"/>
              <w:rPr>
                <w:sz w:val="10"/>
                <w:szCs w:val="10"/>
                <w:color w:val="auto"/>
              </w:rPr>
            </w:pPr>
          </w:p>
        </w:tc>
      </w:tr>
      <w:tr>
        <w:trPr>
          <w:trHeight w:val="116"/>
        </w:trPr>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146,609</w:t>
            </w:r>
          </w:p>
        </w:tc>
        <w:tc>
          <w:tcPr>
            <w:tcW w:w="220" w:type="dxa"/>
            <w:vAlign w:val="bottom"/>
          </w:tcPr>
          <w:p>
            <w:pPr>
              <w:spacing w:after="0"/>
              <w:rPr>
                <w:sz w:val="10"/>
                <w:szCs w:val="10"/>
                <w:color w:val="auto"/>
              </w:rPr>
            </w:pP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00" w:type="dxa"/>
            <w:vAlign w:val="bottom"/>
            <w:gridSpan w:val="2"/>
          </w:tcPr>
          <w:p>
            <w:pPr>
              <w:jc w:val="right"/>
              <w:ind w:right="100"/>
              <w:spacing w:after="0"/>
              <w:rPr>
                <w:sz w:val="20"/>
                <w:szCs w:val="20"/>
                <w:color w:val="auto"/>
              </w:rPr>
            </w:pPr>
            <w:r>
              <w:rPr>
                <w:rFonts w:ascii="Arial" w:cs="Arial" w:eastAsia="Arial" w:hAnsi="Arial"/>
                <w:sz w:val="10"/>
                <w:szCs w:val="10"/>
                <w:color w:val="auto"/>
              </w:rPr>
              <w:t>(899,328)</w:t>
            </w:r>
          </w:p>
        </w:tc>
        <w:tc>
          <w:tcPr>
            <w:tcW w:w="2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2,700,925</w:t>
            </w:r>
          </w:p>
        </w:tc>
        <w:tc>
          <w:tcPr>
            <w:tcW w:w="22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00" w:type="dxa"/>
            <w:vAlign w:val="bottom"/>
            <w:gridSpan w:val="2"/>
          </w:tcPr>
          <w:p>
            <w:pPr>
              <w:jc w:val="right"/>
              <w:ind w:right="180"/>
              <w:spacing w:after="0"/>
              <w:rPr>
                <w:sz w:val="20"/>
                <w:szCs w:val="20"/>
                <w:color w:val="auto"/>
              </w:rPr>
            </w:pPr>
            <w:r>
              <w:rPr>
                <w:rFonts w:ascii="Arial" w:cs="Arial" w:eastAsia="Arial" w:hAnsi="Arial"/>
                <w:sz w:val="10"/>
                <w:szCs w:val="10"/>
                <w:color w:val="auto"/>
              </w:rPr>
              <w:t>(120,569)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0"/>
                <w:szCs w:val="10"/>
                <w:color w:val="auto"/>
              </w:rPr>
              <w:t>(13,865)</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760" w:type="dxa"/>
            <w:vAlign w:val="bottom"/>
          </w:tcPr>
          <w:p>
            <w:pPr>
              <w:jc w:val="right"/>
              <w:spacing w:after="0"/>
              <w:rPr>
                <w:sz w:val="20"/>
                <w:szCs w:val="20"/>
                <w:color w:val="auto"/>
              </w:rPr>
            </w:pPr>
            <w:r>
              <w:rPr>
                <w:rFonts w:ascii="Arial" w:cs="Arial" w:eastAsia="Arial" w:hAnsi="Arial"/>
                <w:sz w:val="10"/>
                <w:szCs w:val="10"/>
                <w:color w:val="auto"/>
              </w:rPr>
              <w:t>1,813,772</w:t>
            </w:r>
          </w:p>
        </w:tc>
        <w:tc>
          <w:tcPr>
            <w:tcW w:w="120" w:type="dxa"/>
            <w:vAlign w:val="bottom"/>
          </w:tcPr>
          <w:p>
            <w:pPr>
              <w:spacing w:after="0"/>
              <w:rPr>
                <w:sz w:val="10"/>
                <w:szCs w:val="1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47,645</w:t>
            </w:r>
          </w:p>
        </w:tc>
        <w:tc>
          <w:tcPr>
            <w:tcW w:w="220" w:type="dxa"/>
            <w:vAlign w:val="bottom"/>
          </w:tcPr>
          <w:p>
            <w:pPr>
              <w:spacing w:after="0"/>
              <w:rPr>
                <w:sz w:val="10"/>
                <w:szCs w:val="10"/>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1,861,417</w:t>
            </w:r>
          </w:p>
        </w:tc>
        <w:tc>
          <w:tcPr>
            <w:tcW w:w="20" w:type="dxa"/>
            <w:vAlign w:val="bottom"/>
          </w:tcPr>
          <w:p>
            <w:pPr>
              <w:spacing w:after="0"/>
              <w:rPr>
                <w:sz w:val="10"/>
                <w:szCs w:val="10"/>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-2393950</wp:posOffset>
            </wp:positionH>
            <wp:positionV relativeFrom="paragraph">
              <wp:posOffset>-4897120</wp:posOffset>
            </wp:positionV>
            <wp:extent cx="7157085" cy="48977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7157085" cy="489775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3460" w:space="320"/>
            <w:col w:w="7480"/>
          </w:cols>
          <w:pgMar w:left="300" w:top="307"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307" w:right="339" w:bottom="144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jc w:val="center"/>
        <w:spacing w:after="0"/>
        <w:rPr>
          <w:sz w:val="20"/>
          <w:szCs w:val="20"/>
          <w:color w:val="auto"/>
        </w:rPr>
      </w:pPr>
      <w:r>
        <w:rPr>
          <w:rFonts w:ascii="Arial" w:cs="Arial" w:eastAsia="Arial" w:hAnsi="Arial"/>
          <w:sz w:val="15"/>
          <w:szCs w:val="15"/>
          <w:b w:val="1"/>
          <w:bCs w:val="1"/>
          <w:color w:val="auto"/>
        </w:rPr>
        <w:t>Years Ended December 31, 2020, December 31, 2019 and December 31, 2018</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660" w:type="dxa"/>
            <w:vAlign w:val="bottom"/>
            <w:tcBorders>
              <w:top w:val="single" w:sz="8" w:color="auto"/>
            </w:tcBorders>
            <w:gridSpan w:val="2"/>
          </w:tcPr>
          <w:p>
            <w:pPr>
              <w:spacing w:after="0"/>
              <w:rPr>
                <w:sz w:val="20"/>
                <w:szCs w:val="20"/>
                <w:color w:val="auto"/>
              </w:rPr>
            </w:pPr>
            <w:r>
              <w:rPr>
                <w:rFonts w:ascii="Arial" w:cs="Arial" w:eastAsia="Arial" w:hAnsi="Arial"/>
                <w:sz w:val="11"/>
                <w:szCs w:val="11"/>
                <w:i w:val="1"/>
                <w:iCs w:val="1"/>
                <w:color w:val="auto"/>
              </w:rPr>
              <w:t>(in thousands)</w:t>
            </w: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85"/>
              <w:spacing w:after="0"/>
              <w:rPr>
                <w:sz w:val="20"/>
                <w:szCs w:val="20"/>
                <w:color w:val="auto"/>
              </w:rPr>
            </w:pPr>
            <w:r>
              <w:rPr>
                <w:rFonts w:ascii="Arial" w:cs="Arial" w:eastAsia="Arial" w:hAnsi="Arial"/>
                <w:sz w:val="11"/>
                <w:szCs w:val="11"/>
                <w:b w:val="1"/>
                <w:bCs w:val="1"/>
                <w:color w:val="auto"/>
              </w:rPr>
              <w:t>2020</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85"/>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85"/>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Borders>
              <w:top w:val="single" w:sz="8" w:color="CFF0FC"/>
            </w:tcBorders>
            <w:shd w:val="clear" w:color="auto" w:fill="CFF0FC"/>
          </w:tcPr>
          <w:p>
            <w:pPr>
              <w:spacing w:after="0" w:line="124" w:lineRule="exact"/>
              <w:rPr>
                <w:sz w:val="20"/>
                <w:szCs w:val="20"/>
                <w:color w:val="auto"/>
              </w:rPr>
            </w:pPr>
            <w:r>
              <w:rPr>
                <w:rFonts w:ascii="Arial" w:cs="Arial" w:eastAsia="Arial" w:hAnsi="Arial"/>
                <w:sz w:val="11"/>
                <w:szCs w:val="11"/>
                <w:b w:val="1"/>
                <w:bCs w:val="1"/>
                <w:color w:val="auto"/>
              </w:rPr>
              <w:t>Cash flows from operating activities</w:t>
            </w:r>
          </w:p>
        </w:tc>
        <w:tc>
          <w:tcPr>
            <w:tcW w:w="3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Net income including noncontrolling interests</w:t>
            </w:r>
          </w:p>
        </w:tc>
        <w:tc>
          <w:tcPr>
            <w:tcW w:w="300" w:type="dxa"/>
            <w:vAlign w:val="bottom"/>
          </w:tcPr>
          <w:p>
            <w:pPr>
              <w:jc w:val="right"/>
              <w:ind w:right="165"/>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118,921</w:t>
            </w:r>
          </w:p>
        </w:tc>
        <w:tc>
          <w:tcPr>
            <w:tcW w:w="160" w:type="dxa"/>
            <w:vAlign w:val="bottom"/>
          </w:tcPr>
          <w:p>
            <w:pPr>
              <w:spacing w:after="0"/>
              <w:rPr>
                <w:sz w:val="11"/>
                <w:szCs w:val="1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tcPr>
          <w:p>
            <w:pPr>
              <w:jc w:val="right"/>
              <w:spacing w:after="0"/>
              <w:rPr>
                <w:sz w:val="20"/>
                <w:szCs w:val="20"/>
                <w:color w:val="auto"/>
              </w:rPr>
            </w:pPr>
            <w:r>
              <w:rPr>
                <w:rFonts w:ascii="Arial" w:cs="Arial" w:eastAsia="Arial" w:hAnsi="Arial"/>
                <w:sz w:val="11"/>
                <w:szCs w:val="11"/>
                <w:color w:val="auto"/>
              </w:rPr>
              <w:t>137,128</w:t>
            </w:r>
          </w:p>
        </w:tc>
        <w:tc>
          <w:tcPr>
            <w:tcW w:w="140" w:type="dxa"/>
            <w:vAlign w:val="bottom"/>
          </w:tcPr>
          <w:p>
            <w:pPr>
              <w:spacing w:after="0"/>
              <w:rPr>
                <w:sz w:val="11"/>
                <w:szCs w:val="11"/>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239,436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Adjustments to reconcile net income to net cash provided by operating activities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Depreciation and amortization</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127,980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125,700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69,869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Amortization of deferred gain</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(7,253)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Amortization of debt issue costs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1,356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973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721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Amortization of convertible notes discount</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3,831</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Gain associated with claim on long-term contract</w:t>
            </w:r>
          </w:p>
        </w:tc>
        <w:tc>
          <w:tcPr>
            <w:tcW w:w="3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(129,674)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Loss on disposal of property and equipment</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116</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1,042</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780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Provision for doubtful accounts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(1,503)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290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5,255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Deferred taxes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1,271</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(123,338)</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(1,422)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Foreign currency transaction gains and losses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(493)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4,472</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5,224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Equity in earnings of unconsolidated joint ventures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(30,059)</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(41,721)</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(36,915)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Return on investments in unconsolidated joint ventures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41,457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51,077</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35,192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Stock-based compensation</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15,234</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8,272</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Contributions of treasury stock</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55,327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53,644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45,161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Changes in assets and liabilities, net of acquisitions and newly consolidated joint</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40" w:type="dxa"/>
            <w:vAlign w:val="bottom"/>
            <w:shd w:val="clear" w:color="auto" w:fill="CFF0FC"/>
          </w:tcPr>
          <w:p>
            <w:pPr>
              <w:ind w:left="80"/>
              <w:spacing w:after="0" w:line="123" w:lineRule="exact"/>
              <w:rPr>
                <w:sz w:val="20"/>
                <w:szCs w:val="20"/>
                <w:color w:val="auto"/>
              </w:rPr>
            </w:pPr>
            <w:r>
              <w:rPr>
                <w:rFonts w:ascii="Arial" w:cs="Arial" w:eastAsia="Arial" w:hAnsi="Arial"/>
                <w:sz w:val="11"/>
                <w:szCs w:val="11"/>
                <w:color w:val="auto"/>
              </w:rPr>
              <w:t>ventures</w:t>
            </w: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Accounts receivable</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(8,623)</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(30,206)</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461,304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Contract assets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9,243</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(49,999)</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(480,090)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Prepaid expenses and other assets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11,494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(22,110)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(23,668)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Accounts payable</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1,494</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(17,123)</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Accrued expenses and other current liabilities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3,405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78,366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30,367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Billings in excess of costs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205,047</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Contract liabilities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(29,674)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20,146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(150,873)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Provision for contract losses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(13,795)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tcPr>
          <w:p>
            <w:pPr>
              <w:ind w:left="200"/>
              <w:spacing w:after="0"/>
              <w:rPr>
                <w:sz w:val="20"/>
                <w:szCs w:val="20"/>
                <w:color w:val="auto"/>
              </w:rPr>
            </w:pPr>
            <w:r>
              <w:rPr>
                <w:rFonts w:ascii="Arial" w:cs="Arial" w:eastAsia="Arial" w:hAnsi="Arial"/>
                <w:sz w:val="11"/>
                <w:szCs w:val="11"/>
                <w:color w:val="auto"/>
              </w:rPr>
              <w:t>Income taxes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(3,080)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(5,421)</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3,911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ind w:left="200"/>
              <w:spacing w:after="0"/>
              <w:rPr>
                <w:sz w:val="20"/>
                <w:szCs w:val="20"/>
                <w:color w:val="auto"/>
              </w:rPr>
            </w:pPr>
            <w:r>
              <w:rPr>
                <w:rFonts w:ascii="Arial" w:cs="Arial" w:eastAsia="Arial" w:hAnsi="Arial"/>
                <w:sz w:val="11"/>
                <w:szCs w:val="11"/>
                <w:color w:val="auto"/>
              </w:rPr>
              <w:t>Other long-term liabilities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(28,536)</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29,048</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20,491</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Borders>
              <w:bottom w:val="single" w:sz="8" w:color="CFF0FC"/>
            </w:tcBorders>
          </w:tcPr>
          <w:p>
            <w:pPr>
              <w:ind w:left="400"/>
              <w:spacing w:after="0" w:line="124" w:lineRule="exact"/>
              <w:rPr>
                <w:sz w:val="20"/>
                <w:szCs w:val="20"/>
                <w:color w:val="auto"/>
              </w:rPr>
            </w:pPr>
            <w:r>
              <w:rPr>
                <w:rFonts w:ascii="Arial" w:cs="Arial" w:eastAsia="Arial" w:hAnsi="Arial"/>
                <w:sz w:val="11"/>
                <w:szCs w:val="11"/>
                <w:color w:val="auto"/>
              </w:rPr>
              <w:t>Net cash provided by operating activities</w:t>
            </w:r>
          </w:p>
        </w:tc>
        <w:tc>
          <w:tcPr>
            <w:tcW w:w="3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289,161</w:t>
            </w:r>
          </w:p>
        </w:tc>
        <w:tc>
          <w:tcPr>
            <w:tcW w:w="16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220,240</w:t>
            </w:r>
          </w:p>
        </w:tc>
        <w:tc>
          <w:tcPr>
            <w:tcW w:w="1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284,634</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6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40" w:type="dxa"/>
            <w:vAlign w:val="bottom"/>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Capital expenditures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(34,036)</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(67,597)</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(29,283)</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Proceeds from sale of property and equipment</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1,546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3,789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439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Payments for acquisitions, net of cash acquired</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(302,894)</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(494,826)</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(481,163)</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Investments in unconsolidated joint ventures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(11,038)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(24,579)</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(4,720)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Return of investments in unconsolidated joint ventures</w:t>
            </w:r>
          </w:p>
        </w:tc>
        <w:tc>
          <w:tcPr>
            <w:tcW w:w="30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53</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tcBorders>
              <w:bottom w:val="single" w:sz="8" w:color="auto"/>
            </w:tcBorders>
            <w:shd w:val="clear" w:color="auto" w:fill="CFF0FC"/>
          </w:tcPr>
          <w:p>
            <w:pPr>
              <w:spacing w:after="0"/>
              <w:rPr>
                <w:sz w:val="11"/>
                <w:szCs w:val="1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12,410</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tcBorders>
              <w:bottom w:val="single" w:sz="8" w:color="auto"/>
            </w:tcBorders>
            <w:shd w:val="clear" w:color="auto" w:fill="CFF0FC"/>
          </w:tcPr>
          <w:p>
            <w:pPr>
              <w:spacing w:after="0"/>
              <w:rPr>
                <w:sz w:val="11"/>
                <w:szCs w:val="1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11,432</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Pr>
          <w:p>
            <w:pPr>
              <w:ind w:left="400"/>
              <w:spacing w:after="0" w:line="124" w:lineRule="exact"/>
              <w:rPr>
                <w:sz w:val="20"/>
                <w:szCs w:val="20"/>
                <w:color w:val="auto"/>
              </w:rPr>
            </w:pPr>
            <w:r>
              <w:rPr>
                <w:rFonts w:ascii="Arial" w:cs="Arial" w:eastAsia="Arial" w:hAnsi="Arial"/>
                <w:sz w:val="11"/>
                <w:szCs w:val="11"/>
                <w:color w:val="auto"/>
              </w:rPr>
              <w:t>Net cash used in investing activities</w:t>
            </w:r>
          </w:p>
        </w:tc>
        <w:tc>
          <w:tcPr>
            <w:tcW w:w="300" w:type="dxa"/>
            <w:vAlign w:val="bottom"/>
          </w:tcPr>
          <w:p>
            <w:pPr>
              <w:spacing w:after="0"/>
              <w:rPr>
                <w:sz w:val="10"/>
                <w:szCs w:val="10"/>
                <w:color w:val="auto"/>
              </w:rPr>
            </w:pPr>
          </w:p>
        </w:tc>
        <w:tc>
          <w:tcPr>
            <w:tcW w:w="11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(346,369)</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(570,803)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(503,295)</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664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6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280" w:type="dxa"/>
            <w:vAlign w:val="bottom"/>
            <w:tcBorders>
              <w:top w:val="single" w:sz="8" w:color="auto"/>
            </w:tcBorders>
            <w:shd w:val="clear" w:color="auto" w:fill="CFF0FC"/>
          </w:tcPr>
          <w:p>
            <w:pPr>
              <w:spacing w:after="0"/>
              <w:rPr>
                <w:sz w:val="10"/>
                <w:szCs w:val="10"/>
                <w:color w:val="auto"/>
              </w:rPr>
            </w:pPr>
          </w:p>
        </w:tc>
        <w:tc>
          <w:tcPr>
            <w:tcW w:w="1040" w:type="dxa"/>
            <w:vAlign w:val="bottom"/>
            <w:tcBorders>
              <w:top w:val="single" w:sz="8" w:color="auto"/>
            </w:tcBorders>
            <w:shd w:val="clear" w:color="auto" w:fill="CFF0FC"/>
          </w:tcPr>
          <w:p>
            <w:pPr>
              <w:spacing w:after="0"/>
              <w:rPr>
                <w:sz w:val="10"/>
                <w:szCs w:val="10"/>
                <w:color w:val="auto"/>
              </w:rPr>
            </w:pPr>
          </w:p>
        </w:tc>
        <w:tc>
          <w:tcPr>
            <w:tcW w:w="140" w:type="dxa"/>
            <w:vAlign w:val="bottom"/>
            <w:tcBorders>
              <w:top w:val="single" w:sz="8" w:color="CFF0FC"/>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1020" w:type="dxa"/>
            <w:vAlign w:val="bottom"/>
            <w:tcBorders>
              <w:top w:val="single" w:sz="8" w:color="auto"/>
            </w:tcBorders>
            <w:shd w:val="clear" w:color="auto" w:fill="CFF0FC"/>
          </w:tcPr>
          <w:p>
            <w:pPr>
              <w:spacing w:after="0"/>
              <w:rPr>
                <w:sz w:val="10"/>
                <w:szCs w:val="10"/>
                <w:color w:val="auto"/>
              </w:rPr>
            </w:pPr>
          </w:p>
        </w:tc>
        <w:tc>
          <w:tcPr>
            <w:tcW w:w="120" w:type="dxa"/>
            <w:vAlign w:val="bottom"/>
            <w:tcBorders>
              <w:top w:val="single" w:sz="8" w:color="CFF0FC"/>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6640" w:type="dxa"/>
            <w:vAlign w:val="bottom"/>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Proceeds from borrowings</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212,900</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597,200</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260,000</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Repayments of borrowings</w:t>
            </w:r>
          </w:p>
        </w:tc>
        <w:tc>
          <w:tcPr>
            <w:tcW w:w="30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(212,900)</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(777,200)</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(80,000)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Payments for debt costs and credit agreement</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(286)</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(545)</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Proceeds from issuance of convertible notes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400,000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Payments for purchase of bond hedges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(54,968)</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Proceeds from issuance of warrants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13,808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Transaction costs paid in connection with convertible notes issuance</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(10,250)</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Contributions by noncontrolling interests</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2,215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10,093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20,656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Distributions to noncontrolling interests</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(5,816)</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(42,285)</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(18,886)</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Purchase of treasury stock</w:t>
            </w:r>
          </w:p>
        </w:tc>
        <w:tc>
          <w:tcPr>
            <w:tcW w:w="300" w:type="dxa"/>
            <w:vAlign w:val="bottom"/>
          </w:tcPr>
          <w:p>
            <w:pPr>
              <w:spacing w:after="0"/>
              <w:rPr>
                <w:sz w:val="11"/>
                <w:szCs w:val="1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1"/>
                <w:szCs w:val="11"/>
                <w:color w:val="auto"/>
              </w:rPr>
              <w:t>(6,272)</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1"/>
                <w:szCs w:val="11"/>
                <w:color w:val="auto"/>
              </w:rPr>
              <w:t>(125,814)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Taxes paid on vested stock</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(1,149)</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Proceeds from issuance of common stock</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4,386</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536,879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Dividend paid</w:t>
            </w:r>
          </w:p>
        </w:tc>
        <w:tc>
          <w:tcPr>
            <w:tcW w:w="30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(52,093)</w:t>
            </w: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Borders>
              <w:bottom w:val="single" w:sz="8" w:color="CFF0FC"/>
            </w:tcBorders>
          </w:tcPr>
          <w:p>
            <w:pPr>
              <w:ind w:left="400"/>
              <w:spacing w:after="0" w:line="124" w:lineRule="exact"/>
              <w:rPr>
                <w:sz w:val="20"/>
                <w:szCs w:val="20"/>
                <w:color w:val="auto"/>
              </w:rPr>
            </w:pPr>
            <w:r>
              <w:rPr>
                <w:rFonts w:ascii="Arial" w:cs="Arial" w:eastAsia="Arial" w:hAnsi="Arial"/>
                <w:sz w:val="11"/>
                <w:szCs w:val="11"/>
                <w:color w:val="auto"/>
              </w:rPr>
              <w:t>Net cash provided by financing activities</w:t>
            </w:r>
          </w:p>
        </w:tc>
        <w:tc>
          <w:tcPr>
            <w:tcW w:w="3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348,226</w:t>
            </w:r>
          </w:p>
        </w:tc>
        <w:tc>
          <w:tcPr>
            <w:tcW w:w="16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266,036</w:t>
            </w:r>
          </w:p>
        </w:tc>
        <w:tc>
          <w:tcPr>
            <w:tcW w:w="140" w:type="dxa"/>
            <w:vAlign w:val="bottom"/>
            <w:tcBorders>
              <w:bottom w:val="single" w:sz="8" w:color="CFF0FC"/>
            </w:tcBorders>
          </w:tcPr>
          <w:p>
            <w:pPr>
              <w:spacing w:after="0"/>
              <w:rPr>
                <w:sz w:val="10"/>
                <w:szCs w:val="10"/>
                <w:color w:val="auto"/>
              </w:rPr>
            </w:pPr>
          </w:p>
        </w:tc>
        <w:tc>
          <w:tcPr>
            <w:tcW w:w="120" w:type="dxa"/>
            <w:vAlign w:val="bottom"/>
            <w:tcBorders>
              <w:bottom w:val="single" w:sz="8" w:color="CFF0FC"/>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55,411</w:t>
            </w:r>
          </w:p>
        </w:tc>
        <w:tc>
          <w:tcPr>
            <w:tcW w:w="120" w:type="dxa"/>
            <w:vAlign w:val="bottom"/>
            <w:tcBorders>
              <w:bottom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spacing w:after="0" w:line="124" w:lineRule="exact"/>
              <w:rPr>
                <w:sz w:val="20"/>
                <w:szCs w:val="20"/>
                <w:color w:val="auto"/>
              </w:rPr>
            </w:pPr>
            <w:r>
              <w:rPr>
                <w:rFonts w:ascii="Arial" w:cs="Arial" w:eastAsia="Arial" w:hAnsi="Arial"/>
                <w:sz w:val="11"/>
                <w:szCs w:val="11"/>
                <w:color w:val="auto"/>
              </w:rPr>
              <w:t>Effect of exchange rate changes</w:t>
            </w:r>
          </w:p>
        </w:tc>
        <w:tc>
          <w:tcPr>
            <w:tcW w:w="300" w:type="dxa"/>
            <w:vAlign w:val="bottom"/>
            <w:shd w:val="clear" w:color="auto" w:fill="CFF0FC"/>
          </w:tcPr>
          <w:p>
            <w:pPr>
              <w:spacing w:after="0"/>
              <w:rPr>
                <w:sz w:val="10"/>
                <w:szCs w:val="10"/>
                <w:color w:val="auto"/>
              </w:rPr>
            </w:pP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823</w:t>
            </w: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180" w:type="dxa"/>
            <w:vAlign w:val="bottom"/>
            <w:gridSpan w:val="2"/>
            <w:shd w:val="clear" w:color="auto" w:fill="CFF0FC"/>
          </w:tcPr>
          <w:p>
            <w:pPr>
              <w:jc w:val="right"/>
              <w:ind w:right="120"/>
              <w:spacing w:after="0" w:line="124" w:lineRule="exact"/>
              <w:rPr>
                <w:sz w:val="20"/>
                <w:szCs w:val="20"/>
                <w:color w:val="auto"/>
              </w:rPr>
            </w:pPr>
            <w:r>
              <w:rPr>
                <w:rFonts w:ascii="Arial" w:cs="Arial" w:eastAsia="Arial" w:hAnsi="Arial"/>
                <w:sz w:val="11"/>
                <w:szCs w:val="11"/>
                <w:color w:val="auto"/>
              </w:rPr>
              <w:t>(1,294)</w:t>
            </w:r>
          </w:p>
        </w:tc>
        <w:tc>
          <w:tcPr>
            <w:tcW w:w="1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40" w:type="dxa"/>
            <w:vAlign w:val="bottom"/>
            <w:gridSpan w:val="2"/>
            <w:shd w:val="clear" w:color="auto" w:fill="CFF0FC"/>
          </w:tcPr>
          <w:p>
            <w:pPr>
              <w:jc w:val="right"/>
              <w:ind w:right="80"/>
              <w:spacing w:after="0" w:line="124" w:lineRule="exact"/>
              <w:rPr>
                <w:sz w:val="20"/>
                <w:szCs w:val="20"/>
                <w:color w:val="auto"/>
              </w:rPr>
            </w:pPr>
            <w:r>
              <w:rPr>
                <w:rFonts w:ascii="Arial" w:cs="Arial" w:eastAsia="Arial" w:hAnsi="Arial"/>
                <w:sz w:val="11"/>
                <w:szCs w:val="11"/>
                <w:color w:val="auto"/>
              </w:rPr>
              <w:t>(1,699)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tcPr>
          <w:p>
            <w:pPr>
              <w:ind w:left="400"/>
              <w:spacing w:after="0" w:line="124" w:lineRule="exact"/>
              <w:rPr>
                <w:sz w:val="20"/>
                <w:szCs w:val="20"/>
                <w:color w:val="auto"/>
              </w:rPr>
            </w:pPr>
            <w:r>
              <w:rPr>
                <w:rFonts w:ascii="Arial" w:cs="Arial" w:eastAsia="Arial" w:hAnsi="Arial"/>
                <w:sz w:val="11"/>
                <w:szCs w:val="11"/>
                <w:color w:val="auto"/>
              </w:rPr>
              <w:t>Net increase (decrease) in cash, cash equivalents and restricted cash</w:t>
            </w:r>
          </w:p>
        </w:tc>
        <w:tc>
          <w:tcPr>
            <w:tcW w:w="300" w:type="dxa"/>
            <w:vAlign w:val="bottom"/>
          </w:tcPr>
          <w:p>
            <w:pPr>
              <w:spacing w:after="0"/>
              <w:rPr>
                <w:sz w:val="10"/>
                <w:szCs w:val="10"/>
                <w:color w:val="auto"/>
              </w:rPr>
            </w:pPr>
          </w:p>
        </w:tc>
        <w:tc>
          <w:tcPr>
            <w:tcW w:w="1020" w:type="dxa"/>
            <w:vAlign w:val="bottom"/>
          </w:tcPr>
          <w:p>
            <w:pPr>
              <w:jc w:val="right"/>
              <w:spacing w:after="0" w:line="124" w:lineRule="exact"/>
              <w:rPr>
                <w:sz w:val="20"/>
                <w:szCs w:val="20"/>
                <w:color w:val="auto"/>
              </w:rPr>
            </w:pPr>
            <w:r>
              <w:rPr>
                <w:rFonts w:ascii="Arial" w:cs="Arial" w:eastAsia="Arial" w:hAnsi="Arial"/>
                <w:sz w:val="11"/>
                <w:szCs w:val="11"/>
                <w:color w:val="auto"/>
              </w:rPr>
              <w:t>291,841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(85,821)</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auto"/>
              </w:rPr>
              <w:t>(164,949)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cash equivalents and restricted cash</w:t>
            </w: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660" w:type="dxa"/>
            <w:vAlign w:val="bottom"/>
            <w:gridSpan w:val="2"/>
          </w:tcPr>
          <w:p>
            <w:pPr>
              <w:spacing w:after="0"/>
              <w:rPr>
                <w:sz w:val="20"/>
                <w:szCs w:val="20"/>
                <w:color w:val="auto"/>
              </w:rPr>
            </w:pPr>
            <w:r>
              <w:rPr>
                <w:rFonts w:ascii="Arial" w:cs="Arial" w:eastAsia="Arial" w:hAnsi="Arial"/>
                <w:sz w:val="11"/>
                <w:szCs w:val="11"/>
                <w:color w:val="auto"/>
              </w:rPr>
              <w:t>Beginning of year</w:t>
            </w: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195,374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281,195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446,144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40" w:type="dxa"/>
            <w:vAlign w:val="bottom"/>
            <w:shd w:val="clear" w:color="auto" w:fill="CFF0FC"/>
          </w:tcPr>
          <w:p>
            <w:pPr>
              <w:spacing w:after="0" w:line="124" w:lineRule="exact"/>
              <w:rPr>
                <w:sz w:val="20"/>
                <w:szCs w:val="20"/>
                <w:color w:val="auto"/>
              </w:rPr>
            </w:pPr>
            <w:r>
              <w:rPr>
                <w:rFonts w:ascii="Arial" w:cs="Arial" w:eastAsia="Arial" w:hAnsi="Arial"/>
                <w:sz w:val="11"/>
                <w:szCs w:val="11"/>
                <w:color w:val="auto"/>
              </w:rPr>
              <w:t>End of year</w:t>
            </w:r>
          </w:p>
        </w:tc>
        <w:tc>
          <w:tcPr>
            <w:tcW w:w="300" w:type="dxa"/>
            <w:vAlign w:val="bottom"/>
            <w:shd w:val="clear" w:color="auto" w:fill="CFF0FC"/>
          </w:tcPr>
          <w:p>
            <w:pPr>
              <w:jc w:val="right"/>
              <w:ind w:right="165"/>
              <w:spacing w:after="0" w:line="124" w:lineRule="exact"/>
              <w:rPr>
                <w:sz w:val="20"/>
                <w:szCs w:val="20"/>
                <w:color w:val="auto"/>
              </w:rPr>
            </w:pPr>
            <w:r>
              <w:rPr>
                <w:rFonts w:ascii="Arial" w:cs="Arial" w:eastAsia="Arial" w:hAnsi="Arial"/>
                <w:sz w:val="11"/>
                <w:szCs w:val="11"/>
                <w:color w:val="auto"/>
                <w:w w:val="97"/>
              </w:rPr>
              <w:t>$</w:t>
            </w: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487,215</w:t>
            </w:r>
          </w:p>
        </w:tc>
        <w:tc>
          <w:tcPr>
            <w:tcW w:w="160" w:type="dxa"/>
            <w:vAlign w:val="bottom"/>
            <w:shd w:val="clear" w:color="auto" w:fill="CFF0FC"/>
          </w:tcPr>
          <w:p>
            <w:pPr>
              <w:spacing w:after="0"/>
              <w:rPr>
                <w:sz w:val="10"/>
                <w:szCs w:val="10"/>
                <w:color w:val="auto"/>
              </w:rPr>
            </w:pPr>
          </w:p>
        </w:tc>
        <w:tc>
          <w:tcPr>
            <w:tcW w:w="400" w:type="dxa"/>
            <w:vAlign w:val="bottom"/>
            <w:gridSpan w:val="2"/>
            <w:shd w:val="clear" w:color="auto" w:fill="CFF0FC"/>
          </w:tcPr>
          <w:p>
            <w:pPr>
              <w:jc w:val="right"/>
              <w:ind w:right="220"/>
              <w:spacing w:after="0" w:line="124" w:lineRule="exact"/>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195,374</w:t>
            </w:r>
          </w:p>
        </w:tc>
        <w:tc>
          <w:tcPr>
            <w:tcW w:w="140" w:type="dxa"/>
            <w:vAlign w:val="bottom"/>
            <w:shd w:val="clear" w:color="auto" w:fill="CFF0FC"/>
          </w:tcPr>
          <w:p>
            <w:pPr>
              <w:spacing w:after="0"/>
              <w:rPr>
                <w:sz w:val="10"/>
                <w:szCs w:val="10"/>
                <w:color w:val="auto"/>
              </w:rPr>
            </w:pPr>
          </w:p>
        </w:tc>
        <w:tc>
          <w:tcPr>
            <w:tcW w:w="420" w:type="dxa"/>
            <w:vAlign w:val="bottom"/>
            <w:gridSpan w:val="2"/>
            <w:shd w:val="clear" w:color="auto" w:fill="CFF0FC"/>
          </w:tcPr>
          <w:p>
            <w:pPr>
              <w:jc w:val="right"/>
              <w:ind w:right="240"/>
              <w:spacing w:after="0" w:line="124" w:lineRule="exact"/>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line="124" w:lineRule="exact"/>
              <w:rPr>
                <w:sz w:val="20"/>
                <w:szCs w:val="20"/>
                <w:color w:val="auto"/>
              </w:rPr>
            </w:pPr>
            <w:r>
              <w:rPr>
                <w:rFonts w:ascii="Arial" w:cs="Arial" w:eastAsia="Arial" w:hAnsi="Arial"/>
                <w:sz w:val="11"/>
                <w:szCs w:val="11"/>
                <w:color w:val="auto"/>
              </w:rPr>
              <w:t>281,195</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Cash paid during the year for</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66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40" w:type="dxa"/>
            <w:vAlign w:val="bottom"/>
            <w:shd w:val="clear" w:color="auto" w:fill="CFF0FC"/>
          </w:tcPr>
          <w:p>
            <w:pPr>
              <w:spacing w:after="0"/>
              <w:rPr>
                <w:sz w:val="20"/>
                <w:szCs w:val="20"/>
                <w:color w:val="auto"/>
              </w:rPr>
            </w:pPr>
            <w:r>
              <w:rPr>
                <w:rFonts w:ascii="Arial" w:cs="Arial" w:eastAsia="Arial" w:hAnsi="Arial"/>
                <w:sz w:val="11"/>
                <w:szCs w:val="11"/>
                <w:color w:val="auto"/>
              </w:rPr>
              <w:t>Interest</w:t>
            </w:r>
          </w:p>
        </w:tc>
        <w:tc>
          <w:tcPr>
            <w:tcW w:w="300" w:type="dxa"/>
            <w:vAlign w:val="bottom"/>
            <w:shd w:val="clear" w:color="auto" w:fill="CFF0FC"/>
          </w:tcPr>
          <w:p>
            <w:pPr>
              <w:jc w:val="right"/>
              <w:ind w:right="165"/>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14,207</w:t>
            </w:r>
          </w:p>
        </w:tc>
        <w:tc>
          <w:tcPr>
            <w:tcW w:w="16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23,254</w:t>
            </w:r>
          </w:p>
        </w:tc>
        <w:tc>
          <w:tcPr>
            <w:tcW w:w="140" w:type="dxa"/>
            <w:vAlign w:val="bottom"/>
            <w:shd w:val="clear" w:color="auto" w:fill="CFF0FC"/>
          </w:tcPr>
          <w:p>
            <w:pPr>
              <w:spacing w:after="0"/>
              <w:rPr>
                <w:sz w:val="11"/>
                <w:szCs w:val="11"/>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16,805</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660" w:type="dxa"/>
            <w:vAlign w:val="bottom"/>
            <w:gridSpan w:val="2"/>
          </w:tcPr>
          <w:p>
            <w:pPr>
              <w:spacing w:after="0"/>
              <w:rPr>
                <w:sz w:val="20"/>
                <w:szCs w:val="20"/>
                <w:color w:val="auto"/>
              </w:rPr>
            </w:pPr>
            <w:r>
              <w:rPr>
                <w:rFonts w:ascii="Arial" w:cs="Arial" w:eastAsia="Arial" w:hAnsi="Arial"/>
                <w:sz w:val="11"/>
                <w:szCs w:val="11"/>
                <w:color w:val="auto"/>
              </w:rPr>
              <w:t>Income taxes (net of refunds)</w:t>
            </w: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55,354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60,477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17,054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298" w:right="31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66" w:lineRule="exact"/>
        <w:rPr>
          <w:sz w:val="20"/>
          <w:szCs w:val="20"/>
          <w:color w:val="auto"/>
        </w:rPr>
      </w:pPr>
    </w:p>
    <w:p>
      <w:pPr>
        <w:ind w:left="600" w:right="8840" w:hanging="591"/>
        <w:spacing w:after="0" w:line="490" w:lineRule="auto"/>
        <w:tabs>
          <w:tab w:leader="none" w:pos="597" w:val="left"/>
        </w:tabs>
        <w:numPr>
          <w:ilvl w:val="0"/>
          <w:numId w:val="46"/>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Operations Organization</w:t>
      </w:r>
    </w:p>
    <w:p>
      <w:pPr>
        <w:spacing w:after="0" w:line="1" w:lineRule="exact"/>
        <w:rPr>
          <w:sz w:val="20"/>
          <w:szCs w:val="20"/>
          <w:color w:val="auto"/>
        </w:rPr>
      </w:pPr>
    </w:p>
    <w:p>
      <w:pPr>
        <w:ind w:firstLine="737"/>
        <w:spacing w:after="0" w:line="236" w:lineRule="auto"/>
        <w:rPr>
          <w:sz w:val="20"/>
          <w:szCs w:val="20"/>
          <w:color w:val="auto"/>
        </w:rPr>
      </w:pPr>
      <w:r>
        <w:rPr>
          <w:rFonts w:ascii="Arial" w:cs="Arial" w:eastAsia="Arial" w:hAnsi="Arial"/>
          <w:sz w:val="15"/>
          <w:szCs w:val="15"/>
          <w:color w:val="auto"/>
        </w:rPr>
        <w:t>Parsons Corporation, a Delaware corporation, and its subsidiaries (collectively, the “Company”) provide sophisticated design, engineering and technical services, and smart and agile software to the United States federal government and Critical Infrastructure customers worldwide. The Company performs work in various foreign countries through local subsidiaries, joint ventures and foreign offices maintained to carry out specific projects.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Initial Public Offering</w:t>
      </w:r>
    </w:p>
    <w:p>
      <w:pPr>
        <w:spacing w:after="0" w:line="189" w:lineRule="exact"/>
        <w:rPr>
          <w:sz w:val="20"/>
          <w:szCs w:val="20"/>
          <w:color w:val="auto"/>
        </w:rPr>
      </w:pPr>
    </w:p>
    <w:p>
      <w:pPr>
        <w:ind w:right="160" w:firstLine="591"/>
        <w:spacing w:after="0" w:line="234" w:lineRule="auto"/>
        <w:rPr>
          <w:sz w:val="20"/>
          <w:szCs w:val="20"/>
          <w:color w:val="auto"/>
        </w:rPr>
      </w:pPr>
      <w:r>
        <w:rPr>
          <w:rFonts w:ascii="Arial" w:cs="Arial" w:eastAsia="Arial" w:hAnsi="Arial"/>
          <w:sz w:val="15"/>
          <w:szCs w:val="15"/>
          <w:color w:val="auto"/>
        </w:rPr>
        <w:t>On May 8, 2019, the Company consummated its initial public offering (“IPO”) whereby the Company sold 18,518,500 shares of common stock for $27.00 per share. The underwriters exercised their share option on May 14, 2019 to purchase an additional 2,777,775 shares at the share price of $25.515 which was the IPO share price of $27.00 less the underwriting discount of $1.485 per share. The net proceeds of the IPO and the underwriters’ share option were $536.9 million, after deducting underwriting discounts and other fees, and were used to fund an IPO dividend of $52.1 million, repay the outstanding balance of $150.0 million under our Term Loan, and repay outstanding indebtedness under our Revolving Credit Facility.</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Stock Dividend</w:t>
      </w:r>
    </w:p>
    <w:p>
      <w:pPr>
        <w:spacing w:after="0" w:line="189" w:lineRule="exact"/>
        <w:rPr>
          <w:sz w:val="20"/>
          <w:szCs w:val="20"/>
          <w:color w:val="auto"/>
        </w:rPr>
      </w:pPr>
    </w:p>
    <w:p>
      <w:pPr>
        <w:ind w:right="40" w:firstLine="591"/>
        <w:spacing w:after="0" w:line="235" w:lineRule="auto"/>
        <w:rPr>
          <w:sz w:val="20"/>
          <w:szCs w:val="20"/>
          <w:color w:val="auto"/>
        </w:rPr>
      </w:pPr>
      <w:r>
        <w:rPr>
          <w:rFonts w:ascii="Arial" w:cs="Arial" w:eastAsia="Arial" w:hAnsi="Arial"/>
          <w:sz w:val="15"/>
          <w:szCs w:val="15"/>
          <w:color w:val="auto"/>
        </w:rPr>
        <w:t>On April 15, 2019, the board of directors of the Company declared a common stock dividend in a ratio of two shares of common stock for every one share of common stock then held by the Company’s stockholder (the “Stock Dividend”). The record date of this common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w:t>
      </w:r>
    </w:p>
    <w:p>
      <w:pPr>
        <w:spacing w:after="0" w:line="237" w:lineRule="exact"/>
        <w:rPr>
          <w:sz w:val="20"/>
          <w:szCs w:val="20"/>
          <w:color w:val="auto"/>
        </w:rPr>
      </w:pPr>
    </w:p>
    <w:p>
      <w:pPr>
        <w:ind w:left="600" w:hanging="591"/>
        <w:spacing w:after="0"/>
        <w:tabs>
          <w:tab w:leader="none" w:pos="600" w:val="left"/>
        </w:tabs>
        <w:numPr>
          <w:ilvl w:val="0"/>
          <w:numId w:val="47"/>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w:t>
      </w:r>
    </w:p>
    <w:p>
      <w:pPr>
        <w:spacing w:after="0" w:line="259"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Principles of Consolidation</w:t>
      </w:r>
    </w:p>
    <w:p>
      <w:pPr>
        <w:spacing w:after="0" w:line="100" w:lineRule="exact"/>
        <w:rPr>
          <w:sz w:val="20"/>
          <w:szCs w:val="20"/>
          <w:color w:val="auto"/>
        </w:rPr>
      </w:pPr>
    </w:p>
    <w:p>
      <w:pPr>
        <w:ind w:right="80" w:firstLine="591"/>
        <w:spacing w:after="0" w:line="234" w:lineRule="auto"/>
        <w:rPr>
          <w:sz w:val="20"/>
          <w:szCs w:val="20"/>
          <w:color w:val="auto"/>
        </w:rPr>
      </w:pPr>
      <w:r>
        <w:rPr>
          <w:rFonts w:ascii="Arial" w:cs="Arial" w:eastAsia="Arial" w:hAnsi="Arial"/>
          <w:sz w:val="15"/>
          <w:szCs w:val="15"/>
          <w:color w:val="auto"/>
        </w:rPr>
        <w:t>The accompanying consolidated financial statements have been prepared in accordance with accounting principles generally accepted in the United States of America (“U.S. GAAP”) and include the accounts of Parsons Corporation and its subsidiaries and affiliates which it controls.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Intercompany accounts and transactions are eliminated in consolidation.</w:t>
      </w:r>
    </w:p>
    <w:p>
      <w:pPr>
        <w:spacing w:after="0" w:line="200" w:lineRule="exact"/>
        <w:rPr>
          <w:sz w:val="20"/>
          <w:szCs w:val="20"/>
          <w:color w:val="auto"/>
        </w:rPr>
      </w:pPr>
    </w:p>
    <w:p>
      <w:pPr>
        <w:spacing w:after="0" w:line="20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Use of Estimates</w:t>
      </w:r>
    </w:p>
    <w:p>
      <w:pPr>
        <w:spacing w:after="0" w:line="100" w:lineRule="exact"/>
        <w:rPr>
          <w:sz w:val="20"/>
          <w:szCs w:val="20"/>
          <w:color w:val="auto"/>
        </w:rPr>
      </w:pPr>
    </w:p>
    <w:p>
      <w:pPr>
        <w:ind w:right="120" w:firstLine="591"/>
        <w:spacing w:after="0" w:line="235" w:lineRule="auto"/>
        <w:rPr>
          <w:sz w:val="20"/>
          <w:szCs w:val="20"/>
          <w:color w:val="auto"/>
        </w:rPr>
      </w:pPr>
      <w:r>
        <w:rPr>
          <w:rFonts w:ascii="Arial" w:cs="Arial" w:eastAsia="Arial" w:hAnsi="Arial"/>
          <w:sz w:val="15"/>
          <w:szCs w:val="15"/>
          <w:color w:val="auto"/>
        </w:rPr>
        <w:t>The preparation of the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 Actual amounts could differ from those estimates. The Company’s most significant estimates and judgments involve revenue recognition with respect to the determination of the costs to complete contracts and transaction price; determination of self-insurance reserves; useful lives of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298" w:right="35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5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200"/>
        <w:spacing w:after="0" w:line="239" w:lineRule="auto"/>
        <w:rPr>
          <w:sz w:val="20"/>
          <w:szCs w:val="20"/>
          <w:color w:val="auto"/>
        </w:rPr>
      </w:pPr>
      <w:r>
        <w:rPr>
          <w:rFonts w:ascii="Arial" w:cs="Arial" w:eastAsia="Arial" w:hAnsi="Arial"/>
          <w:sz w:val="15"/>
          <w:szCs w:val="15"/>
          <w:color w:val="auto"/>
        </w:rPr>
        <w:t>property and equipment and intangible assets; calculation of allowance for doubtful accounts; valuation of deferred income tax assets and uncertain tax positions, among others.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ESOP</w:t>
      </w:r>
    </w:p>
    <w:p>
      <w:pPr>
        <w:spacing w:after="0" w:line="100" w:lineRule="exact"/>
        <w:rPr>
          <w:sz w:val="20"/>
          <w:szCs w:val="20"/>
          <w:color w:val="auto"/>
        </w:rPr>
      </w:pPr>
    </w:p>
    <w:p>
      <w:pPr>
        <w:jc w:val="both"/>
        <w:ind w:right="140" w:firstLine="591"/>
        <w:spacing w:after="0" w:line="235" w:lineRule="auto"/>
        <w:rPr>
          <w:sz w:val="20"/>
          <w:szCs w:val="20"/>
          <w:color w:val="auto"/>
        </w:rPr>
      </w:pPr>
      <w:r>
        <w:rPr>
          <w:rFonts w:ascii="Arial" w:cs="Arial" w:eastAsia="Arial" w:hAnsi="Arial"/>
          <w:sz w:val="15"/>
          <w:szCs w:val="15"/>
          <w:color w:val="auto"/>
        </w:rPr>
        <w:t>The Company maintains a non-leveraged ESOP for eligible employees, for which the Company contributes shares of its own stock to the ESOP trust each year. Throughout the year, as employee services are rendered, the Company records compensation expense based on salaries of eligible employees. At each reporting period, the shares held within the ESOP or committed to be contributed to the ESOP are adjusted to their redemption value through an offsetting charge or credit to accumulated deficit.</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Treasury Stock</w:t>
      </w:r>
    </w:p>
    <w:p>
      <w:pPr>
        <w:spacing w:after="0" w:line="100" w:lineRule="exact"/>
        <w:rPr>
          <w:sz w:val="20"/>
          <w:szCs w:val="20"/>
          <w:color w:val="auto"/>
        </w:rPr>
      </w:pPr>
    </w:p>
    <w:p>
      <w:pPr>
        <w:ind w:right="80" w:firstLine="591"/>
        <w:spacing w:after="0" w:line="233" w:lineRule="auto"/>
        <w:rPr>
          <w:sz w:val="20"/>
          <w:szCs w:val="20"/>
          <w:color w:val="auto"/>
        </w:rPr>
      </w:pPr>
      <w:r>
        <w:rPr>
          <w:rFonts w:ascii="Arial" w:cs="Arial" w:eastAsia="Arial" w:hAnsi="Arial"/>
          <w:sz w:val="15"/>
          <w:szCs w:val="15"/>
          <w:color w:val="auto"/>
        </w:rPr>
        <w:t>The Company records treasury stock purchases under the cost method whereby the entire cost of the acquired stock is recorded as treasury stock. The Company records the reissuance of treasury stock using the first-in, first-out method of accounting. Contributions of 1,522,381 shares, 1,345,198 shares, and 1,874,988 shares of common stock were made to the ESOP in 2020, 2019 and 2018, respectively. In 2019 and 2018, the Company repurchased 191,331 shares, and 5,553,891 shares of common stock from the ESOP, respectively, in connection with the redemption of ESOP participants’ interests in the ESOP for $6.3 million and $125.8 million, respectively. Subsequent to November 3, 2019 when the 180-day lock-up period ended, repurchases are no longer required for ESOP redemptions. In 2020 the Company did not repurchase any shares of common stock.</w:t>
      </w:r>
    </w:p>
    <w:p>
      <w:pPr>
        <w:spacing w:after="0" w:line="24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Earnings per Share</w:t>
      </w:r>
    </w:p>
    <w:p>
      <w:pPr>
        <w:spacing w:after="0" w:line="100" w:lineRule="exact"/>
        <w:rPr>
          <w:sz w:val="20"/>
          <w:szCs w:val="20"/>
          <w:color w:val="auto"/>
        </w:rPr>
      </w:pPr>
    </w:p>
    <w:p>
      <w:pPr>
        <w:jc w:val="both"/>
        <w:ind w:right="180" w:firstLine="591"/>
        <w:spacing w:after="0" w:line="236" w:lineRule="auto"/>
        <w:rPr>
          <w:sz w:val="20"/>
          <w:szCs w:val="20"/>
          <w:color w:val="auto"/>
        </w:rPr>
      </w:pPr>
      <w:r>
        <w:rPr>
          <w:rFonts w:ascii="Arial" w:cs="Arial" w:eastAsia="Arial" w:hAnsi="Arial"/>
          <w:sz w:val="15"/>
          <w:szCs w:val="15"/>
          <w:color w:val="auto"/>
        </w:rPr>
        <w:t>Basic earnings per common share (“EPS”) is calculated by dividing Net income by the weighted average number of common shares outstanding during the year. Diluted earnings per common share is calculated by dividing net income by adjusted weighted average outstanding shares, assuming conversion of all potentially dilutive securities. Upon contribution to the ESOP, the shares become outstanding and are included within the earnings per share computations.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Revenue Recognition</w:t>
      </w:r>
    </w:p>
    <w:p>
      <w:pPr>
        <w:spacing w:after="0" w:line="84" w:lineRule="exact"/>
        <w:rPr>
          <w:sz w:val="20"/>
          <w:szCs w:val="20"/>
          <w:color w:val="auto"/>
        </w:rPr>
      </w:pPr>
    </w:p>
    <w:p>
      <w:pPr>
        <w:ind w:right="40" w:firstLine="591"/>
        <w:spacing w:after="0" w:line="241" w:lineRule="auto"/>
        <w:rPr>
          <w:sz w:val="20"/>
          <w:szCs w:val="20"/>
          <w:color w:val="auto"/>
        </w:rPr>
      </w:pPr>
      <w:r>
        <w:rPr>
          <w:rFonts w:ascii="Arial" w:cs="Arial" w:eastAsia="Arial" w:hAnsi="Arial"/>
          <w:sz w:val="15"/>
          <w:szCs w:val="15"/>
          <w:color w:val="auto"/>
        </w:rPr>
        <w:t xml:space="preserve">On December 30, 2017, the Company adopted Accounting Standards Update (“ASU”)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(“ASC 606”), using the modified retrospective method, which provides for a cumulative effect adjustment to retained earnings beginning in fiscal 2018 for those uncompleted contracts impacted by the adoption of the new standard. The difference between the recognition criteria under ASC-606 and our previous recognition practices under ASC 605-35 was recognized through a cumulative adjustment of $4.7 million that was made to the opening balance of accumulated deficit as of December 30, 2017.</w:t>
      </w:r>
    </w:p>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accordance with ASC 606, the Company follows the five-step process in ASC 606 to recognize revenue:</w:t>
      </w:r>
    </w:p>
    <w:p>
      <w:pPr>
        <w:spacing w:after="0" w:line="82" w:lineRule="exact"/>
        <w:rPr>
          <w:sz w:val="20"/>
          <w:szCs w:val="20"/>
          <w:color w:val="auto"/>
        </w:rPr>
      </w:pPr>
    </w:p>
    <w:p>
      <w:pPr>
        <w:ind w:left="1180" w:hanging="584"/>
        <w:spacing w:after="0"/>
        <w:tabs>
          <w:tab w:leader="none" w:pos="1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Identify the contract</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Identify performance obligations</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Determine the transaction price</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Allocate the transaction price</w:t>
      </w:r>
    </w:p>
    <w:p>
      <w:pPr>
        <w:spacing w:after="0" w:line="82" w:lineRule="exact"/>
        <w:rPr>
          <w:rFonts w:ascii="Arial" w:cs="Arial" w:eastAsia="Arial" w:hAnsi="Arial"/>
          <w:sz w:val="15"/>
          <w:szCs w:val="15"/>
          <w:color w:val="auto"/>
        </w:rPr>
      </w:pPr>
    </w:p>
    <w:p>
      <w:pPr>
        <w:ind w:left="1180" w:hanging="584"/>
        <w:spacing w:after="0"/>
        <w:tabs>
          <w:tab w:leader="none" w:pos="1180" w:val="left"/>
        </w:tabs>
        <w:numPr>
          <w:ilvl w:val="0"/>
          <w:numId w:val="48"/>
        </w:numPr>
        <w:rPr>
          <w:rFonts w:ascii="Arial" w:cs="Arial" w:eastAsia="Arial" w:hAnsi="Arial"/>
          <w:sz w:val="15"/>
          <w:szCs w:val="15"/>
          <w:color w:val="auto"/>
        </w:rPr>
      </w:pPr>
      <w:r>
        <w:rPr>
          <w:rFonts w:ascii="Arial" w:cs="Arial" w:eastAsia="Arial" w:hAnsi="Arial"/>
          <w:sz w:val="15"/>
          <w:szCs w:val="15"/>
          <w:color w:val="auto"/>
        </w:rPr>
        <w:t>Recognize revenue</w:t>
      </w:r>
    </w:p>
    <w:p>
      <w:pPr>
        <w:spacing w:after="0" w:line="155" w:lineRule="exact"/>
        <w:rPr>
          <w:sz w:val="20"/>
          <w:szCs w:val="20"/>
          <w:color w:val="auto"/>
        </w:rPr>
      </w:pPr>
    </w:p>
    <w:p>
      <w:pPr>
        <w:ind w:firstLine="591"/>
        <w:spacing w:after="0" w:line="241" w:lineRule="auto"/>
        <w:rPr>
          <w:sz w:val="20"/>
          <w:szCs w:val="20"/>
          <w:color w:val="auto"/>
        </w:rPr>
      </w:pPr>
      <w:r>
        <w:rPr>
          <w:rFonts w:ascii="Arial" w:cs="Arial" w:eastAsia="Arial" w:hAnsi="Arial"/>
          <w:sz w:val="15"/>
          <w:szCs w:val="15"/>
          <w:i w:val="1"/>
          <w:iCs w:val="1"/>
          <w:color w:val="auto"/>
        </w:rPr>
        <w:t>Contracts</w:t>
      </w:r>
      <w:r>
        <w:rPr>
          <w:rFonts w:ascii="Arial" w:cs="Arial" w:eastAsia="Arial" w:hAnsi="Arial"/>
          <w:sz w:val="15"/>
          <w:szCs w:val="15"/>
          <w:color w:val="auto"/>
        </w:rPr>
        <w:t>—Revenue is derived from long-term contracts with customers whereby the Company provides planning, design, engineering, technical, and construction</w:t>
      </w:r>
      <w:r>
        <w:rPr>
          <w:rFonts w:ascii="Arial" w:cs="Arial" w:eastAsia="Arial" w:hAnsi="Arial"/>
          <w:sz w:val="15"/>
          <w:szCs w:val="15"/>
          <w:i w:val="1"/>
          <w:iCs w:val="1"/>
          <w:color w:val="auto"/>
        </w:rPr>
        <w:t xml:space="preserve"> </w:t>
      </w:r>
      <w:r>
        <w:rPr>
          <w:rFonts w:ascii="Arial" w:cs="Arial" w:eastAsia="Arial" w:hAnsi="Arial"/>
          <w:sz w:val="15"/>
          <w:szCs w:val="15"/>
          <w:color w:val="auto"/>
        </w:rPr>
        <w:t>and program management services. The Company has contracts with the United States federal government that contain provisions requiring compliance with the United States Federal Acquisition Regulation (“FAR”) and the United States Cost Accounting Standards (“CAS”). These regulations are generally applicable to all of the Company’s federal</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20"/>
        <w:spacing w:after="0" w:line="236" w:lineRule="auto"/>
        <w:rPr>
          <w:sz w:val="20"/>
          <w:szCs w:val="20"/>
          <w:color w:val="auto"/>
        </w:rPr>
      </w:pPr>
      <w:r>
        <w:rPr>
          <w:rFonts w:ascii="Arial" w:cs="Arial" w:eastAsia="Arial" w:hAnsi="Arial"/>
          <w:sz w:val="15"/>
          <w:szCs w:val="15"/>
          <w:color w:val="auto"/>
        </w:rPr>
        <w:t>government contracts and are partially or fully incorporated in some local and state agency contracts. Most of the Company’s federal government contracts are subject to termination at the convenience of the client. These contracts typically provide for reimbursement of costs incurred and payment of fees earned through the date of such termination.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enters into the following types of contracts with its customers:</w:t>
      </w:r>
    </w:p>
    <w:p>
      <w:pPr>
        <w:spacing w:after="0" w:line="171" w:lineRule="exact"/>
        <w:rPr>
          <w:sz w:val="20"/>
          <w:szCs w:val="20"/>
          <w:color w:val="auto"/>
        </w:rPr>
      </w:pPr>
    </w:p>
    <w:p>
      <w:pPr>
        <w:ind w:right="260" w:firstLine="591"/>
        <w:spacing w:after="0" w:line="236" w:lineRule="auto"/>
        <w:rPr>
          <w:sz w:val="20"/>
          <w:szCs w:val="20"/>
          <w:color w:val="auto"/>
        </w:rPr>
      </w:pPr>
      <w:r>
        <w:rPr>
          <w:rFonts w:ascii="Arial" w:cs="Arial" w:eastAsia="Arial" w:hAnsi="Arial"/>
          <w:sz w:val="15"/>
          <w:szCs w:val="15"/>
          <w:color w:val="auto"/>
        </w:rPr>
        <w:t>Cost-Plus—Under cost-plus contracts, the Company is reimbursed for allowable or otherwise defined costs incurred, plus a fee. The contracts may also include incentives for various performance criteria, including quality, timeliness, safety and cost-effectiveness. In addition, costs are generally subject to review by clients and regulatory audit agencies, and such reviews could result in costs being disputed as nonreimbursable under the terms of the contract.</w:t>
      </w:r>
    </w:p>
    <w:p>
      <w:pPr>
        <w:spacing w:after="0" w:line="167" w:lineRule="exact"/>
        <w:rPr>
          <w:sz w:val="20"/>
          <w:szCs w:val="20"/>
          <w:color w:val="auto"/>
        </w:rPr>
      </w:pPr>
    </w:p>
    <w:p>
      <w:pPr>
        <w:jc w:val="both"/>
        <w:ind w:right="120" w:firstLine="591"/>
        <w:spacing w:after="0" w:line="236" w:lineRule="auto"/>
        <w:rPr>
          <w:sz w:val="20"/>
          <w:szCs w:val="20"/>
          <w:color w:val="auto"/>
        </w:rPr>
      </w:pPr>
      <w:r>
        <w:rPr>
          <w:rFonts w:ascii="Arial" w:cs="Arial" w:eastAsia="Arial" w:hAnsi="Arial"/>
          <w:sz w:val="15"/>
          <w:szCs w:val="15"/>
          <w:color w:val="auto"/>
        </w:rPr>
        <w:t>Time-and-Materials—Under time-and-materials contracts, hourly billing rates are negotiated and charged to clients based on the actual time spent on a project. In certain cases, these contracts may be subject to maximum contract values. In addition, clients reimburse actual out-of-pocket costs for materials and other direct incidental expenditures that are incurred in connection with the performance under the contract.</w:t>
      </w:r>
    </w:p>
    <w:p>
      <w:pPr>
        <w:spacing w:after="0" w:line="167" w:lineRule="exact"/>
        <w:rPr>
          <w:sz w:val="20"/>
          <w:szCs w:val="20"/>
          <w:color w:val="auto"/>
        </w:rPr>
      </w:pPr>
    </w:p>
    <w:p>
      <w:pPr>
        <w:ind w:right="220" w:firstLine="591"/>
        <w:spacing w:after="0" w:line="239" w:lineRule="auto"/>
        <w:rPr>
          <w:sz w:val="20"/>
          <w:szCs w:val="20"/>
          <w:color w:val="auto"/>
        </w:rPr>
      </w:pPr>
      <w:r>
        <w:rPr>
          <w:rFonts w:ascii="Arial" w:cs="Arial" w:eastAsia="Arial" w:hAnsi="Arial"/>
          <w:sz w:val="15"/>
          <w:szCs w:val="15"/>
          <w:color w:val="auto"/>
        </w:rPr>
        <w:t>Fixed-Price—The Company enters into two types of fixed-price contracts: firm fixed-price (“FFP”) and fixed-price per unit (“FPPU”). Under FFP contracts, clients pay an agreed fixed-amount negotiated in advance for a specified scope of work.</w:t>
      </w:r>
    </w:p>
    <w:p>
      <w:pPr>
        <w:spacing w:after="0" w:line="150" w:lineRule="exact"/>
        <w:rPr>
          <w:sz w:val="20"/>
          <w:szCs w:val="20"/>
          <w:color w:val="auto"/>
        </w:rPr>
      </w:pPr>
    </w:p>
    <w:p>
      <w:pPr>
        <w:ind w:firstLine="591"/>
        <w:spacing w:after="0" w:line="254" w:lineRule="auto"/>
        <w:rPr>
          <w:sz w:val="20"/>
          <w:szCs w:val="20"/>
          <w:color w:val="auto"/>
        </w:rPr>
      </w:pPr>
      <w:r>
        <w:rPr>
          <w:rFonts w:ascii="Arial" w:cs="Arial" w:eastAsia="Arial" w:hAnsi="Arial"/>
          <w:sz w:val="14"/>
          <w:szCs w:val="14"/>
          <w:i w:val="1"/>
          <w:iCs w:val="1"/>
          <w:color w:val="auto"/>
        </w:rPr>
        <w:t>Contract Costs</w:t>
      </w:r>
      <w:r>
        <w:rPr>
          <w:rFonts w:ascii="Arial" w:cs="Arial" w:eastAsia="Arial" w:hAnsi="Arial"/>
          <w:sz w:val="14"/>
          <w:szCs w:val="14"/>
          <w:color w:val="auto"/>
        </w:rPr>
        <w:t>—Contract costs consist of direct costs on contracts, including labor and materials, amounts payable to subcontractors, direct overhead costs and</w:t>
      </w:r>
      <w:r>
        <w:rPr>
          <w:rFonts w:ascii="Arial" w:cs="Arial" w:eastAsia="Arial" w:hAnsi="Arial"/>
          <w:sz w:val="14"/>
          <w:szCs w:val="14"/>
          <w:i w:val="1"/>
          <w:iCs w:val="1"/>
          <w:color w:val="auto"/>
        </w:rPr>
        <w:t xml:space="preserve"> </w:t>
      </w:r>
      <w:r>
        <w:rPr>
          <w:rFonts w:ascii="Arial" w:cs="Arial" w:eastAsia="Arial" w:hAnsi="Arial"/>
          <w:sz w:val="14"/>
          <w:szCs w:val="14"/>
          <w:color w:val="auto"/>
        </w:rPr>
        <w:t>equipment expense (primarily depreciation, fuel, maintenance and repairs). All contract costs are recorded as incurred. Changes to estimated contract costs, either due to unexpected events or revisions to management’s initial estimates, for a given project are recognized in the period in which they are determined. Pre-contract costs are expensed as incurred unless they are expected to be recovered from the client, generate or enhance resources that will be used in satisfying performance obligations in the future and directly relate to an existing or anticipated contract. Costs to mobilize equipment and labor to a job site, prior to substantive work beginning (“mobilization costs”) are capitalized as incurred and amortized over the expected duration of the contract. Additionally, the Company may incur incremental costs to obtain certain contracts, such as selling and market costs, bid and proposal costs, sales commissions, and legal fees, certain of which can be capitalized if they are recoverable under the contract. Capitalized contract costs are included in other current assets on the consolidated balance sheets and were not material as of December 31, 2020 and December 31, 2019.</w:t>
      </w:r>
    </w:p>
    <w:p>
      <w:pPr>
        <w:spacing w:after="0" w:line="144" w:lineRule="exact"/>
        <w:rPr>
          <w:sz w:val="20"/>
          <w:szCs w:val="20"/>
          <w:color w:val="auto"/>
        </w:rPr>
      </w:pPr>
    </w:p>
    <w:p>
      <w:pPr>
        <w:ind w:right="40" w:firstLine="591"/>
        <w:spacing w:after="0" w:line="234" w:lineRule="auto"/>
        <w:rPr>
          <w:sz w:val="20"/>
          <w:szCs w:val="20"/>
          <w:color w:val="auto"/>
        </w:rPr>
      </w:pPr>
      <w:r>
        <w:rPr>
          <w:rFonts w:ascii="Arial" w:cs="Arial" w:eastAsia="Arial" w:hAnsi="Arial"/>
          <w:sz w:val="15"/>
          <w:szCs w:val="15"/>
          <w:i w:val="1"/>
          <w:iCs w:val="1"/>
          <w:color w:val="auto"/>
        </w:rPr>
        <w:t>Performance Obligations</w:t>
      </w:r>
      <w:r>
        <w:rPr>
          <w:rFonts w:ascii="Arial" w:cs="Arial" w:eastAsia="Arial" w:hAnsi="Arial"/>
          <w:sz w:val="15"/>
          <w:szCs w:val="15"/>
          <w:color w:val="auto"/>
        </w:rPr>
        <w:t>—A performance obligation is a promise in a contract to transfer a distinct good or service to the customer and is the unit of account in</w:t>
      </w:r>
      <w:r>
        <w:rPr>
          <w:rFonts w:ascii="Arial" w:cs="Arial" w:eastAsia="Arial" w:hAnsi="Arial"/>
          <w:sz w:val="15"/>
          <w:szCs w:val="15"/>
          <w:i w:val="1"/>
          <w:iCs w:val="1"/>
          <w:color w:val="auto"/>
        </w:rPr>
        <w:t xml:space="preserve"> </w:t>
      </w:r>
      <w:r>
        <w:rPr>
          <w:rFonts w:ascii="Arial" w:cs="Arial" w:eastAsia="Arial" w:hAnsi="Arial"/>
          <w:sz w:val="15"/>
          <w:szCs w:val="15"/>
          <w:color w:val="auto"/>
        </w:rPr>
        <w:t>ASC 606. The transaction price of a contract is allocated to each distinct performance obligation and recognized as revenue when, or as, the performance obligation is satisfied. To the extent a contract is deemed to have multiple performance obligations, the Company allocates the transaction price of the contract to each performance obligation using our best estimate of the standalone selling price of each distinct good or service in the contract. The Company determines the relative standalone selling price utilizing observable prices for the sale of the underlying goods or services. Contracts are considered to have a single performance obligation if the promise to transfer the individual goods or services is not separately identifiable from other promises in the contracts or is not distinct in the context of the contract, which is mainly because the Company provides a significant service of integrating a complex set of tasks and components into a single project or capability. Engineering and construction contracts are generally accounted for as a single performance obligation while our engineering and construction supervision contracts are accounted for as two separate performance obligations. When providing construction supervision services, the Company is not liable for the construction of the asset, but has an overall responsibility to oversee, coordinate, measure, and evaluate the quality of construction work and the performance of the construction contractor on behalf of the customer. Customers are generally billed as the Company satisfies its performance obligations and payment terms typically range from 30 to 120 days from the invoice date. Billings under certain fixed-price contracts may be based upon the achievement of specified milestones, while some arrangements may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require advance customer payment. The Company’s contracts generally do not include a significant financing component.</w:t>
      </w:r>
    </w:p>
    <w:p>
      <w:pPr>
        <w:spacing w:after="0" w:line="155" w:lineRule="exact"/>
        <w:rPr>
          <w:sz w:val="20"/>
          <w:szCs w:val="20"/>
          <w:color w:val="auto"/>
        </w:rPr>
      </w:pPr>
    </w:p>
    <w:p>
      <w:pPr>
        <w:ind w:right="60" w:firstLine="591"/>
        <w:spacing w:after="0" w:line="235" w:lineRule="auto"/>
        <w:rPr>
          <w:sz w:val="20"/>
          <w:szCs w:val="20"/>
          <w:color w:val="auto"/>
        </w:rPr>
      </w:pPr>
      <w:r>
        <w:rPr>
          <w:rFonts w:ascii="Arial" w:cs="Arial" w:eastAsia="Arial" w:hAnsi="Arial"/>
          <w:sz w:val="15"/>
          <w:szCs w:val="15"/>
          <w:i w:val="1"/>
          <w:iCs w:val="1"/>
          <w:color w:val="auto"/>
        </w:rPr>
        <w:t>Variable Consideration</w:t>
      </w:r>
      <w:r>
        <w:rPr>
          <w:rFonts w:ascii="Arial" w:cs="Arial" w:eastAsia="Arial" w:hAnsi="Arial"/>
          <w:sz w:val="15"/>
          <w:szCs w:val="15"/>
          <w:color w:val="auto"/>
        </w:rPr>
        <w:t>—The transaction price for the Company’s contracts may include variable consideration, which includes increases to transaction price for</w:t>
      </w:r>
      <w:r>
        <w:rPr>
          <w:rFonts w:ascii="Arial" w:cs="Arial" w:eastAsia="Arial" w:hAnsi="Arial"/>
          <w:sz w:val="15"/>
          <w:szCs w:val="15"/>
          <w:i w:val="1"/>
          <w:iCs w:val="1"/>
          <w:color w:val="auto"/>
        </w:rPr>
        <w:t xml:space="preserve"> </w:t>
      </w:r>
      <w:r>
        <w:rPr>
          <w:rFonts w:ascii="Arial" w:cs="Arial" w:eastAsia="Arial" w:hAnsi="Arial"/>
          <w:sz w:val="15"/>
          <w:szCs w:val="15"/>
          <w:color w:val="auto"/>
        </w:rPr>
        <w:t>approved and unpriced change orders, claims and incentives, and reductions to transaction price for liquidated damages. Change orders, claims and incentives are generally not distinct from the existing contract due to the significant integration service provided in the context of the contract and are accounted for as a modification of the existing contract and performance obligation. The Company estimates variable consideration for a performance obligation utilizing one of the two prescribed methods, depending on which method better predicts the amount of consideration to which the Company will be entitled (or the amount the Company expects to incur in the case of liquidated damages). Such methods are: (a) the expected value method, whereby the amount of variable consideration to be recognized represents the sum of probability weighted amounts in a range of possible consideration amounts, and (b) the most likely amount method, whereby the amount of variable consideration to be recognized represents the single most likely amount in a range of possible consideration amounts. When applying these methods, the Company considers all information that is reasonably available, including historical, current and estimates of future performance. The expected value method is utilized in situations where a contract contains a large number of possible outcomes, while the most likely amount method is utilized in situations where a contract has only two possible outcomes.</w:t>
      </w:r>
    </w:p>
    <w:p>
      <w:pPr>
        <w:spacing w:after="0" w:line="167"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Company includes variable consideration in the estimated transaction price to the extent it is probable that a significant reversal of cumulative revenue recognized will not occur or when the uncertainty associated with the variable consideration is resolved. The Company’s estimates of variable consideration and determination of whether to include estimated amounts in transaction price are based largely on an assessment of anticipated performance and all information (historical, current and forecasted) that is reasonably available. The effect of variable consideration on the transaction price of a performance obligation is recognized as an adjustment to revenue on a cumulative catch-up basis.</w:t>
      </w:r>
    </w:p>
    <w:p>
      <w:pPr>
        <w:spacing w:after="0" w:line="152" w:lineRule="exact"/>
        <w:rPr>
          <w:sz w:val="20"/>
          <w:szCs w:val="20"/>
          <w:color w:val="auto"/>
        </w:rPr>
      </w:pPr>
    </w:p>
    <w:p>
      <w:pPr>
        <w:ind w:right="160" w:firstLine="591"/>
        <w:spacing w:after="0" w:line="236" w:lineRule="auto"/>
        <w:rPr>
          <w:sz w:val="20"/>
          <w:szCs w:val="20"/>
          <w:color w:val="auto"/>
        </w:rPr>
      </w:pPr>
      <w:r>
        <w:rPr>
          <w:rFonts w:ascii="Arial" w:cs="Arial" w:eastAsia="Arial" w:hAnsi="Arial"/>
          <w:sz w:val="15"/>
          <w:szCs w:val="15"/>
          <w:i w:val="1"/>
          <w:iCs w:val="1"/>
          <w:color w:val="auto"/>
        </w:rPr>
        <w:t>Change Orders</w:t>
      </w:r>
      <w:r>
        <w:rPr>
          <w:rFonts w:ascii="Arial" w:cs="Arial" w:eastAsia="Arial" w:hAnsi="Arial"/>
          <w:sz w:val="15"/>
          <w:szCs w:val="15"/>
          <w:color w:val="auto"/>
        </w:rPr>
        <w:t>—Change orders, which are a normal and recurring part of business, may include changes in specifications or design, manner of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facilities, equipment, materials, sites and period of completion of the work. The Company or customer may initiate change orders. Most change orders are not distinct from the existing contract and are accounted for as part of that existing contract. The effect of a change order on the transaction price and measure of progress for the performance obligation to which it relates is recognized as an adjustment to revenues (either as an increase in or a reduction of revenues) on a cumulative catch-up basis. Revenues from unpriced change orders are recognized to the extent of the amounts the Company expects to recover, consistent with the variable consideration policy discussed above. If it is probable that a reversal of revenues will occur, the costs attributable to change orders are treated as contract costs without incremental revenues. To the extent change orders included in the price are not resolved in the Company’s favor, there could be reductions in, or reversals of previously reported amounts of, revenues and profits, and charges against current earnings, which could be material.</w:t>
      </w:r>
    </w:p>
    <w:p>
      <w:pPr>
        <w:spacing w:after="0" w:line="150" w:lineRule="exact"/>
        <w:rPr>
          <w:sz w:val="20"/>
          <w:szCs w:val="20"/>
          <w:color w:val="auto"/>
        </w:rPr>
      </w:pPr>
    </w:p>
    <w:p>
      <w:pPr>
        <w:ind w:firstLine="591"/>
        <w:spacing w:after="0" w:line="236" w:lineRule="auto"/>
        <w:rPr>
          <w:sz w:val="20"/>
          <w:szCs w:val="20"/>
          <w:color w:val="auto"/>
        </w:rPr>
      </w:pPr>
      <w:r>
        <w:rPr>
          <w:rFonts w:ascii="Arial" w:cs="Arial" w:eastAsia="Arial" w:hAnsi="Arial"/>
          <w:sz w:val="15"/>
          <w:szCs w:val="15"/>
          <w:i w:val="1"/>
          <w:iCs w:val="1"/>
          <w:color w:val="auto"/>
        </w:rPr>
        <w:t>Claims Revenue</w:t>
      </w:r>
      <w:r>
        <w:rPr>
          <w:rFonts w:ascii="Arial" w:cs="Arial" w:eastAsia="Arial" w:hAnsi="Arial"/>
          <w:sz w:val="15"/>
          <w:szCs w:val="15"/>
          <w:color w:val="auto"/>
        </w:rPr>
        <w:t>—Claims are amounts in excess of agreed contract prices that the Company seeks to collect from clients or others for customer-caused delays,</w:t>
      </w:r>
      <w:r>
        <w:rPr>
          <w:rFonts w:ascii="Arial" w:cs="Arial" w:eastAsia="Arial" w:hAnsi="Arial"/>
          <w:sz w:val="15"/>
          <w:szCs w:val="15"/>
          <w:i w:val="1"/>
          <w:iCs w:val="1"/>
          <w:color w:val="auto"/>
        </w:rPr>
        <w:t xml:space="preserve"> </w:t>
      </w:r>
      <w:r>
        <w:rPr>
          <w:rFonts w:ascii="Arial" w:cs="Arial" w:eastAsia="Arial" w:hAnsi="Arial"/>
          <w:sz w:val="15"/>
          <w:szCs w:val="15"/>
          <w:color w:val="auto"/>
        </w:rPr>
        <w:t>errors in specifications and designs, contract terminations, change orders that are in dispute, or other causes of unanticipated additional contract costs, including factors outside of our control, and therefore the Company believes it is entitled to additional compensation. Claims revenue, when recorded, is only recorded to the extent it is probable that a significant reversal of cumulative revenue recognized will not occur. The Company includes certain claims in the transaction price when the claims are legally enforceable, the Company considers collection to be probable and believes it can reliably estimate the ultimate value. The Company continues to engage in negotiations with its customers on outstanding claims. However, these claims may be resolved at amounts that differ from current estimates, which could result in increases or decreases in future estimated contract profits or losses.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6" w:lineRule="exact"/>
        <w:rPr>
          <w:sz w:val="20"/>
          <w:szCs w:val="20"/>
          <w:color w:val="auto"/>
        </w:rPr>
      </w:pPr>
    </w:p>
    <w:p>
      <w:pPr>
        <w:jc w:val="both"/>
        <w:ind w:right="440" w:firstLine="591"/>
        <w:spacing w:after="0" w:line="246" w:lineRule="auto"/>
        <w:rPr>
          <w:sz w:val="20"/>
          <w:szCs w:val="20"/>
          <w:color w:val="auto"/>
        </w:rPr>
      </w:pPr>
      <w:r>
        <w:rPr>
          <w:rFonts w:ascii="Arial" w:cs="Arial" w:eastAsia="Arial" w:hAnsi="Arial"/>
          <w:sz w:val="15"/>
          <w:szCs w:val="15"/>
          <w:i w:val="1"/>
          <w:iCs w:val="1"/>
          <w:color w:val="auto"/>
        </w:rPr>
        <w:t>Warranties</w:t>
      </w:r>
      <w:r>
        <w:rPr>
          <w:rFonts w:ascii="Arial" w:cs="Arial" w:eastAsia="Arial" w:hAnsi="Arial"/>
          <w:sz w:val="15"/>
          <w:szCs w:val="15"/>
          <w:color w:val="auto"/>
        </w:rPr>
        <w:t>—In most cases, contracts include assurance-type warranties that the Company’s performance is free from material defect and consistent with the</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specifications of the Company’s contracts, which do not give rise to a separate performance obligation. To the extent the warranty terms provide the customer with an additional service, such as extended maintenance services, such warranty is accounted for as a separate performance obligation.</w:t>
      </w:r>
    </w:p>
    <w:p>
      <w:pPr>
        <w:spacing w:after="0" w:line="146" w:lineRule="exact"/>
        <w:rPr>
          <w:sz w:val="20"/>
          <w:szCs w:val="20"/>
          <w:color w:val="auto"/>
        </w:rPr>
      </w:pPr>
    </w:p>
    <w:p>
      <w:pPr>
        <w:ind w:right="40" w:firstLine="591"/>
        <w:spacing w:after="0" w:line="235" w:lineRule="auto"/>
        <w:rPr>
          <w:sz w:val="20"/>
          <w:szCs w:val="20"/>
          <w:color w:val="auto"/>
        </w:rPr>
      </w:pPr>
      <w:r>
        <w:rPr>
          <w:rFonts w:ascii="Arial" w:cs="Arial" w:eastAsia="Arial" w:hAnsi="Arial"/>
          <w:sz w:val="15"/>
          <w:szCs w:val="15"/>
          <w:i w:val="1"/>
          <w:iCs w:val="1"/>
          <w:color w:val="auto"/>
        </w:rPr>
        <w:t>Revenue recognized over time</w:t>
      </w:r>
      <w:r>
        <w:rPr>
          <w:rFonts w:ascii="Arial" w:cs="Arial" w:eastAsia="Arial" w:hAnsi="Arial"/>
          <w:sz w:val="15"/>
          <w:szCs w:val="15"/>
          <w:color w:val="auto"/>
        </w:rPr>
        <w:t>—The Company’s performance obligations are generally satisfied over time as work progresses because of continuous transfer of</w:t>
      </w:r>
      <w:r>
        <w:rPr>
          <w:rFonts w:ascii="Arial" w:cs="Arial" w:eastAsia="Arial" w:hAnsi="Arial"/>
          <w:sz w:val="15"/>
          <w:szCs w:val="15"/>
          <w:i w:val="1"/>
          <w:iCs w:val="1"/>
          <w:color w:val="auto"/>
        </w:rPr>
        <w:t xml:space="preserve"> </w:t>
      </w:r>
      <w:r>
        <w:rPr>
          <w:rFonts w:ascii="Arial" w:cs="Arial" w:eastAsia="Arial" w:hAnsi="Arial"/>
          <w:sz w:val="15"/>
          <w:szCs w:val="15"/>
          <w:color w:val="auto"/>
        </w:rPr>
        <w:t>control to the customer and the Company has the right to bill the customer as costs are incurred. Typically, revenue is recognized over time using an input measure (i.e.’ costs incurred to date relative to total estimated costs at completion) to measure progress. The Company generally uses the cost-to-cost measure of progress method because it best depicts the transfer of control to the customer which occurs as the Company incurs costs on its contracts. Under the cost-to-cost measure of progress method, the extent of progress towards completion is measured based on the ratio of total costs incurred to-date to the total estimated costs at completion of the performance obligation. Revenues, including estimated fees or profits, are recorded proportionally as costs are incurred. Any expected losses on construction-type contracts in progress are charged to earnings, in total, in the period the losses are identified. The Company recognizes adjustments in estimated profit on contracts under the cumulative catch-up method. Under this method, the impact of the adjustment on profit recorded to date is recognized in the period the adjustment is identified. Revenue and profit in future periods of contract performance is recognized using the adjusted estimate. If at any time the estimate of contract profitability indicates an anticipated loss on the contract, the Company recognizes the total loss in the period it is identified.</w:t>
      </w:r>
    </w:p>
    <w:p>
      <w:pPr>
        <w:spacing w:after="0" w:line="151" w:lineRule="exact"/>
        <w:rPr>
          <w:sz w:val="20"/>
          <w:szCs w:val="20"/>
          <w:color w:val="auto"/>
        </w:rPr>
      </w:pPr>
    </w:p>
    <w:p>
      <w:pPr>
        <w:ind w:firstLine="591"/>
        <w:spacing w:after="0" w:line="241" w:lineRule="auto"/>
        <w:rPr>
          <w:sz w:val="20"/>
          <w:szCs w:val="20"/>
          <w:color w:val="auto"/>
        </w:rPr>
      </w:pPr>
      <w:r>
        <w:rPr>
          <w:rFonts w:ascii="Arial" w:cs="Arial" w:eastAsia="Arial" w:hAnsi="Arial"/>
          <w:sz w:val="15"/>
          <w:szCs w:val="15"/>
          <w:i w:val="1"/>
          <w:iCs w:val="1"/>
          <w:color w:val="auto"/>
        </w:rPr>
        <w:t>Right to invoice practical expedient</w:t>
      </w:r>
      <w:r>
        <w:rPr>
          <w:rFonts w:ascii="Arial" w:cs="Arial" w:eastAsia="Arial" w:hAnsi="Arial"/>
          <w:sz w:val="15"/>
          <w:szCs w:val="15"/>
          <w:color w:val="auto"/>
        </w:rPr>
        <w:t>—For performance obligations satisfied over time where the Company has a right to consideration from a customer in an</w:t>
      </w:r>
      <w:r>
        <w:rPr>
          <w:rFonts w:ascii="Arial" w:cs="Arial" w:eastAsia="Arial" w:hAnsi="Arial"/>
          <w:sz w:val="15"/>
          <w:szCs w:val="15"/>
          <w:i w:val="1"/>
          <w:iCs w:val="1"/>
          <w:color w:val="auto"/>
        </w:rPr>
        <w:t xml:space="preserve"> </w:t>
      </w:r>
      <w:r>
        <w:rPr>
          <w:rFonts w:ascii="Arial" w:cs="Arial" w:eastAsia="Arial" w:hAnsi="Arial"/>
          <w:sz w:val="15"/>
          <w:szCs w:val="15"/>
          <w:color w:val="auto"/>
        </w:rPr>
        <w:t>amount that corresponds directly with the value of the Company’s performance to-date, the Company recognizes revenue in the amount to which it has a right to invoice. For the Company’s reimbursable services contracts, revenue is recognized using the right to invoice practical expedient, or on a cost-to-cost measure of progress method. The Company will select the method that best represents progress on a project.</w:t>
      </w:r>
    </w:p>
    <w:p>
      <w:pPr>
        <w:spacing w:after="0" w:line="149" w:lineRule="exact"/>
        <w:rPr>
          <w:sz w:val="20"/>
          <w:szCs w:val="20"/>
          <w:color w:val="auto"/>
        </w:rPr>
      </w:pPr>
    </w:p>
    <w:p>
      <w:pPr>
        <w:ind w:right="120" w:firstLine="591"/>
        <w:spacing w:after="0" w:line="246" w:lineRule="auto"/>
        <w:rPr>
          <w:sz w:val="20"/>
          <w:szCs w:val="20"/>
          <w:color w:val="auto"/>
        </w:rPr>
      </w:pPr>
      <w:r>
        <w:rPr>
          <w:rFonts w:ascii="Arial" w:cs="Arial" w:eastAsia="Arial" w:hAnsi="Arial"/>
          <w:sz w:val="15"/>
          <w:szCs w:val="15"/>
          <w:i w:val="1"/>
          <w:iCs w:val="1"/>
          <w:color w:val="auto"/>
        </w:rPr>
        <w:t>Revenue recognized at a point in time</w:t>
      </w:r>
      <w:r>
        <w:rPr>
          <w:rFonts w:ascii="Arial" w:cs="Arial" w:eastAsia="Arial" w:hAnsi="Arial"/>
          <w:sz w:val="15"/>
          <w:szCs w:val="15"/>
          <w:color w:val="auto"/>
        </w:rPr>
        <w:t>—For performance obligations satisfied at a point in time, revenue is recognized when the services are performed, control is</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transferred, and the performance obligation is complete. The Company recognizes revenue at a point in time for vehicle inspection services. Revenue related to the inspection service is recognized for each vehicle inspection at the point the Company has completed the inspection.</w:t>
      </w:r>
    </w:p>
    <w:p>
      <w:pPr>
        <w:spacing w:after="0" w:line="162" w:lineRule="exact"/>
        <w:rPr>
          <w:sz w:val="20"/>
          <w:szCs w:val="20"/>
          <w:color w:val="auto"/>
        </w:rPr>
      </w:pPr>
    </w:p>
    <w:p>
      <w:pPr>
        <w:ind w:right="100" w:firstLine="591"/>
        <w:spacing w:after="0" w:line="235" w:lineRule="auto"/>
        <w:rPr>
          <w:sz w:val="20"/>
          <w:szCs w:val="20"/>
          <w:color w:val="auto"/>
        </w:rPr>
      </w:pPr>
      <w:r>
        <w:rPr>
          <w:rFonts w:ascii="Arial" w:cs="Arial" w:eastAsia="Arial" w:hAnsi="Arial"/>
          <w:sz w:val="15"/>
          <w:szCs w:val="15"/>
          <w:color w:val="auto"/>
        </w:rPr>
        <w:t>In the Company’s industry, recognition of profit on long-term contracts requires the use of assumptions and estimates related to total contract revenue and in particular estimated claims revenue, total estimated cost at completion, and the measurement of progress towards completion. Estimates are continually evaluated as work progresses and are revised when necessary. When a change in estimate is determined to have an impact on contract profit, the Company records a positive or negative adjustment to the consolidated statements of income.</w:t>
      </w:r>
    </w:p>
    <w:p>
      <w:pPr>
        <w:spacing w:after="0" w:line="167" w:lineRule="exact"/>
        <w:rPr>
          <w:sz w:val="20"/>
          <w:szCs w:val="20"/>
          <w:color w:val="auto"/>
        </w:rPr>
      </w:pPr>
    </w:p>
    <w:p>
      <w:pPr>
        <w:ind w:right="140" w:firstLine="591"/>
        <w:spacing w:after="0" w:line="239" w:lineRule="auto"/>
        <w:rPr>
          <w:sz w:val="20"/>
          <w:szCs w:val="20"/>
          <w:color w:val="auto"/>
        </w:rPr>
      </w:pPr>
      <w:r>
        <w:rPr>
          <w:rFonts w:ascii="Arial" w:cs="Arial" w:eastAsia="Arial" w:hAnsi="Arial"/>
          <w:sz w:val="15"/>
          <w:szCs w:val="15"/>
          <w:color w:val="auto"/>
        </w:rPr>
        <w:t xml:space="preserve">Refer to the Recently Adopted Accounting Pronouncements for discussion of the differences between the current revenue recognition criteria under ASC 606 and the Company’s previous recognition practices under ASC 605, </w:t>
      </w:r>
      <w:r>
        <w:rPr>
          <w:rFonts w:ascii="Arial" w:cs="Arial" w:eastAsia="Arial" w:hAnsi="Arial"/>
          <w:sz w:val="15"/>
          <w:szCs w:val="15"/>
          <w:i w:val="1"/>
          <w:iCs w:val="1"/>
          <w:color w:val="auto"/>
        </w:rPr>
        <w:t>Revenue Recognition</w:t>
      </w:r>
      <w:r>
        <w:rPr>
          <w:rFonts w:ascii="Arial" w:cs="Arial" w:eastAsia="Arial" w:hAnsi="Arial"/>
          <w:sz w:val="15"/>
          <w:szCs w:val="15"/>
          <w:color w:val="auto"/>
        </w:rPr>
        <w:t>.</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Cash Equivalents</w:t>
      </w:r>
    </w:p>
    <w:p>
      <w:pPr>
        <w:spacing w:after="0" w:line="100" w:lineRule="exact"/>
        <w:rPr>
          <w:sz w:val="20"/>
          <w:szCs w:val="20"/>
          <w:color w:val="auto"/>
        </w:rPr>
      </w:pPr>
    </w:p>
    <w:p>
      <w:pPr>
        <w:ind w:right="320" w:firstLine="591"/>
        <w:spacing w:after="0" w:line="272" w:lineRule="auto"/>
        <w:rPr>
          <w:sz w:val="20"/>
          <w:szCs w:val="20"/>
          <w:color w:val="auto"/>
        </w:rPr>
      </w:pPr>
      <w:r>
        <w:rPr>
          <w:rFonts w:ascii="Arial" w:cs="Arial" w:eastAsia="Arial" w:hAnsi="Arial"/>
          <w:sz w:val="14"/>
          <w:szCs w:val="14"/>
          <w:color w:val="auto"/>
        </w:rPr>
        <w:t>The Company considers all highly liquid investments with original maturities of less than three months to be cash equivalents. Cash equivalent investments are carried at cost, which approximates fair value, and consist primarily of United States Treasuries, time deposits, and other forms of short-term fixed income investments.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Restricted Cash and Investments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Restricted cash and investments held in trust accounts represent collateral for certain incentive programs.</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Accounts Receivable, Net</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Accounts receivable includes billed and unbilled amounts and are recognized in the period when the Company’s rights to receive consideration are unconditional.</w:t>
      </w:r>
    </w:p>
    <w:p>
      <w:pPr>
        <w:spacing w:after="0" w:line="183" w:lineRule="exact"/>
        <w:rPr>
          <w:sz w:val="20"/>
          <w:szCs w:val="20"/>
          <w:color w:val="auto"/>
        </w:rPr>
      </w:pPr>
    </w:p>
    <w:p>
      <w:pPr>
        <w:ind w:right="480" w:firstLine="591"/>
        <w:spacing w:after="0" w:line="235" w:lineRule="auto"/>
        <w:rPr>
          <w:sz w:val="20"/>
          <w:szCs w:val="20"/>
          <w:color w:val="auto"/>
        </w:rPr>
      </w:pPr>
      <w:r>
        <w:rPr>
          <w:rFonts w:ascii="Arial" w:cs="Arial" w:eastAsia="Arial" w:hAnsi="Arial"/>
          <w:sz w:val="15"/>
          <w:szCs w:val="15"/>
          <w:color w:val="auto"/>
        </w:rPr>
        <w:t>The Company establishes an allowance for doubtful accounts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Past due receivable balances are written off when internal collection efforts have been unsuccessful in collecting the amounts due.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Contract Assets and Contract Liabilities</w:t>
      </w:r>
    </w:p>
    <w:p>
      <w:pPr>
        <w:spacing w:after="0" w:line="189" w:lineRule="exact"/>
        <w:rPr>
          <w:sz w:val="20"/>
          <w:szCs w:val="20"/>
          <w:color w:val="auto"/>
        </w:rPr>
      </w:pPr>
    </w:p>
    <w:p>
      <w:pPr>
        <w:ind w:right="40" w:firstLine="591"/>
        <w:spacing w:after="0" w:line="234" w:lineRule="auto"/>
        <w:rPr>
          <w:sz w:val="20"/>
          <w:szCs w:val="20"/>
          <w:color w:val="auto"/>
        </w:rPr>
      </w:pPr>
      <w:r>
        <w:rPr>
          <w:rFonts w:ascii="Arial" w:cs="Arial" w:eastAsia="Arial" w:hAnsi="Arial"/>
          <w:sz w:val="15"/>
          <w:szCs w:val="15"/>
          <w:color w:val="auto"/>
        </w:rPr>
        <w:t>Projects with performance obligations recognized over time that have revenue recognized to-date in excess of cumulative billings and unbilled accounts receivable are reported on our consolidated balance sheets as “Contract assets”. Contract retentions, included in contract assets, represent amounts withheld by clients, in accordance with underlying contract terms, until certain conditions are met or the project is completed. The operating cycle for certain long-term contracts may extend beyond one year, and, accordingly, collection of retainage on those contracts may extend beyond one year. Contract assets are reclassified to accounts receivable when the right to consideration becomes unconditional.</w:t>
      </w:r>
    </w:p>
    <w:p>
      <w:pPr>
        <w:spacing w:after="0" w:line="168" w:lineRule="exact"/>
        <w:rPr>
          <w:sz w:val="20"/>
          <w:szCs w:val="20"/>
          <w:color w:val="auto"/>
        </w:rPr>
      </w:pPr>
    </w:p>
    <w:p>
      <w:pPr>
        <w:jc w:val="both"/>
        <w:ind w:right="160" w:firstLine="591"/>
        <w:spacing w:after="0" w:line="236" w:lineRule="auto"/>
        <w:rPr>
          <w:sz w:val="20"/>
          <w:szCs w:val="20"/>
          <w:color w:val="auto"/>
        </w:rPr>
      </w:pPr>
      <w:r>
        <w:rPr>
          <w:rFonts w:ascii="Arial" w:cs="Arial" w:eastAsia="Arial" w:hAnsi="Arial"/>
          <w:sz w:val="15"/>
          <w:szCs w:val="15"/>
          <w:color w:val="auto"/>
        </w:rPr>
        <w:t>Contract liabilities on uncompleted contracts represent the excess of cash collected from clients and billings to clients on contracts in advance of work performed over the amount of revenue recognized and provisions for losses. The majority of these amounts are expected to be earned within 12 months and are classified as current liabilities.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Concentration of Credit Risk</w:t>
      </w:r>
    </w:p>
    <w:p>
      <w:pPr>
        <w:spacing w:after="0" w:line="100"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Financial instruments which potentially subject the Company to concentrations of credit risk consist primarily of cash and cash equivalents and accounts receivables. The Company’s cash is primarily held with major banks and financial institutions throughout the world. At times, cash balances may be in excess of the amount insured.</w:t>
      </w:r>
    </w:p>
    <w:p>
      <w:pPr>
        <w:spacing w:after="0" w:line="167" w:lineRule="exact"/>
        <w:rPr>
          <w:sz w:val="20"/>
          <w:szCs w:val="20"/>
          <w:color w:val="auto"/>
        </w:rPr>
      </w:pPr>
    </w:p>
    <w:p>
      <w:pPr>
        <w:ind w:right="200" w:firstLine="591"/>
        <w:spacing w:after="0" w:line="235" w:lineRule="auto"/>
        <w:rPr>
          <w:sz w:val="20"/>
          <w:szCs w:val="20"/>
          <w:color w:val="auto"/>
        </w:rPr>
      </w:pPr>
      <w:r>
        <w:rPr>
          <w:rFonts w:ascii="Arial" w:cs="Arial" w:eastAsia="Arial" w:hAnsi="Arial"/>
          <w:sz w:val="15"/>
          <w:szCs w:val="15"/>
          <w:color w:val="auto"/>
        </w:rPr>
        <w:t>The Company is involved in a significant volume of contracts with the United States federal government and state and local governments. Approximately 49%, 48%, and 42% of consolidated revenues for the years ended December 31, 2020, December 31, 2019 and December 31, 2018, respectively, and approximately 19% and 18% of accounts receivable as of December 31, 2020 and December 31, 2019, respectively, were derived from contracts with the United States federal government. No other customers represented 10% or more of consolidated revenues or accounts receivable in any of the periods presented.</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order to mitigate the credit risk associated with customers, the Company performs periodic credit evaluations of its customers’ financial condition.</w:t>
      </w:r>
    </w:p>
    <w:p>
      <w:pPr>
        <w:spacing w:after="0" w:line="153"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Property and Equipment</w:t>
      </w:r>
    </w:p>
    <w:p>
      <w:pPr>
        <w:spacing w:after="0" w:line="100" w:lineRule="exact"/>
        <w:rPr>
          <w:sz w:val="20"/>
          <w:szCs w:val="20"/>
          <w:color w:val="auto"/>
        </w:rPr>
      </w:pPr>
    </w:p>
    <w:p>
      <w:pPr>
        <w:ind w:firstLine="591"/>
        <w:spacing w:after="0" w:line="236" w:lineRule="auto"/>
        <w:rPr>
          <w:sz w:val="20"/>
          <w:szCs w:val="20"/>
          <w:color w:val="auto"/>
        </w:rPr>
      </w:pPr>
      <w:r>
        <w:rPr>
          <w:rFonts w:ascii="Arial" w:cs="Arial" w:eastAsia="Arial" w:hAnsi="Arial"/>
          <w:sz w:val="15"/>
          <w:szCs w:val="15"/>
          <w:color w:val="auto"/>
        </w:rPr>
        <w:t>Property and equipment are stated at cost and are shown net of accumulated depreciation. Depreciation is computed using the straight-line method over the estimated useful lives of the assets. Depreciation of leasehold improvements is computed using the straight-line method over the shorter of their estimated useful lives or the remaining term of the lease.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40" w:firstLine="591"/>
        <w:spacing w:after="0" w:line="235" w:lineRule="auto"/>
        <w:rPr>
          <w:sz w:val="20"/>
          <w:szCs w:val="20"/>
          <w:color w:val="auto"/>
        </w:rPr>
      </w:pPr>
      <w:r>
        <w:rPr>
          <w:rFonts w:ascii="Arial" w:cs="Arial" w:eastAsia="Arial" w:hAnsi="Arial"/>
          <w:sz w:val="15"/>
          <w:szCs w:val="15"/>
          <w:color w:val="auto"/>
        </w:rPr>
        <w:t>The cost of assets retired or otherwise disposed of and the related accumulated depreciation are eliminated from the accounts, and any gain or loss thereon is included in net income. Expenditures for maintenance and repairs are expensed as incurred. Property and equipment are reviewed for impairment when events or circumstances change that indicate they may not be recoverable. Impairment losses are recognized when estimated future cash flows expected to result from the use of the assets and their eventual disposition are less than their carrying amount, in which case the asset is written down to its fair value.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Leases</w:t>
      </w:r>
    </w:p>
    <w:p>
      <w:pPr>
        <w:spacing w:after="0" w:line="211" w:lineRule="exact"/>
        <w:rPr>
          <w:sz w:val="20"/>
          <w:szCs w:val="20"/>
          <w:color w:val="auto"/>
        </w:rPr>
      </w:pPr>
    </w:p>
    <w:p>
      <w:pPr>
        <w:jc w:val="both"/>
        <w:ind w:right="340" w:firstLine="689"/>
        <w:spacing w:after="0" w:line="242" w:lineRule="auto"/>
        <w:rPr>
          <w:sz w:val="20"/>
          <w:szCs w:val="20"/>
          <w:color w:val="auto"/>
        </w:rPr>
      </w:pPr>
      <w:r>
        <w:rPr>
          <w:rFonts w:ascii="Arial" w:cs="Arial" w:eastAsia="Arial" w:hAnsi="Arial"/>
          <w:sz w:val="15"/>
          <w:szCs w:val="15"/>
          <w:color w:val="auto"/>
        </w:rPr>
        <w:t>The Company determines if an arrangement is a lease at inception. Operating leases are included in operating lease ROU assets and current and long-term operating lease liabilities in the consolidated balance sheets. Finance leases are included in other noncurrent assets, accrued expenses and other current liabilities and other long-term liabilities in the consolidated balance sheets.</w:t>
      </w:r>
    </w:p>
    <w:p>
      <w:pPr>
        <w:spacing w:after="0" w:line="165"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ROU assets represent the Company’s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the Company’s leases do not provide an implicit rate, incremental borrowing rates are used based on the information available at commencement date in determining the present value of lease payments. The operating lease ROU asset also includes any lease payments made and excludes lease incentives. Lease terms may include options to extend or terminate the lease when it is reasonably certain that we will exercise that option. Lease expense for operating lease payments is recognized on a straight-line basis over the lease term.</w:t>
      </w:r>
    </w:p>
    <w:p>
      <w:pPr>
        <w:spacing w:after="0" w:line="170" w:lineRule="exact"/>
        <w:rPr>
          <w:sz w:val="20"/>
          <w:szCs w:val="20"/>
          <w:color w:val="auto"/>
        </w:rPr>
      </w:pPr>
    </w:p>
    <w:p>
      <w:pPr>
        <w:ind w:right="340" w:firstLine="591"/>
        <w:spacing w:after="0" w:line="235" w:lineRule="auto"/>
        <w:rPr>
          <w:sz w:val="20"/>
          <w:szCs w:val="20"/>
          <w:color w:val="auto"/>
        </w:rPr>
      </w:pPr>
      <w:r>
        <w:rPr>
          <w:rFonts w:ascii="Arial" w:cs="Arial" w:eastAsia="Arial" w:hAnsi="Arial"/>
          <w:sz w:val="15"/>
          <w:szCs w:val="15"/>
          <w:color w:val="auto"/>
        </w:rPr>
        <w:t>We have lease agreements with lease and non-lease components where the lease consideration is allocated between the components based on relative standalone prices. For real property leases, allocations of lease consideration between lease and non-lease components are immaterial. For certain equipment leases, such as vehicles, we account for the lease and non-lease components as a single lease component. Additionally, for certain equipment leases, we apply a portfolio approach to effectively account for the operating lease ROU assets and liabilities.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Equity-Based Compensation</w:t>
      </w:r>
    </w:p>
    <w:p>
      <w:pPr>
        <w:spacing w:after="0" w:line="100" w:lineRule="exact"/>
        <w:rPr>
          <w:sz w:val="20"/>
          <w:szCs w:val="20"/>
          <w:color w:val="auto"/>
        </w:rPr>
      </w:pPr>
    </w:p>
    <w:p>
      <w:pPr>
        <w:ind w:right="20" w:firstLine="591"/>
        <w:spacing w:after="0" w:line="233" w:lineRule="auto"/>
        <w:rPr>
          <w:sz w:val="20"/>
          <w:szCs w:val="20"/>
          <w:color w:val="auto"/>
        </w:rPr>
      </w:pPr>
      <w:r>
        <w:rPr>
          <w:rFonts w:ascii="Arial" w:cs="Arial" w:eastAsia="Arial" w:hAnsi="Arial"/>
          <w:sz w:val="15"/>
          <w:szCs w:val="15"/>
          <w:color w:val="auto"/>
        </w:rPr>
        <w:t>The Company measures the value of services received from employees and directors in exchange for an equity-based award based on the grant date fair value. The Company issues equity-based awards that settle in shares of the Company’s common stock. Prior to the IPO, the Company issued equity-based awards that settled in cash. Cash settled awards are subsequently remeasured to an updated fair value at each reporting period until the award is settled. Awards containing performance measures are adjusted at each reporting period for the number of shares expected to be earned. Compensation cost for cash settled and performance awards are trued-up at each reporting period for changes in fair value and expected shares pro-rated for the portion of the requisite service period rendered. The Company recognizes compensation costs for these awards on either a straight-line or accelerated basis over the vesting period of the award in indirect, general and administrative expense in the consolidated statements of income.</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Business Combinations</w:t>
      </w:r>
    </w:p>
    <w:p>
      <w:pPr>
        <w:spacing w:after="0" w:line="100" w:lineRule="exact"/>
        <w:rPr>
          <w:sz w:val="20"/>
          <w:szCs w:val="20"/>
          <w:color w:val="auto"/>
        </w:rPr>
      </w:pPr>
    </w:p>
    <w:p>
      <w:pPr>
        <w:ind w:firstLine="591"/>
        <w:spacing w:after="0" w:line="235" w:lineRule="auto"/>
        <w:rPr>
          <w:sz w:val="20"/>
          <w:szCs w:val="20"/>
          <w:color w:val="auto"/>
        </w:rPr>
      </w:pPr>
      <w:r>
        <w:rPr>
          <w:rFonts w:ascii="Arial" w:cs="Arial" w:eastAsia="Arial" w:hAnsi="Arial"/>
          <w:sz w:val="15"/>
          <w:szCs w:val="15"/>
          <w:color w:val="auto"/>
        </w:rPr>
        <w:t>The Company accounts for business combinations using the acquisition method, under which the purchase price of an acquired company is allocated to the tangible and intangible assets acquired and the liabilities assumed on the basis of their fair values at the date of acquisition. Any excess of purchase price over the fair value of tangible and intangible assets acquired and liabilities assumed is allocated to goodwill. The determination of fair values of assets acquired and liabilities assumed requires the Company to make estimates and use valuation techniques when a market value is not readily available.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The Company’s determination of the fair value of the intangible assets acquired involves the use of significant estimates and assumptions related to discount rates, revenue growth rates, projected margins, and customer revenue attrition rates.</w:t>
      </w:r>
    </w:p>
    <w:p>
      <w:pPr>
        <w:spacing w:after="0" w:line="78" w:lineRule="exact"/>
        <w:rPr>
          <w:sz w:val="20"/>
          <w:szCs w:val="20"/>
          <w:color w:val="auto"/>
        </w:rPr>
      </w:pPr>
    </w:p>
    <w:p>
      <w:pPr>
        <w:ind w:right="160" w:firstLine="591"/>
        <w:spacing w:after="0" w:line="236" w:lineRule="auto"/>
        <w:rPr>
          <w:sz w:val="20"/>
          <w:szCs w:val="20"/>
          <w:color w:val="auto"/>
        </w:rPr>
      </w:pPr>
      <w:r>
        <w:rPr>
          <w:rFonts w:ascii="Arial" w:cs="Arial" w:eastAsia="Arial" w:hAnsi="Arial"/>
          <w:sz w:val="15"/>
          <w:szCs w:val="15"/>
          <w:color w:val="auto"/>
        </w:rPr>
        <w:t>The Company adjusts the preliminary purchase price allocation, as necessary, during the measurement period of up to one year after the acquisition closing date as the Company obtains more information as to facts and circumstances existing at the acquisition date. Acquisition-related costs are recognized separate from the acquisition and are expensed as incurred.</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Consolidation of Joint Ventures and Variable Interest Entities</w:t>
      </w:r>
    </w:p>
    <w:p>
      <w:pPr>
        <w:spacing w:after="0" w:line="100" w:lineRule="exact"/>
        <w:rPr>
          <w:sz w:val="20"/>
          <w:szCs w:val="20"/>
          <w:color w:val="auto"/>
        </w:rPr>
      </w:pPr>
    </w:p>
    <w:p>
      <w:pPr>
        <w:ind w:right="60" w:firstLine="591"/>
        <w:spacing w:after="0" w:line="236" w:lineRule="auto"/>
        <w:rPr>
          <w:sz w:val="20"/>
          <w:szCs w:val="20"/>
          <w:color w:val="auto"/>
        </w:rPr>
      </w:pPr>
      <w:r>
        <w:rPr>
          <w:rFonts w:ascii="Arial" w:cs="Arial" w:eastAsia="Arial" w:hAnsi="Arial"/>
          <w:sz w:val="15"/>
          <w:szCs w:val="15"/>
          <w:color w:val="auto"/>
        </w:rPr>
        <w:t>The Company participates in joint ventures, which include partnerships and partially owned limited liability corporations, to bid, negotiate and complete specific projects. The Company is required to consolidate these joint ventures if it holds the majority voting interest or if the joint venture is determined to be a variable interest entity (“VIE”) for which the Company is the primary beneficiary, as described below.</w:t>
      </w:r>
    </w:p>
    <w:p>
      <w:pPr>
        <w:spacing w:after="0" w:line="167"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with disproportionately low voting rights. The Company’s VIEs may be funded through contributions, loans and/or advances from the joint venture partners or by advances and/or letters of credit provided by clients. Certain VIEs are directly governed, managed, operated and administered by the joint venture partners. Others have no employees and, although these entities own and hold the contracts with the clients, the services required by the contracts are typically performed by the joint venture partners or by other subcontractors.</w:t>
      </w:r>
    </w:p>
    <w:p>
      <w:pPr>
        <w:spacing w:after="0" w:line="169" w:lineRule="exact"/>
        <w:rPr>
          <w:sz w:val="20"/>
          <w:szCs w:val="20"/>
          <w:color w:val="auto"/>
        </w:rPr>
      </w:pPr>
    </w:p>
    <w:p>
      <w:pPr>
        <w:ind w:right="20" w:firstLine="591"/>
        <w:spacing w:after="0" w:line="232" w:lineRule="auto"/>
        <w:rPr>
          <w:sz w:val="20"/>
          <w:szCs w:val="20"/>
          <w:color w:val="auto"/>
        </w:rPr>
      </w:pPr>
      <w:r>
        <w:rPr>
          <w:rFonts w:ascii="Arial" w:cs="Arial" w:eastAsia="Arial" w:hAnsi="Arial"/>
          <w:sz w:val="15"/>
          <w:szCs w:val="15"/>
          <w:color w:val="auto"/>
        </w:rPr>
        <w:t>The Company is considered the primary beneficiary and required to consolidate a VIE if it has the power to direct the activities that most significantly impact that VIE’s economic performance, and the obligation to absorb losses or the right to receive benefits of that VIE that could potentially be significant to the VIE. In determining whether the Company is the primary beneficiary, significant assumptions and judgments include the following: (1) identifying the significant activities and the parties that have the power to direct them; (2) reviewing the governing board composition and participation ratio; (3) determining the equity, profit and loss ratio; (4) determining the management-sharing ratio; (5) reviewing employment terms, including which joint venture partner provides the project manager; and (6) reviewing the funding and operating agreements. Examples of significant activities currently being performed by the Company’s significant consolidated and unconsolidated joint ventures include engineering and design services; management consulting services; procurement and construction services; program management; construction management; and operations and maintenance services. If the Company determines that the power to direct the significant activities is shared by two or more joint venture parties, then there is no primary beneficiary and no party consolidates the VIE. In making the shared-power determination, the Company analyzes the key contractual terms, governance, related party and de facto agency as they are defined in the accounting standard, and other arrangements.</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Goodwill</w:t>
      </w:r>
    </w:p>
    <w:p>
      <w:pPr>
        <w:spacing w:after="0" w:line="100" w:lineRule="exact"/>
        <w:rPr>
          <w:sz w:val="20"/>
          <w:szCs w:val="20"/>
          <w:color w:val="auto"/>
        </w:rPr>
      </w:pPr>
    </w:p>
    <w:p>
      <w:pPr>
        <w:ind w:right="220" w:firstLine="591"/>
        <w:spacing w:after="0" w:line="236" w:lineRule="auto"/>
        <w:rPr>
          <w:sz w:val="20"/>
          <w:szCs w:val="20"/>
          <w:color w:val="auto"/>
        </w:rPr>
      </w:pPr>
      <w:r>
        <w:rPr>
          <w:rFonts w:ascii="Arial" w:cs="Arial" w:eastAsia="Arial" w:hAnsi="Arial"/>
          <w:sz w:val="15"/>
          <w:szCs w:val="15"/>
          <w:color w:val="auto"/>
        </w:rPr>
        <w:t>In 2019, the Company changed the date of its annual goodwill impairment testing from November 30 to October 1. This change results in better alignment of the Company's annual impairment test with the Company’s annual budgeting cycle and provides a more reliable measurement using the Company’s interim closing processes. The change had no effect on the Company’s financial statements for the current or historical periods.</w:t>
      </w:r>
    </w:p>
    <w:p>
      <w:pPr>
        <w:spacing w:after="0" w:line="79" w:lineRule="exact"/>
        <w:rPr>
          <w:sz w:val="20"/>
          <w:szCs w:val="20"/>
          <w:color w:val="auto"/>
        </w:rPr>
      </w:pPr>
    </w:p>
    <w:p>
      <w:pPr>
        <w:ind w:right="260" w:firstLine="591"/>
        <w:spacing w:after="0" w:line="239" w:lineRule="auto"/>
        <w:rPr>
          <w:sz w:val="20"/>
          <w:szCs w:val="20"/>
          <w:color w:val="auto"/>
        </w:rPr>
      </w:pPr>
      <w:r>
        <w:rPr>
          <w:rFonts w:ascii="Arial" w:cs="Arial" w:eastAsia="Arial" w:hAnsi="Arial"/>
          <w:sz w:val="15"/>
          <w:szCs w:val="15"/>
          <w:color w:val="auto"/>
        </w:rPr>
        <w:t>The Company performs an additional review at year end to address whether a triggering event has occurred that would require an interim impairment test in the interim period.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10" w:name="page111"/>
    <w:bookmarkEnd w:id="110"/>
    <w:p>
      <w:pPr>
        <w:jc w:val="center"/>
        <w:ind w:right="-5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5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For purposes of impairment testing, goodwill is allocated to the applicable reporting units based on the current reporting structure. The Company’s reporting units are operating segments or components of operating segments where discrete financial information is available and segment management regularly reviews the operating results. When evaluating goodwill for impairment, the Company may decide to first perform a qualitative assessment, or “step zero” impairment test, to determine whether it is more likely than not that impairment has occurred. If the Company does not perform a qualitative assessment, or if the Company determines that it is not more likely than not that the fair value of its reporting units exceeds their carrying amounts, the Company performs a quantitative assessment and calculates the estimated fair value of the respective reporting unit. If the carrying amount of a reporting unit exceeds its fair value, an impairment loss is recognized in the amount the carrying value exceeds its fair value, not to exceed the carrying amount of goodwill.</w:t>
      </w:r>
    </w:p>
    <w:p>
      <w:pPr>
        <w:spacing w:after="0" w:line="169" w:lineRule="exact"/>
        <w:rPr>
          <w:sz w:val="20"/>
          <w:szCs w:val="20"/>
          <w:color w:val="auto"/>
        </w:rPr>
      </w:pPr>
    </w:p>
    <w:p>
      <w:pPr>
        <w:ind w:right="380" w:firstLine="591"/>
        <w:spacing w:after="0" w:line="236" w:lineRule="auto"/>
        <w:rPr>
          <w:sz w:val="20"/>
          <w:szCs w:val="20"/>
          <w:color w:val="auto"/>
        </w:rPr>
      </w:pPr>
      <w:r>
        <w:rPr>
          <w:rFonts w:ascii="Arial" w:cs="Arial" w:eastAsia="Arial" w:hAnsi="Arial"/>
          <w:sz w:val="15"/>
          <w:szCs w:val="15"/>
          <w:color w:val="auto"/>
        </w:rPr>
        <w:t>The Company’s decision to perform a qualitative impairment assessment in a given year is influenced by a number of factors, including the significance of the excess of the Company’s estimated fair value over carrying value at the last quantitative assessment date, the amount of time in between quantitative fair value assessments, and the date of its acquisitions, if any.</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Intangible Assets</w:t>
      </w:r>
    </w:p>
    <w:p>
      <w:pPr>
        <w:spacing w:after="0" w:line="100" w:lineRule="exact"/>
        <w:rPr>
          <w:sz w:val="20"/>
          <w:szCs w:val="20"/>
          <w:color w:val="auto"/>
        </w:rPr>
      </w:pPr>
    </w:p>
    <w:p>
      <w:pPr>
        <w:ind w:firstLine="591"/>
        <w:spacing w:after="0" w:line="233" w:lineRule="auto"/>
        <w:rPr>
          <w:sz w:val="20"/>
          <w:szCs w:val="20"/>
          <w:color w:val="auto"/>
        </w:rPr>
      </w:pPr>
      <w:r>
        <w:rPr>
          <w:rFonts w:ascii="Arial" w:cs="Arial" w:eastAsia="Arial" w:hAnsi="Arial"/>
          <w:sz w:val="15"/>
          <w:szCs w:val="15"/>
          <w:color w:val="auto"/>
        </w:rPr>
        <w:t>Intangible assets with finite lives arise from business acquisitions and are amortized based on the period over which the contractual or economic benefit of the intangible assets are expected to be realized or on a straight-line basis over the useful lives of the underlying assets, ranging from one to ten years. These primarily consist of customer relationships, developed technology, backlog, and covenants not to compete. When indicators of a potential impairment exist, the Company assesses the recoverability of the unamortized balance of its intangible assets by first comparing undiscounted expected cash flows associated with the asset, or the asset group they are part of, to its carrying value. Should the review indicate that the carrying value is not fully recoverable, the excess of the carrying value over the fair value of the intangible assets would be recognized as an impairment loss.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Income Taxes</w:t>
      </w:r>
    </w:p>
    <w:p>
      <w:pPr>
        <w:spacing w:after="0" w:line="100" w:lineRule="exact"/>
        <w:rPr>
          <w:sz w:val="20"/>
          <w:szCs w:val="20"/>
          <w:color w:val="auto"/>
        </w:rPr>
      </w:pPr>
    </w:p>
    <w:p>
      <w:pPr>
        <w:ind w:right="100" w:firstLine="591"/>
        <w:spacing w:after="0" w:line="234" w:lineRule="auto"/>
        <w:rPr>
          <w:sz w:val="20"/>
          <w:szCs w:val="20"/>
          <w:color w:val="auto"/>
        </w:rPr>
      </w:pPr>
      <w:r>
        <w:rPr>
          <w:rFonts w:ascii="Arial" w:cs="Arial" w:eastAsia="Arial" w:hAnsi="Arial"/>
          <w:sz w:val="15"/>
          <w:szCs w:val="15"/>
          <w:color w:val="auto"/>
        </w:rPr>
        <w:t>Income taxes are accounted for under the asset and liability method. This approach requires the recognition of deferred tax liabilities and assets to reflect the tax effects of temporary differences between the financial statement carrying amounts and tax bases of the Company’s assets and liabilities. Deferred tax assets and liabilities are measured using enacted tax rates expected to be recovered or settled. The effect of a change in tax rates on deferred tax assets and liabilities is recognized in income in the period that includes the enactment date. Deferred tax assets are evaluated for future realization and valuation allowances are established when, in our opinion, it is more likely than not that all or some portion of the asset will not be realized.</w:t>
      </w:r>
    </w:p>
    <w:p>
      <w:pPr>
        <w:spacing w:after="0" w:line="278" w:lineRule="exact"/>
        <w:rPr>
          <w:sz w:val="20"/>
          <w:szCs w:val="20"/>
          <w:color w:val="auto"/>
        </w:rPr>
      </w:pPr>
    </w:p>
    <w:p>
      <w:pPr>
        <w:ind w:right="160" w:firstLine="591"/>
        <w:spacing w:after="0" w:line="254" w:lineRule="auto"/>
        <w:rPr>
          <w:sz w:val="20"/>
          <w:szCs w:val="20"/>
          <w:color w:val="auto"/>
        </w:rPr>
      </w:pPr>
      <w:r>
        <w:rPr>
          <w:rFonts w:ascii="Arial" w:cs="Arial" w:eastAsia="Arial" w:hAnsi="Arial"/>
          <w:sz w:val="14"/>
          <w:szCs w:val="14"/>
          <w:color w:val="auto"/>
        </w:rPr>
        <w:t>The Company recognizes the effect of income tax positions only if those positions are more likely than not of being sustained on examination by the taxing authorities based on the technical merits of the position. The tax benefits recognized in the financial statements on a particular tax position are measured based on the largest benefit that is greater than 50 percent likely of being realized. The amount of unrecognized tax benefits (“UTB”) is adjusted as appropriate for changes in facts and circumstances, such as significant amendments to existing tax law, new regulations or interpretations by the taxing authorities, new information obtained during a tax examination, or resolution of an examination. The Company recognizes both accrued interest and penalties, where appropriate, related to UTBs in income tax expense.</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Foreign Currency Translation</w:t>
      </w:r>
    </w:p>
    <w:p>
      <w:pPr>
        <w:spacing w:after="0" w:line="100" w:lineRule="exact"/>
        <w:rPr>
          <w:sz w:val="20"/>
          <w:szCs w:val="20"/>
          <w:color w:val="auto"/>
        </w:rPr>
      </w:pPr>
    </w:p>
    <w:p>
      <w:pPr>
        <w:ind w:right="60" w:firstLine="591"/>
        <w:spacing w:after="0" w:line="239" w:lineRule="auto"/>
        <w:rPr>
          <w:sz w:val="20"/>
          <w:szCs w:val="20"/>
          <w:color w:val="auto"/>
        </w:rPr>
      </w:pPr>
      <w:r>
        <w:rPr>
          <w:rFonts w:ascii="Arial" w:cs="Arial" w:eastAsia="Arial" w:hAnsi="Arial"/>
          <w:sz w:val="15"/>
          <w:szCs w:val="15"/>
          <w:color w:val="auto"/>
        </w:rPr>
        <w:t>The Company’s reporting currency is the U.S. Dollar. The functional currency of the Company’s foreign entities is typically the currency of the primary environment in which they operate. For foreign entities whose functional currency is not the U.S. dollar, the assets and liabilities are translated based on</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jc w:val="both"/>
        <w:ind w:right="60"/>
        <w:spacing w:after="0" w:line="235" w:lineRule="auto"/>
        <w:rPr>
          <w:sz w:val="20"/>
          <w:szCs w:val="20"/>
          <w:color w:val="auto"/>
        </w:rPr>
      </w:pPr>
      <w:r>
        <w:rPr>
          <w:rFonts w:ascii="Arial" w:cs="Arial" w:eastAsia="Arial" w:hAnsi="Arial"/>
          <w:sz w:val="15"/>
          <w:szCs w:val="15"/>
          <w:color w:val="auto"/>
        </w:rPr>
        <w:t>exchange rates in effect at the balance sheet date, while the income and expense accounts are translated using the average exchange rates during the period. Translation gains or losses, net of income tax effects, are reflected in accumulated other comprehensive income on the consolidated balance sheets. Transaction gains and losses due to movements in exchange rates between the functional currency and the currency in which a foreign currency transaction is denominated are recognized as “Other income (expense), net” in the Company’s consolidated statements of income.</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Self-Insurance</w:t>
      </w:r>
    </w:p>
    <w:p>
      <w:pPr>
        <w:spacing w:after="0" w:line="100" w:lineRule="exact"/>
        <w:rPr>
          <w:sz w:val="20"/>
          <w:szCs w:val="20"/>
          <w:color w:val="auto"/>
        </w:rPr>
      </w:pPr>
    </w:p>
    <w:p>
      <w:pPr>
        <w:ind w:right="40" w:firstLine="591"/>
        <w:spacing w:after="0" w:line="234" w:lineRule="auto"/>
        <w:rPr>
          <w:sz w:val="20"/>
          <w:szCs w:val="20"/>
          <w:color w:val="auto"/>
        </w:rPr>
      </w:pPr>
      <w:r>
        <w:rPr>
          <w:rFonts w:ascii="Arial" w:cs="Arial" w:eastAsia="Arial" w:hAnsi="Arial"/>
          <w:sz w:val="15"/>
          <w:szCs w:val="15"/>
          <w:color w:val="auto"/>
        </w:rPr>
        <w:t>The Company typically utilizes third-party insurance subject to varying retention levels or self-insurance. The Company is self-insured for a portion of the losses and liabilities primarily associated with workers’ compensation, general, professional, automobile, employee matters, certain medical plans, and project-specific liability claims. Losses are accrued based upon the Company’s estimates of the aggregate liability for claims incurred using historical experience and certain actuarial assumptions, as provided by an independent actuary. The estimate of self-insurance liability includes an estimate of incurred but not reported claims, based on data compiled from historical experience.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Recently Adopted Accounting Pronouncements</w:t>
      </w:r>
    </w:p>
    <w:p>
      <w:pPr>
        <w:spacing w:after="0" w:line="173" w:lineRule="exact"/>
        <w:rPr>
          <w:sz w:val="20"/>
          <w:szCs w:val="20"/>
          <w:color w:val="auto"/>
        </w:rPr>
      </w:pPr>
    </w:p>
    <w:p>
      <w:pPr>
        <w:ind w:right="140" w:firstLine="632"/>
        <w:spacing w:after="0" w:line="238" w:lineRule="auto"/>
        <w:rPr>
          <w:sz w:val="20"/>
          <w:szCs w:val="20"/>
          <w:color w:val="auto"/>
        </w:rPr>
      </w:pPr>
      <w:r>
        <w:rPr>
          <w:rFonts w:ascii="Arial" w:cs="Arial" w:eastAsia="Arial" w:hAnsi="Arial"/>
          <w:sz w:val="15"/>
          <w:szCs w:val="15"/>
          <w:color w:val="auto"/>
        </w:rPr>
        <w:t>In February 2016, the Financial Accounting Standards Board (“FASB”) issued Accounting Standards Update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which is a new standard related to leases intended to increase transparency and comparability among organizations by requiring the recognition of right-of-use (“ROU”) assets obtained in exchange for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w:t>
      </w:r>
    </w:p>
    <w:p>
      <w:pPr>
        <w:spacing w:after="0" w:line="169" w:lineRule="exact"/>
        <w:rPr>
          <w:sz w:val="20"/>
          <w:szCs w:val="20"/>
          <w:color w:val="auto"/>
        </w:rPr>
      </w:pPr>
    </w:p>
    <w:p>
      <w:pPr>
        <w:jc w:val="both"/>
        <w:ind w:right="240" w:firstLine="591"/>
        <w:spacing w:after="0" w:line="231" w:lineRule="auto"/>
        <w:rPr>
          <w:sz w:val="20"/>
          <w:szCs w:val="20"/>
          <w:color w:val="auto"/>
        </w:rPr>
      </w:pPr>
      <w:r>
        <w:rPr>
          <w:rFonts w:ascii="Arial" w:cs="Arial" w:eastAsia="Arial" w:hAnsi="Arial"/>
          <w:sz w:val="15"/>
          <w:szCs w:val="15"/>
          <w:color w:val="auto"/>
        </w:rPr>
        <w:t>The Company elected to adopt the standard, and available practical expedients, effective January 1, 2019. These practical expedients allowed the Company to keep the lease classification assessed under the previous lease accounting standard (ASC 840) without reassessment under the new standard, and allowed all separate lease components, including non-lease components, to be accounted for as a single lease component for all existing leases prior to adoption of the new</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5"/>
          <w:szCs w:val="15"/>
          <w:color w:val="auto"/>
        </w:rPr>
        <w:t>standard. Furthermore, the Company made an accounting policy election to not recognize a lease liability and ROU asset for leases with lease terms of twelve months or less.</w:t>
      </w:r>
    </w:p>
    <w:p>
      <w:pPr>
        <w:spacing w:after="0" w:line="166" w:lineRule="exact"/>
        <w:rPr>
          <w:sz w:val="20"/>
          <w:szCs w:val="20"/>
          <w:color w:val="auto"/>
        </w:rPr>
      </w:pPr>
    </w:p>
    <w:p>
      <w:pPr>
        <w:ind w:right="20" w:firstLine="591"/>
        <w:spacing w:after="0" w:line="239" w:lineRule="auto"/>
        <w:rPr>
          <w:sz w:val="20"/>
          <w:szCs w:val="20"/>
          <w:color w:val="auto"/>
        </w:rPr>
      </w:pPr>
      <w:r>
        <w:rPr>
          <w:rFonts w:ascii="Arial" w:cs="Arial" w:eastAsia="Arial" w:hAnsi="Arial"/>
          <w:sz w:val="15"/>
          <w:szCs w:val="15"/>
          <w:color w:val="auto"/>
        </w:rPr>
        <w:t>The Company adopted this new standard under the modified retrospective transition approach without adjusting comparative periods in the financial statements, as allowed under Topic 842, and implemented internal controls and key system functionality to enable the preparation of financial information on adoption.</w:t>
      </w:r>
    </w:p>
    <w:p>
      <w:pPr>
        <w:spacing w:after="0" w:line="166"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The standard had a material impact on the Company’s consolidated balance sheets but did not have an impact on the consolidated statements of income and cash flows. The most significant impact was the recognition of ROU assets and lease liabilities for operating leases, while accounting for finance leases remained substantially unchanged.</w:t>
      </w:r>
    </w:p>
    <w:p>
      <w:pPr>
        <w:spacing w:after="0" w:line="167" w:lineRule="exact"/>
        <w:rPr>
          <w:sz w:val="20"/>
          <w:szCs w:val="20"/>
          <w:color w:val="auto"/>
        </w:rPr>
      </w:pPr>
    </w:p>
    <w:p>
      <w:pPr>
        <w:ind w:firstLine="591"/>
        <w:spacing w:after="0" w:line="235" w:lineRule="auto"/>
        <w:rPr>
          <w:sz w:val="20"/>
          <w:szCs w:val="20"/>
          <w:color w:val="auto"/>
        </w:rPr>
      </w:pPr>
      <w:r>
        <w:rPr>
          <w:rFonts w:ascii="Arial" w:cs="Arial" w:eastAsia="Arial" w:hAnsi="Arial"/>
          <w:sz w:val="15"/>
          <w:szCs w:val="15"/>
          <w:color w:val="auto"/>
        </w:rPr>
        <w:t>As a result of the adoption, the Company recorded a cumulative-effect adjustment to retained earnings of $ 52.6 million, net of deferred tax asset adjustment of $0.7 million, representing the unamortized portion of a deferred gain previously recorded as a sale-leaseback transaction associated with the sale of an office building in 2011. The Company concluded the transaction resulted in the transfer of control of the office building to the buyer-lessor at market terms and would have qualified as a sale under Topic 842 with gain recognition in the period the sale was recognized.</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July 2018, the FASB issued ASU No. 2018-09, “</w:t>
      </w:r>
      <w:r>
        <w:rPr>
          <w:rFonts w:ascii="Arial" w:cs="Arial" w:eastAsia="Arial" w:hAnsi="Arial"/>
          <w:sz w:val="15"/>
          <w:szCs w:val="15"/>
          <w:i w:val="1"/>
          <w:iCs w:val="1"/>
          <w:color w:val="auto"/>
        </w:rPr>
        <w:t>Codification Improvements”</w:t>
      </w:r>
      <w:r>
        <w:rPr>
          <w:rFonts w:ascii="Arial" w:cs="Arial" w:eastAsia="Arial" w:hAnsi="Arial"/>
          <w:sz w:val="15"/>
          <w:szCs w:val="15"/>
          <w:color w:val="auto"/>
        </w:rPr>
        <w:t>. The amendments in this ASU clarify certain aspects of the guidance related to:</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reporting comprehensive income, debt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420"/>
        <w:spacing w:after="0" w:line="235" w:lineRule="auto"/>
        <w:rPr>
          <w:sz w:val="20"/>
          <w:szCs w:val="20"/>
          <w:color w:val="auto"/>
        </w:rPr>
      </w:pPr>
      <w:r>
        <w:rPr>
          <w:rFonts w:ascii="Arial" w:cs="Arial" w:eastAsia="Arial" w:hAnsi="Arial"/>
          <w:sz w:val="15"/>
          <w:szCs w:val="15"/>
          <w:color w:val="auto"/>
        </w:rPr>
        <w:t>modification and extinguishment, income taxes related to stock compensation, income taxes related to business combinations, derivatives and hedging, fair value measurements, brokers and dealers liabilities, and plan accounting. This ASU is effective for fiscal years, and interim periods within those fiscal years, beginning after December 15, 2018. The Company has adopted this ASU on a prospective basis in the first quarter of 2019 and has determined there to be no impact on its financial statements and related disclosures.</w:t>
      </w:r>
    </w:p>
    <w:p>
      <w:pPr>
        <w:spacing w:after="0" w:line="62" w:lineRule="exact"/>
        <w:rPr>
          <w:sz w:val="20"/>
          <w:szCs w:val="20"/>
          <w:color w:val="auto"/>
        </w:rPr>
      </w:pPr>
    </w:p>
    <w:p>
      <w:pPr>
        <w:ind w:firstLine="737"/>
        <w:spacing w:after="0" w:line="241" w:lineRule="auto"/>
        <w:rPr>
          <w:sz w:val="20"/>
          <w:szCs w:val="20"/>
          <w:color w:val="auto"/>
        </w:rPr>
      </w:pPr>
      <w:r>
        <w:rPr>
          <w:rFonts w:ascii="Arial" w:cs="Arial" w:eastAsia="Arial" w:hAnsi="Arial"/>
          <w:sz w:val="15"/>
          <w:szCs w:val="15"/>
          <w:color w:val="auto"/>
        </w:rPr>
        <w:t>Effective January 1, 2019, the Company adopted ASU 2018-02, “</w:t>
      </w:r>
      <w:r>
        <w:rPr>
          <w:rFonts w:ascii="Arial" w:cs="Arial" w:eastAsia="Arial" w:hAnsi="Arial"/>
          <w:sz w:val="15"/>
          <w:szCs w:val="15"/>
          <w:i w:val="1"/>
          <w:iCs w:val="1"/>
          <w:color w:val="auto"/>
        </w:rPr>
        <w:t>Reclassification of Certain Tax Effects from Accumulated Other Comprehensive Income</w:t>
      </w:r>
      <w:r>
        <w:rPr>
          <w:rFonts w:ascii="Arial" w:cs="Arial" w:eastAsia="Arial" w:hAnsi="Arial"/>
          <w:sz w:val="15"/>
          <w:szCs w:val="15"/>
          <w:color w:val="auto"/>
        </w:rPr>
        <w:t>” under which the Company did not elect to reclassify the income tax effects stranded in accumulated other comprehensive income to retained earnings as a result of the enactment of comprehensive tax legislation, commonly referred to as the Tax Cuts and Jobs Act. As a result, there was no impact on the Company’s financial position, results of operations or cash flows.</w:t>
      </w:r>
    </w:p>
    <w:p>
      <w:pPr>
        <w:spacing w:after="0" w:line="149" w:lineRule="exact"/>
        <w:rPr>
          <w:sz w:val="20"/>
          <w:szCs w:val="20"/>
          <w:color w:val="auto"/>
        </w:rPr>
      </w:pPr>
    </w:p>
    <w:p>
      <w:pPr>
        <w:ind w:right="100" w:firstLine="591"/>
        <w:spacing w:after="0" w:line="238" w:lineRule="auto"/>
        <w:rPr>
          <w:sz w:val="20"/>
          <w:szCs w:val="20"/>
          <w:color w:val="auto"/>
        </w:rPr>
      </w:pPr>
      <w:r>
        <w:rPr>
          <w:rFonts w:ascii="Arial" w:cs="Arial" w:eastAsia="Arial" w:hAnsi="Arial"/>
          <w:sz w:val="15"/>
          <w:szCs w:val="15"/>
          <w:color w:val="auto"/>
        </w:rPr>
        <w:t>In June 2016, the FASB issued ASU 2016-13, “</w:t>
      </w:r>
      <w:r>
        <w:rPr>
          <w:rFonts w:ascii="Arial" w:cs="Arial" w:eastAsia="Arial" w:hAnsi="Arial"/>
          <w:sz w:val="15"/>
          <w:szCs w:val="15"/>
          <w:i w:val="1"/>
          <w:iCs w:val="1"/>
          <w:color w:val="auto"/>
        </w:rPr>
        <w:t>Measurement of Credit Losses on Financial Instruments</w:t>
      </w:r>
      <w:r>
        <w:rPr>
          <w:rFonts w:ascii="Arial" w:cs="Arial" w:eastAsia="Arial" w:hAnsi="Arial"/>
          <w:sz w:val="15"/>
          <w:szCs w:val="15"/>
          <w:color w:val="auto"/>
        </w:rPr>
        <w:t>,” and issued subsequent amendments to the initial guidance within ASU 2019-04 and ASU 2019-05. The amendments in ASU 2016-13 replace the incurred loss impairment methodology in current practice with a methodology that reflects expected credit losses and requires consideration of a broader range of reasonable and supportable information to estimate credit losses. ASU 2016-13 and its amendments are effective for interim and annual reporting periods beginning after December 15, 2019. The Company adopted this ASU in the first quarter of 2020, and it did not have a material impact on its financial statements.</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Recently Issued Accounting Pronouncements</w:t>
      </w:r>
    </w:p>
    <w:p>
      <w:pPr>
        <w:spacing w:after="0" w:line="173" w:lineRule="exact"/>
        <w:rPr>
          <w:sz w:val="20"/>
          <w:szCs w:val="20"/>
          <w:color w:val="auto"/>
        </w:rPr>
      </w:pPr>
    </w:p>
    <w:p>
      <w:pPr>
        <w:ind w:firstLine="591"/>
        <w:spacing w:after="0" w:line="237" w:lineRule="auto"/>
        <w:rPr>
          <w:sz w:val="20"/>
          <w:szCs w:val="20"/>
          <w:color w:val="auto"/>
        </w:rPr>
      </w:pPr>
      <w:r>
        <w:rPr>
          <w:rFonts w:ascii="Arial" w:cs="Arial" w:eastAsia="Arial" w:hAnsi="Arial"/>
          <w:sz w:val="15"/>
          <w:szCs w:val="15"/>
          <w:color w:val="auto"/>
        </w:rPr>
        <w:t>In December 2019, the FASB issued ASU No. 2019-12, “</w:t>
      </w:r>
      <w:r>
        <w:rPr>
          <w:rFonts w:ascii="Arial" w:cs="Arial" w:eastAsia="Arial" w:hAnsi="Arial"/>
          <w:sz w:val="15"/>
          <w:szCs w:val="15"/>
          <w:i w:val="1"/>
          <w:iCs w:val="1"/>
          <w:color w:val="auto"/>
        </w:rPr>
        <w:t>Income Taxes (Topic 740): Simplifying the Accounting for Income Taxes (“ASU 2019-12”)”</w:t>
      </w:r>
      <w:r>
        <w:rPr>
          <w:rFonts w:ascii="Arial" w:cs="Arial" w:eastAsia="Arial" w:hAnsi="Arial"/>
          <w:sz w:val="15"/>
          <w:szCs w:val="15"/>
          <w:color w:val="auto"/>
        </w:rPr>
        <w:t>. ASU 2019 -12 was issued as a means to reduce the complexity of accounting for income taxes for those entities that fall within the scope of the accounting standard. The guidance is to be applied using a prospective method, excluding amendments related to franchise taxes, which should be applied on either a retrospective basis for all periods presented or a modified retrospective basis through a cumulative-effect adjustment to retained earnings as of the beginning of the fiscal year of adoption. ASU 2019-12 is effective for fiscal years beginning after December 15, 2020, with early adoption permitted. The Company did not elect to adopt early and it does not expect this standard to have a material impact on its consolidated financial statements.</w:t>
      </w:r>
    </w:p>
    <w:p>
      <w:pPr>
        <w:spacing w:after="0" w:line="169"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In August 2020, the FASB issued ASU 2020-06, Debt – Debt with Conversion and Other Options (Subtopic 470-20) and Derivatives and Hedging – Contracts in Entity’s Own Equity (Subtopic 815-40). The update simplifies the accounting for convertible debt instruments and convertible preferred stock by reducing the number of accounting models and limiting the number of embedded conversion features separately recognized from the primary contract. The guidance also includes targeted improvements to the disclosures for convertible instruments and earnings per share. ASU 2020-06 is effective for fiscal years beginning after December 15, 2021, including interim periods within those fiscal years. Early adoption is permitted, but no earlier than fiscal years beginning after December 15, 2020. The Company will early adopt this standard in 2021 using the modified retrospective method and expects it will result in a reduction in non-cash interest expense and a reclassification of the equity portion of the Convertible Senior Notes to liabilities on the consolidated balance sheet.</w:t>
      </w:r>
    </w:p>
    <w:p>
      <w:pPr>
        <w:spacing w:after="0" w:line="239" w:lineRule="exact"/>
        <w:rPr>
          <w:sz w:val="20"/>
          <w:szCs w:val="20"/>
          <w:color w:val="auto"/>
        </w:rPr>
      </w:pPr>
    </w:p>
    <w:p>
      <w:pPr>
        <w:ind w:left="600" w:hanging="591"/>
        <w:spacing w:after="0"/>
        <w:tabs>
          <w:tab w:leader="none" w:pos="60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Polaris Alpha</w:t>
      </w:r>
    </w:p>
    <w:p>
      <w:pPr>
        <w:spacing w:after="0" w:line="100" w:lineRule="exact"/>
        <w:rPr>
          <w:sz w:val="20"/>
          <w:szCs w:val="20"/>
          <w:color w:val="auto"/>
        </w:rPr>
      </w:pPr>
    </w:p>
    <w:p>
      <w:pPr>
        <w:ind w:right="360" w:firstLine="591"/>
        <w:spacing w:after="0" w:line="236" w:lineRule="auto"/>
        <w:rPr>
          <w:sz w:val="20"/>
          <w:szCs w:val="20"/>
          <w:color w:val="auto"/>
        </w:rPr>
      </w:pPr>
      <w:r>
        <w:rPr>
          <w:rFonts w:ascii="Arial" w:cs="Arial" w:eastAsia="Arial" w:hAnsi="Arial"/>
          <w:sz w:val="15"/>
          <w:szCs w:val="15"/>
          <w:color w:val="auto"/>
        </w:rPr>
        <w:t>On May 31, 2018, the Company acquired a 100% ownership interest in Polaris Alpha, a privately-owned, advanced technology-focused provider of innovative mission solutions for complex defense, intelligence, and security customers, as well as other U.S. federal government customers, for $489.1 million paid in cash. The Company borrowed $260 million under the Credit Agreement, as described in</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57" w:lineRule="exact"/>
        <w:rPr>
          <w:sz w:val="20"/>
          <w:szCs w:val="20"/>
          <w:color w:val="auto"/>
        </w:rPr>
      </w:pPr>
    </w:p>
    <w:p>
      <w:pPr>
        <w:ind w:right="40"/>
        <w:spacing w:after="0" w:line="237" w:lineRule="auto"/>
        <w:rPr>
          <w:sz w:val="20"/>
          <w:szCs w:val="20"/>
          <w:color w:val="auto"/>
        </w:rPr>
      </w:pPr>
      <w:r>
        <w:rPr>
          <w:rFonts w:ascii="Arial" w:cs="Arial" w:eastAsia="Arial" w:hAnsi="Arial"/>
          <w:sz w:val="15"/>
          <w:szCs w:val="15"/>
          <w:color w:val="auto"/>
        </w:rPr>
        <w:t>“Note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to partially fund the acquisition. In connection with this acquisition, the Company recognized $6.2 million of acquisition-related expenses in “Indirect, general and administrative expense” in the consolidated statements of income for the year ended December 31, 2018, including legal fees, consulting fees, and other miscellaneous direct expenses associated with the acquisition. Polaris Alpha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 The following table summarizes the estimated fair values of the assets acquired and liabilities assumed as of the date of acquisition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Polaris Alpha</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104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5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7,914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Accounts receivable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29,688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Contract assets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35,229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9,295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Goodwill</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243,471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199,520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2,203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Accounts payable</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(13,942)</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Accrued expenses and other current liabilities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(26,419)</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Contract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(3,529)</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5"/>
                <w:szCs w:val="15"/>
                <w:color w:val="auto"/>
              </w:rPr>
              <w:t>(2,231)</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(1,146)</w:t>
            </w:r>
          </w:p>
        </w:tc>
        <w:tc>
          <w:tcPr>
            <w:tcW w:w="0" w:type="dxa"/>
            <w:vAlign w:val="bottom"/>
          </w:tcPr>
          <w:p>
            <w:pPr>
              <w:spacing w:after="0"/>
              <w:rPr>
                <w:sz w:val="1"/>
                <w:szCs w:val="1"/>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240"/>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489,077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60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760" w:type="dxa"/>
            <w:vAlign w:val="bottom"/>
          </w:tcPr>
          <w:p>
            <w:pPr>
              <w:spacing w:after="0"/>
              <w:rPr>
                <w:sz w:val="24"/>
                <w:szCs w:val="24"/>
                <w:color w:val="auto"/>
              </w:rPr>
            </w:pPr>
          </w:p>
        </w:tc>
        <w:tc>
          <w:tcPr>
            <w:tcW w:w="1040" w:type="dxa"/>
            <w:vAlign w:val="bottom"/>
          </w:tcPr>
          <w:p>
            <w:pPr>
              <w:jc w:val="center"/>
              <w:ind w:left="435"/>
              <w:spacing w:after="0"/>
              <w:rPr>
                <w:sz w:val="20"/>
                <w:szCs w:val="20"/>
                <w:color w:val="auto"/>
              </w:rPr>
            </w:pPr>
            <w:r>
              <w:rPr>
                <w:rFonts w:ascii="Arial" w:cs="Arial" w:eastAsia="Arial" w:hAnsi="Arial"/>
                <w:sz w:val="12"/>
                <w:szCs w:val="12"/>
                <w:b w:val="1"/>
                <w:bCs w:val="1"/>
                <w:color w:val="auto"/>
                <w:w w:val="97"/>
              </w:rPr>
              <w:t>Gross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040" w:type="dxa"/>
            <w:vAlign w:val="bottom"/>
          </w:tcPr>
          <w:p>
            <w:pPr>
              <w:jc w:val="center"/>
              <w:ind w:left="415"/>
              <w:spacing w:after="0" w:line="133"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8"/>
              </w:rPr>
              <w:t>Amortization</w:t>
            </w: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40" w:type="dxa"/>
            <w:vAlign w:val="bottom"/>
            <w:tcBorders>
              <w:bottom w:val="single" w:sz="8" w:color="auto"/>
            </w:tcBorders>
          </w:tcPr>
          <w:p>
            <w:pPr>
              <w:jc w:val="center"/>
              <w:ind w:left="415"/>
              <w:spacing w:after="0"/>
              <w:rPr>
                <w:sz w:val="20"/>
                <w:szCs w:val="20"/>
                <w:color w:val="auto"/>
              </w:rPr>
            </w:pPr>
            <w:r>
              <w:rPr>
                <w:rFonts w:ascii="Arial" w:cs="Arial" w:eastAsia="Arial" w:hAnsi="Arial"/>
                <w:sz w:val="12"/>
                <w:szCs w:val="12"/>
                <w:b w:val="1"/>
                <w:bCs w:val="1"/>
                <w:color w:val="auto"/>
                <w:w w:val="96"/>
              </w:rPr>
              <w:t>Amount</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2"/>
                <w:szCs w:val="12"/>
                <w:b w:val="1"/>
                <w:bCs w:val="1"/>
                <w:color w:val="auto"/>
              </w:rPr>
              <w:t>Period</w:t>
            </w:r>
          </w:p>
        </w:tc>
        <w:tc>
          <w:tcPr>
            <w:tcW w:w="0" w:type="dxa"/>
            <w:vAlign w:val="bottom"/>
          </w:tcPr>
          <w:p>
            <w:pPr>
              <w:spacing w:after="0"/>
              <w:rPr>
                <w:sz w:val="1"/>
                <w:szCs w:val="1"/>
                <w:color w:val="auto"/>
              </w:rPr>
            </w:pPr>
          </w:p>
        </w:tc>
      </w:tr>
      <w:tr>
        <w:trPr>
          <w:trHeight w:val="135"/>
        </w:trPr>
        <w:tc>
          <w:tcPr>
            <w:tcW w:w="7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center"/>
              <w:ind w:right="20"/>
              <w:spacing w:after="0" w:line="136" w:lineRule="exact"/>
              <w:rPr>
                <w:sz w:val="20"/>
                <w:szCs w:val="20"/>
                <w:color w:val="auto"/>
              </w:rPr>
            </w:pPr>
            <w:r>
              <w:rPr>
                <w:rFonts w:ascii="Arial" w:cs="Arial" w:eastAsia="Arial" w:hAnsi="Arial"/>
                <w:sz w:val="12"/>
                <w:szCs w:val="12"/>
                <w:color w:val="auto"/>
                <w:w w:val="99"/>
              </w:rPr>
              <w:t>(in years)</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Developed technology</w:t>
            </w:r>
          </w:p>
        </w:tc>
        <w:tc>
          <w:tcPr>
            <w:tcW w:w="104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84,900</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Customer relationships</w:t>
            </w: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76,000</w:t>
            </w:r>
          </w:p>
        </w:tc>
        <w:tc>
          <w:tcPr>
            <w:tcW w:w="300" w:type="dxa"/>
            <w:vAlign w:val="bottom"/>
          </w:tcPr>
          <w:p>
            <w:pPr>
              <w:spacing w:after="0"/>
              <w:rPr>
                <w:sz w:val="15"/>
                <w:szCs w:val="15"/>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Backlog</w:t>
            </w:r>
          </w:p>
        </w:tc>
        <w:tc>
          <w:tcPr>
            <w:tcW w:w="10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34,900</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Trade name</w:t>
            </w: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3,600</w:t>
            </w:r>
          </w:p>
        </w:tc>
        <w:tc>
          <w:tcPr>
            <w:tcW w:w="300" w:type="dxa"/>
            <w:vAlign w:val="bottom"/>
          </w:tcPr>
          <w:p>
            <w:pPr>
              <w:spacing w:after="0"/>
              <w:rPr>
                <w:sz w:val="15"/>
                <w:szCs w:val="15"/>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Leases</w:t>
            </w:r>
          </w:p>
        </w:tc>
        <w:tc>
          <w:tcPr>
            <w:tcW w:w="104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120</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right="40" w:firstLine="591"/>
        <w:spacing w:after="0" w:line="236" w:lineRule="auto"/>
        <w:rPr>
          <w:sz w:val="20"/>
          <w:szCs w:val="20"/>
          <w:color w:val="auto"/>
        </w:rPr>
      </w:pPr>
      <w:r>
        <w:rPr>
          <w:rFonts w:ascii="Arial" w:cs="Arial" w:eastAsia="Arial" w:hAnsi="Arial"/>
          <w:sz w:val="15"/>
          <w:szCs w:val="15"/>
          <w:color w:val="auto"/>
        </w:rPr>
        <w:t>Amortization expense of $45.5 million, $54.5 million and $30.3 million related to these intangible assets was recorded for the years ended December 31, 2020, December 31, 2019 and December 31, 2018, respectively. The entire value of goodwill of $243.5 million was assigned to the Federal Solutions reporting unit and represents synergies expected to be realized from this business combination. Goodwill of $50.1 million is deductible for tax purposes.</w:t>
      </w:r>
    </w:p>
    <w:p>
      <w:pPr>
        <w:spacing w:after="0" w:line="167" w:lineRule="exact"/>
        <w:rPr>
          <w:sz w:val="20"/>
          <w:szCs w:val="20"/>
          <w:color w:val="auto"/>
        </w:rPr>
      </w:pPr>
    </w:p>
    <w:p>
      <w:pPr>
        <w:ind w:right="240" w:firstLine="591"/>
        <w:spacing w:after="0" w:line="239" w:lineRule="auto"/>
        <w:rPr>
          <w:sz w:val="20"/>
          <w:szCs w:val="20"/>
          <w:color w:val="auto"/>
        </w:rPr>
      </w:pPr>
      <w:r>
        <w:rPr>
          <w:rFonts w:ascii="Arial" w:cs="Arial" w:eastAsia="Arial" w:hAnsi="Arial"/>
          <w:sz w:val="15"/>
          <w:szCs w:val="15"/>
          <w:color w:val="auto"/>
        </w:rPr>
        <w:t>The amount of revenue generated by Polaris Alpha and included within consolidated revenues for 2018 is $227.3 million. The Company has determined that the presentation of net income from the date of acquisition is impracticable due to the integration of general corporate functions upon acquisition.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00" w:lineRule="exact"/>
        <w:rPr>
          <w:sz w:val="20"/>
          <w:szCs w:val="20"/>
          <w:color w:val="auto"/>
        </w:rPr>
      </w:pPr>
    </w:p>
    <w:p>
      <w:pPr>
        <w:ind w:right="160" w:firstLine="591"/>
        <w:spacing w:after="0" w:line="239" w:lineRule="auto"/>
        <w:rPr>
          <w:sz w:val="20"/>
          <w:szCs w:val="20"/>
          <w:color w:val="auto"/>
        </w:rPr>
      </w:pPr>
      <w:r>
        <w:rPr>
          <w:rFonts w:ascii="Arial" w:cs="Arial" w:eastAsia="Arial" w:hAnsi="Arial"/>
          <w:sz w:val="15"/>
          <w:szCs w:val="15"/>
          <w:color w:val="auto"/>
        </w:rPr>
        <w:t>Supplemental information on an unaudited pro forma basis, as if the acquisition closed as of the beginning of the fiscal year ended December 29, 2017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tcPr>
          <w:p>
            <w:pPr>
              <w:jc w:val="right"/>
              <w:ind w:right="734"/>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46"/>
        </w:trPr>
        <w:tc>
          <w:tcPr>
            <w:tcW w:w="9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40" w:type="dxa"/>
            <w:vAlign w:val="bottom"/>
            <w:gridSpan w:val="2"/>
          </w:tcPr>
          <w:p>
            <w:pPr>
              <w:ind w:left="260"/>
              <w:spacing w:after="0"/>
              <w:rPr>
                <w:sz w:val="20"/>
                <w:szCs w:val="20"/>
                <w:color w:val="auto"/>
              </w:rPr>
            </w:pPr>
            <w:r>
              <w:rPr>
                <w:rFonts w:ascii="Arial" w:cs="Arial" w:eastAsia="Arial" w:hAnsi="Arial"/>
                <w:sz w:val="12"/>
                <w:szCs w:val="12"/>
                <w:b w:val="1"/>
                <w:bCs w:val="1"/>
                <w:color w:val="auto"/>
              </w:rPr>
              <w:t>(unaudited)</w:t>
            </w:r>
          </w:p>
        </w:tc>
      </w:tr>
      <w:tr>
        <w:trPr>
          <w:trHeight w:val="167"/>
        </w:trPr>
        <w:tc>
          <w:tcPr>
            <w:tcW w:w="9280" w:type="dxa"/>
            <w:vAlign w:val="bottom"/>
          </w:tcPr>
          <w:p>
            <w:pPr>
              <w:spacing w:after="0" w:line="167" w:lineRule="exact"/>
              <w:rPr>
                <w:sz w:val="20"/>
                <w:szCs w:val="20"/>
                <w:color w:val="auto"/>
              </w:rPr>
            </w:pPr>
            <w:r>
              <w:rPr>
                <w:rFonts w:ascii="Arial" w:cs="Arial" w:eastAsia="Arial" w:hAnsi="Arial"/>
                <w:sz w:val="15"/>
                <w:szCs w:val="15"/>
                <w:color w:val="auto"/>
              </w:rPr>
              <w:t>Pro forma Revenue</w:t>
            </w:r>
          </w:p>
        </w:tc>
        <w:tc>
          <w:tcPr>
            <w:tcW w:w="360" w:type="dxa"/>
            <w:vAlign w:val="bottom"/>
          </w:tcPr>
          <w:p>
            <w:pPr>
              <w:jc w:val="right"/>
              <w:ind w:right="206"/>
              <w:spacing w:after="0" w:line="167" w:lineRule="exact"/>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line="167" w:lineRule="exact"/>
              <w:rPr>
                <w:sz w:val="20"/>
                <w:szCs w:val="20"/>
                <w:color w:val="auto"/>
              </w:rPr>
            </w:pPr>
            <w:r>
              <w:rPr>
                <w:rFonts w:ascii="Arial" w:cs="Arial" w:eastAsia="Arial" w:hAnsi="Arial"/>
                <w:sz w:val="15"/>
                <w:szCs w:val="15"/>
                <w:color w:val="auto"/>
              </w:rPr>
              <w:t>3,713,804</w:t>
            </w:r>
          </w:p>
        </w:tc>
        <w:tc>
          <w:tcPr>
            <w:tcW w:w="120" w:type="dxa"/>
            <w:vAlign w:val="bottom"/>
          </w:tcPr>
          <w:p>
            <w:pPr>
              <w:spacing w:after="0"/>
              <w:rPr>
                <w:sz w:val="14"/>
                <w:szCs w:val="14"/>
                <w:color w:val="auto"/>
              </w:rPr>
            </w:pPr>
          </w:p>
        </w:tc>
      </w:tr>
      <w:tr>
        <w:trPr>
          <w:trHeight w:val="177"/>
        </w:trPr>
        <w:tc>
          <w:tcPr>
            <w:tcW w:w="9280" w:type="dxa"/>
            <w:vAlign w:val="bottom"/>
            <w:shd w:val="clear" w:color="auto" w:fill="CFF0FC"/>
          </w:tcPr>
          <w:p>
            <w:pPr>
              <w:spacing w:after="0"/>
              <w:rPr>
                <w:sz w:val="20"/>
                <w:szCs w:val="20"/>
                <w:color w:val="auto"/>
              </w:rPr>
            </w:pPr>
            <w:r>
              <w:rPr>
                <w:rFonts w:ascii="Arial" w:cs="Arial" w:eastAsia="Arial" w:hAnsi="Arial"/>
                <w:sz w:val="15"/>
                <w:szCs w:val="15"/>
                <w:color w:val="auto"/>
              </w:rPr>
              <w:t>Pro forma Net Income including noncontrolling interest</w:t>
            </w:r>
          </w:p>
        </w:tc>
        <w:tc>
          <w:tcPr>
            <w:tcW w:w="36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225,861</w:t>
            </w:r>
          </w:p>
        </w:tc>
        <w:tc>
          <w:tcPr>
            <w:tcW w:w="120" w:type="dxa"/>
            <w:vAlign w:val="bottom"/>
            <w:shd w:val="clear" w:color="auto" w:fill="CFF0FC"/>
          </w:tcPr>
          <w:p>
            <w:pPr>
              <w:spacing w:after="0"/>
              <w:rPr>
                <w:sz w:val="15"/>
                <w:szCs w:val="15"/>
                <w:color w:val="auto"/>
              </w:rPr>
            </w:pPr>
          </w:p>
        </w:tc>
      </w:tr>
    </w:tbl>
    <w:p>
      <w:pPr>
        <w:spacing w:after="0" w:line="287"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OGSystems</w:t>
      </w:r>
    </w:p>
    <w:p>
      <w:pPr>
        <w:spacing w:after="0" w:line="100"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On January 7, 2019, the Company acquired a 100% ownership interest in OGSystems, a privately-owned company, for $292.4 million paid in cash. OGSystems provides geospatial intelligence, big data analytics and threat mitigation for defense and intelligence customers. The Company borrowed $110 million under the Credit Agreement and $150 million on a short-term loan, as described in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to partially fund the acquisition. In connection with this acquisition, the Company recognized $5.4 million of acquisition-related expenses in “Indirect, general and administrative expense” in the consolidated statements of income for the year ended December 31, 2019, including legal fees, consulting fees, and other miscellaneous direct expenses associated with the acquisition. OGSystems enhances the Company’s artificial intelligence and data analytics expertise with new technologies and solutions. Customers of both companies will benefit from existing, complementary technologies and increased scale, enabling end-to-end solutions under the shared vision of rapid prototyping and agile development.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80" w:firstLine="591"/>
        <w:spacing w:after="0" w:line="239" w:lineRule="auto"/>
        <w:rPr>
          <w:sz w:val="20"/>
          <w:szCs w:val="20"/>
          <w:color w:val="auto"/>
        </w:rPr>
      </w:pPr>
      <w:r>
        <w:rPr>
          <w:rFonts w:ascii="Arial" w:cs="Arial" w:eastAsia="Arial" w:hAnsi="Arial"/>
          <w:sz w:val="15"/>
          <w:szCs w:val="15"/>
          <w:color w:val="auto"/>
        </w:rPr>
        <w:t>The following table summarizes the estimated fair values of the assets acquired and liabilities assumed based on the purchase price allocation as of the date of acquisition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10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104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5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5,772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Accounts receivable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9,904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Contract assets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9,747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4,307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4,085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Right of use assets, operating leases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8,826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183,540</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Intangible assets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5"/>
                <w:szCs w:val="15"/>
                <w:color w:val="auto"/>
              </w:rPr>
              <w:t>92,300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noncurrent assets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Accounts payable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(5,450)</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Accrued expenses and other current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(7,147)</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Contract liabilities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(1,300)</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Short-term lease liabilities, operating leases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(805)</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Income tax payable</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(1,178)</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Deferred tax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(1,195)</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Long-term lease liabilities, operating leases</w:t>
            </w: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ind w:right="60"/>
              <w:spacing w:after="0"/>
              <w:rPr>
                <w:sz w:val="20"/>
                <w:szCs w:val="20"/>
                <w:color w:val="auto"/>
              </w:rPr>
            </w:pPr>
            <w:r>
              <w:rPr>
                <w:rFonts w:ascii="Arial" w:cs="Arial" w:eastAsia="Arial" w:hAnsi="Arial"/>
                <w:sz w:val="15"/>
                <w:szCs w:val="15"/>
                <w:color w:val="auto"/>
              </w:rPr>
              <w:t>(8,021)</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 long-term liabilities</w:t>
            </w:r>
          </w:p>
        </w:tc>
        <w:tc>
          <w:tcPr>
            <w:tcW w:w="10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5"/>
                <w:szCs w:val="15"/>
                <w:color w:val="auto"/>
              </w:rPr>
              <w:t>(1,015)</w:t>
            </w:r>
          </w:p>
        </w:tc>
        <w:tc>
          <w:tcPr>
            <w:tcW w:w="0" w:type="dxa"/>
            <w:vAlign w:val="bottom"/>
          </w:tcPr>
          <w:p>
            <w:pPr>
              <w:spacing w:after="0"/>
              <w:rPr>
                <w:sz w:val="1"/>
                <w:szCs w:val="1"/>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Borders>
              <w:top w:val="single" w:sz="8" w:color="auto"/>
              <w:bottom w:val="single" w:sz="8" w:color="auto"/>
            </w:tcBorders>
            <w:gridSpan w:val="2"/>
          </w:tcPr>
          <w:p>
            <w:pPr>
              <w:jc w:val="right"/>
              <w:ind w:right="240"/>
              <w:spacing w:after="0" w:line="169" w:lineRule="exact"/>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292,380</w:t>
            </w: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ind w:left="60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tc>
        <w:tc>
          <w:tcPr>
            <w:tcW w:w="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88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760" w:type="dxa"/>
            <w:vAlign w:val="bottom"/>
          </w:tcPr>
          <w:p>
            <w:pPr>
              <w:spacing w:after="0"/>
              <w:rPr>
                <w:sz w:val="24"/>
                <w:szCs w:val="24"/>
                <w:color w:val="auto"/>
              </w:rPr>
            </w:pPr>
          </w:p>
        </w:tc>
        <w:tc>
          <w:tcPr>
            <w:tcW w:w="1040" w:type="dxa"/>
            <w:vAlign w:val="bottom"/>
          </w:tcPr>
          <w:p>
            <w:pPr>
              <w:jc w:val="center"/>
              <w:ind w:left="435"/>
              <w:spacing w:after="0"/>
              <w:rPr>
                <w:sz w:val="20"/>
                <w:szCs w:val="20"/>
                <w:color w:val="auto"/>
              </w:rPr>
            </w:pPr>
            <w:r>
              <w:rPr>
                <w:rFonts w:ascii="Arial" w:cs="Arial" w:eastAsia="Arial" w:hAnsi="Arial"/>
                <w:sz w:val="12"/>
                <w:szCs w:val="12"/>
                <w:b w:val="1"/>
                <w:bCs w:val="1"/>
                <w:color w:val="auto"/>
                <w:w w:val="97"/>
              </w:rPr>
              <w:t>Gross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760" w:type="dxa"/>
            <w:vAlign w:val="bottom"/>
          </w:tcPr>
          <w:p>
            <w:pPr>
              <w:spacing w:after="0"/>
              <w:rPr>
                <w:sz w:val="11"/>
                <w:szCs w:val="11"/>
                <w:color w:val="auto"/>
              </w:rPr>
            </w:pPr>
          </w:p>
        </w:tc>
        <w:tc>
          <w:tcPr>
            <w:tcW w:w="1040" w:type="dxa"/>
            <w:vAlign w:val="bottom"/>
          </w:tcPr>
          <w:p>
            <w:pPr>
              <w:jc w:val="center"/>
              <w:ind w:left="415"/>
              <w:spacing w:after="0" w:line="133" w:lineRule="exact"/>
              <w:rPr>
                <w:sz w:val="20"/>
                <w:szCs w:val="20"/>
                <w:color w:val="auto"/>
              </w:rPr>
            </w:pPr>
            <w:r>
              <w:rPr>
                <w:rFonts w:ascii="Arial" w:cs="Arial" w:eastAsia="Arial" w:hAnsi="Arial"/>
                <w:sz w:val="12"/>
                <w:szCs w:val="12"/>
                <w:b w:val="1"/>
                <w:bCs w:val="1"/>
                <w:color w:val="auto"/>
                <w:w w:val="97"/>
              </w:rPr>
              <w:t>Carrying</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jc w:val="center"/>
              <w:ind w:right="140"/>
              <w:spacing w:after="0" w:line="133" w:lineRule="exact"/>
              <w:rPr>
                <w:sz w:val="20"/>
                <w:szCs w:val="20"/>
                <w:color w:val="auto"/>
              </w:rPr>
            </w:pPr>
            <w:r>
              <w:rPr>
                <w:rFonts w:ascii="Arial" w:cs="Arial" w:eastAsia="Arial" w:hAnsi="Arial"/>
                <w:sz w:val="12"/>
                <w:szCs w:val="12"/>
                <w:b w:val="1"/>
                <w:bCs w:val="1"/>
                <w:color w:val="auto"/>
              </w:rPr>
              <w:t>Amortization</w:t>
            </w:r>
          </w:p>
        </w:tc>
        <w:tc>
          <w:tcPr>
            <w:tcW w:w="0" w:type="dxa"/>
            <w:vAlign w:val="bottom"/>
          </w:tcPr>
          <w:p>
            <w:pPr>
              <w:spacing w:after="0"/>
              <w:rPr>
                <w:sz w:val="1"/>
                <w:szCs w:val="1"/>
                <w:color w:val="auto"/>
              </w:rPr>
            </w:pPr>
          </w:p>
        </w:tc>
      </w:tr>
      <w:tr>
        <w:trPr>
          <w:trHeight w:val="143"/>
        </w:trPr>
        <w:tc>
          <w:tcPr>
            <w:tcW w:w="7760" w:type="dxa"/>
            <w:vAlign w:val="bottom"/>
          </w:tcPr>
          <w:p>
            <w:pPr>
              <w:spacing w:after="0"/>
              <w:rPr>
                <w:sz w:val="12"/>
                <w:szCs w:val="12"/>
                <w:color w:val="auto"/>
              </w:rPr>
            </w:pPr>
          </w:p>
        </w:tc>
        <w:tc>
          <w:tcPr>
            <w:tcW w:w="1040" w:type="dxa"/>
            <w:vAlign w:val="bottom"/>
            <w:tcBorders>
              <w:bottom w:val="single" w:sz="8" w:color="auto"/>
            </w:tcBorders>
          </w:tcPr>
          <w:p>
            <w:pPr>
              <w:jc w:val="center"/>
              <w:ind w:left="415"/>
              <w:spacing w:after="0"/>
              <w:rPr>
                <w:sz w:val="20"/>
                <w:szCs w:val="20"/>
                <w:color w:val="auto"/>
              </w:rPr>
            </w:pPr>
            <w:r>
              <w:rPr>
                <w:rFonts w:ascii="Arial" w:cs="Arial" w:eastAsia="Arial" w:hAnsi="Arial"/>
                <w:sz w:val="12"/>
                <w:szCs w:val="12"/>
                <w:b w:val="1"/>
                <w:bCs w:val="1"/>
                <w:color w:val="auto"/>
                <w:w w:val="96"/>
              </w:rPr>
              <w:t>Amount</w:t>
            </w: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Period</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3"/>
          </w:tcPr>
          <w:p>
            <w:pPr>
              <w:jc w:val="center"/>
              <w:ind w:right="140"/>
              <w:spacing w:after="0" w:line="136" w:lineRule="exact"/>
              <w:rPr>
                <w:sz w:val="20"/>
                <w:szCs w:val="20"/>
                <w:color w:val="auto"/>
              </w:rPr>
            </w:pPr>
            <w:r>
              <w:rPr>
                <w:rFonts w:ascii="Arial" w:cs="Arial" w:eastAsia="Arial" w:hAnsi="Arial"/>
                <w:sz w:val="12"/>
                <w:szCs w:val="12"/>
                <w:b w:val="1"/>
                <w:bCs w:val="1"/>
                <w:color w:val="auto"/>
              </w:rPr>
              <w:t>(in years)</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104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57,100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Backlog</w:t>
            </w: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27,700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Trade name</w:t>
            </w:r>
          </w:p>
        </w:tc>
        <w:tc>
          <w:tcPr>
            <w:tcW w:w="104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3,800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Non-compete agreements</w:t>
            </w:r>
          </w:p>
        </w:tc>
        <w:tc>
          <w:tcPr>
            <w:tcW w:w="10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Arial" w:cs="Arial" w:eastAsia="Arial" w:hAnsi="Arial"/>
                <w:sz w:val="15"/>
                <w:szCs w:val="15"/>
                <w:color w:val="auto"/>
              </w:rPr>
              <w:t>2,400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Developed technologies</w:t>
            </w:r>
          </w:p>
        </w:tc>
        <w:tc>
          <w:tcPr>
            <w:tcW w:w="1040" w:type="dxa"/>
            <w:vAlign w:val="bottom"/>
            <w:shd w:val="clear" w:color="auto" w:fill="CFF0FC"/>
          </w:tcPr>
          <w:p>
            <w:pPr>
              <w:jc w:val="right"/>
              <w:ind w:right="89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1,300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right="40" w:firstLine="591"/>
        <w:spacing w:after="0" w:line="236" w:lineRule="auto"/>
        <w:rPr>
          <w:sz w:val="20"/>
          <w:szCs w:val="20"/>
          <w:color w:val="auto"/>
        </w:rPr>
      </w:pPr>
      <w:r>
        <w:rPr>
          <w:rFonts w:ascii="Arial" w:cs="Arial" w:eastAsia="Arial" w:hAnsi="Arial"/>
          <w:sz w:val="15"/>
          <w:szCs w:val="15"/>
          <w:color w:val="auto"/>
        </w:rPr>
        <w:t>Amortization expense of $23.8 million and $23.8 million related to these intangible assets was recorded for the years ended December 31, 2020 and December 31, 2019, respectively. The entire value of goodwill of $183.5 million was assigned to the Federal Solutions reporting unit and represents synergies expected to be realized from this business combination. Goodwill of $16 million is deductible for tax purposes.</w:t>
      </w:r>
    </w:p>
    <w:p>
      <w:pPr>
        <w:spacing w:after="0" w:line="189" w:lineRule="exact"/>
        <w:rPr>
          <w:sz w:val="20"/>
          <w:szCs w:val="20"/>
          <w:color w:val="auto"/>
        </w:rPr>
      </w:pPr>
    </w:p>
    <w:p>
      <w:pPr>
        <w:jc w:val="both"/>
        <w:ind w:right="580" w:firstLine="591"/>
        <w:spacing w:after="0" w:line="258" w:lineRule="auto"/>
        <w:rPr>
          <w:sz w:val="20"/>
          <w:szCs w:val="20"/>
          <w:color w:val="auto"/>
        </w:rPr>
      </w:pPr>
      <w:r>
        <w:rPr>
          <w:rFonts w:ascii="Arial" w:cs="Arial" w:eastAsia="Arial" w:hAnsi="Arial"/>
          <w:sz w:val="15"/>
          <w:szCs w:val="15"/>
          <w:color w:val="auto"/>
        </w:rPr>
        <w:t>The amount of revenue generated by OGSystems and included within consolidated revenues for the year ended December 31, 2019 is $143.4 million. The Company has determined that the presentation of net income from the date of acquisition is impracticable due to the integration of general corporate functions upon acquisition.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Supplemental information of unaudited pro forma operating results assuming the OGSystems acquisition had been consummated as of the beginning of fiscal year</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2018 (December 30, 2017) (in thousands)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35"/>
        </w:trPr>
        <w:tc>
          <w:tcPr>
            <w:tcW w:w="7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394"/>
              <w:spacing w:after="0" w:line="136" w:lineRule="exact"/>
              <w:rPr>
                <w:sz w:val="20"/>
                <w:szCs w:val="20"/>
                <w:color w:val="auto"/>
              </w:rPr>
            </w:pPr>
            <w:r>
              <w:rPr>
                <w:rFonts w:ascii="Arial" w:cs="Arial" w:eastAsia="Arial" w:hAnsi="Arial"/>
                <w:sz w:val="12"/>
                <w:szCs w:val="12"/>
                <w:b w:val="1"/>
                <w:bCs w:val="1"/>
                <w:color w:val="auto"/>
              </w:rPr>
              <w:t>(unaudited)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(unaudited)</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 forma Revenue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3,956,767</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3,676,894</w:t>
            </w:r>
          </w:p>
        </w:tc>
        <w:tc>
          <w:tcPr>
            <w:tcW w:w="120" w:type="dxa"/>
            <w:vAlign w:val="bottom"/>
            <w:shd w:val="clear" w:color="auto" w:fill="CFF0FC"/>
          </w:tcPr>
          <w:p>
            <w:pPr>
              <w:spacing w:after="0"/>
              <w:rPr>
                <w:sz w:val="15"/>
                <w:szCs w:val="15"/>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Pro forma Net Income including noncontrolling interests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134,046</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205,961</w:t>
            </w:r>
          </w:p>
        </w:tc>
        <w:tc>
          <w:tcPr>
            <w:tcW w:w="120" w:type="dxa"/>
            <w:vAlign w:val="bottom"/>
          </w:tcPr>
          <w:p>
            <w:pPr>
              <w:spacing w:after="0"/>
              <w:rPr>
                <w:sz w:val="16"/>
                <w:szCs w:val="16"/>
                <w:color w:val="auto"/>
              </w:rPr>
            </w:pPr>
          </w:p>
        </w:tc>
      </w:tr>
    </w:tbl>
    <w:p>
      <w:pPr>
        <w:spacing w:after="0" w:line="277"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QRC Technologies</w:t>
      </w:r>
    </w:p>
    <w:p>
      <w:pPr>
        <w:spacing w:after="0" w:line="100" w:lineRule="exact"/>
        <w:rPr>
          <w:sz w:val="20"/>
          <w:szCs w:val="20"/>
          <w:color w:val="auto"/>
        </w:rPr>
      </w:pPr>
    </w:p>
    <w:p>
      <w:pPr>
        <w:ind w:right="40" w:firstLine="737"/>
        <w:spacing w:after="0" w:line="233" w:lineRule="auto"/>
        <w:rPr>
          <w:sz w:val="20"/>
          <w:szCs w:val="20"/>
          <w:color w:val="auto"/>
        </w:rPr>
      </w:pPr>
      <w:r>
        <w:rPr>
          <w:rFonts w:ascii="Arial" w:cs="Arial" w:eastAsia="Arial" w:hAnsi="Arial"/>
          <w:sz w:val="15"/>
          <w:szCs w:val="15"/>
          <w:color w:val="auto"/>
        </w:rPr>
        <w:t>On July 31, 2019 the Company acquired a 100% ownership interest in QRC Technologies (“QRC”), a privately-owned company, for $214.1 million in cash. QRC provides design and development of open-architecture radio-frequency products. The Company borrowed $140.0 million under the Revolving Credit Facility to partially fund the transaction. In connection with this acquisition, the Company recognized $4.9 million of acquisition-related expenses in “Indirect, general and administrative expense” in the consolidated statements of income for the year ended December 31, 2019, including legal fees, consulting fees, and other miscellaneous direct expenses associated with the acquisition. QRC is an agile, disruptive product company that specializes in radio frequency spectrum survey, record and playback; signals intelligence; and electronic warfare missions. QRC complements our existing portfolio, increases our presence in the high-growth markets of spectrum awareness and surveillance, adds critical intellectual property that complements and expands our available capabilities for the Special Operations and Intelligence Communities.</w:t>
      </w:r>
    </w:p>
    <w:p>
      <w:pPr>
        <w:spacing w:after="0" w:line="169" w:lineRule="exact"/>
        <w:rPr>
          <w:sz w:val="20"/>
          <w:szCs w:val="20"/>
          <w:color w:val="auto"/>
        </w:rPr>
      </w:pPr>
    </w:p>
    <w:p>
      <w:pPr>
        <w:ind w:right="140" w:firstLine="737"/>
        <w:spacing w:after="0" w:line="239" w:lineRule="auto"/>
        <w:rPr>
          <w:sz w:val="20"/>
          <w:szCs w:val="20"/>
          <w:color w:val="auto"/>
        </w:rPr>
      </w:pPr>
      <w:r>
        <w:rPr>
          <w:rFonts w:ascii="Arial" w:cs="Arial" w:eastAsia="Arial" w:hAnsi="Arial"/>
          <w:sz w:val="15"/>
          <w:szCs w:val="15"/>
          <w:color w:val="auto"/>
        </w:rPr>
        <w:t>The following table summarizes the estimated fair values of the assets acquired and liabilities assumed based on the purchase price allocation as of the date of acquisition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240" w:type="dxa"/>
            <w:vAlign w:val="bottom"/>
            <w:tcBorders>
              <w:bottom w:val="single" w:sz="8" w:color="CFF0FC"/>
            </w:tcBorders>
          </w:tcPr>
          <w:p>
            <w:pPr>
              <w:spacing w:after="0"/>
              <w:rPr>
                <w:sz w:val="12"/>
                <w:szCs w:val="12"/>
                <w:color w:val="auto"/>
              </w:rPr>
            </w:pPr>
          </w:p>
        </w:tc>
        <w:tc>
          <w:tcPr>
            <w:tcW w:w="50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47"/>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FF0FC"/>
            </w:tcBorders>
          </w:tcPr>
          <w:p>
            <w:pPr>
              <w:spacing w:after="0"/>
              <w:rPr>
                <w:sz w:val="12"/>
                <w:szCs w:val="12"/>
                <w:color w:val="auto"/>
              </w:rPr>
            </w:pPr>
          </w:p>
        </w:tc>
      </w:tr>
      <w:tr>
        <w:trPr>
          <w:trHeight w:val="168"/>
        </w:trPr>
        <w:tc>
          <w:tcPr>
            <w:tcW w:w="42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5440" w:type="dxa"/>
            <w:vAlign w:val="bottom"/>
            <w:gridSpan w:val="2"/>
            <w:shd w:val="clear" w:color="auto" w:fill="CFF0FC"/>
          </w:tcPr>
          <w:p>
            <w:pPr>
              <w:jc w:val="right"/>
              <w:ind w:right="246"/>
              <w:spacing w:after="0" w:line="169" w:lineRule="exact"/>
              <w:rPr>
                <w:sz w:val="20"/>
                <w:szCs w:val="20"/>
                <w:color w:val="auto"/>
              </w:rPr>
            </w:pPr>
            <w:r>
              <w:rPr>
                <w:rFonts w:ascii="Arial" w:cs="Arial" w:eastAsia="Arial" w:hAnsi="Arial"/>
                <w:sz w:val="15"/>
                <w:szCs w:val="15"/>
                <w:color w:val="auto"/>
              </w:rPr>
              <w:t>$</w:t>
            </w: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5,925</w:t>
            </w:r>
          </w:p>
        </w:tc>
        <w:tc>
          <w:tcPr>
            <w:tcW w:w="120" w:type="dxa"/>
            <w:vAlign w:val="bottom"/>
            <w:shd w:val="clear" w:color="auto" w:fill="CFF0FC"/>
          </w:tcPr>
          <w:p>
            <w:pPr>
              <w:spacing w:after="0"/>
              <w:rPr>
                <w:sz w:val="14"/>
                <w:szCs w:val="14"/>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Accounts receivable</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5,587</w:t>
            </w:r>
          </w:p>
        </w:tc>
        <w:tc>
          <w:tcPr>
            <w:tcW w:w="1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Prepaid expenses and other current assets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5,727</w:t>
            </w:r>
          </w:p>
        </w:tc>
        <w:tc>
          <w:tcPr>
            <w:tcW w:w="120" w:type="dxa"/>
            <w:vAlign w:val="bottom"/>
            <w:shd w:val="clear" w:color="auto" w:fill="CFF0FC"/>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Property and equipment</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1,205</w:t>
            </w:r>
          </w:p>
        </w:tc>
        <w:tc>
          <w:tcPr>
            <w:tcW w:w="1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Right of use assets, operating leases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5,228</w:t>
            </w:r>
          </w:p>
        </w:tc>
        <w:tc>
          <w:tcPr>
            <w:tcW w:w="120" w:type="dxa"/>
            <w:vAlign w:val="bottom"/>
            <w:shd w:val="clear" w:color="auto" w:fill="CFF0FC"/>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Goodwill</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125,091</w:t>
            </w:r>
          </w:p>
        </w:tc>
        <w:tc>
          <w:tcPr>
            <w:tcW w:w="120" w:type="dxa"/>
            <w:vAlign w:val="bottom"/>
          </w:tcPr>
          <w:p>
            <w:pPr>
              <w:spacing w:after="0"/>
              <w:rPr>
                <w:sz w:val="15"/>
                <w:szCs w:val="15"/>
                <w:color w:val="auto"/>
              </w:rPr>
            </w:pP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76,200</w:t>
            </w:r>
          </w:p>
        </w:tc>
        <w:tc>
          <w:tcPr>
            <w:tcW w:w="120" w:type="dxa"/>
            <w:vAlign w:val="bottom"/>
            <w:shd w:val="clear" w:color="auto" w:fill="CFF0FC"/>
          </w:tcPr>
          <w:p>
            <w:pPr>
              <w:spacing w:after="0"/>
              <w:rPr>
                <w:sz w:val="15"/>
                <w:szCs w:val="15"/>
                <w:color w:val="auto"/>
              </w:rPr>
            </w:pP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Accounts payable</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(1,567)</w:t>
            </w: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Accrued expenses and other current liabilities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(4,025)</w:t>
            </w:r>
          </w:p>
        </w:tc>
      </w:tr>
      <w:tr>
        <w:trPr>
          <w:trHeight w:val="177"/>
        </w:trPr>
        <w:tc>
          <w:tcPr>
            <w:tcW w:w="4240" w:type="dxa"/>
            <w:vAlign w:val="bottom"/>
          </w:tcPr>
          <w:p>
            <w:pPr>
              <w:spacing w:after="0"/>
              <w:rPr>
                <w:sz w:val="20"/>
                <w:szCs w:val="20"/>
                <w:color w:val="auto"/>
              </w:rPr>
            </w:pPr>
            <w:r>
              <w:rPr>
                <w:rFonts w:ascii="Arial" w:cs="Arial" w:eastAsia="Arial" w:hAnsi="Arial"/>
                <w:sz w:val="15"/>
                <w:szCs w:val="15"/>
                <w:color w:val="auto"/>
              </w:rPr>
              <w:t>Short-term lease liabilities, operating leases</w:t>
            </w:r>
          </w:p>
        </w:tc>
        <w:tc>
          <w:tcPr>
            <w:tcW w:w="5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5"/>
                <w:szCs w:val="15"/>
                <w:color w:val="auto"/>
              </w:rPr>
              <w:t>(545)</w:t>
            </w:r>
          </w:p>
        </w:tc>
      </w:tr>
      <w:tr>
        <w:trPr>
          <w:trHeight w:val="177"/>
        </w:trPr>
        <w:tc>
          <w:tcPr>
            <w:tcW w:w="4240" w:type="dxa"/>
            <w:vAlign w:val="bottom"/>
            <w:shd w:val="clear" w:color="auto" w:fill="CFF0FC"/>
          </w:tcPr>
          <w:p>
            <w:pPr>
              <w:spacing w:after="0"/>
              <w:rPr>
                <w:sz w:val="20"/>
                <w:szCs w:val="20"/>
                <w:color w:val="auto"/>
              </w:rPr>
            </w:pPr>
            <w:r>
              <w:rPr>
                <w:rFonts w:ascii="Arial" w:cs="Arial" w:eastAsia="Arial" w:hAnsi="Arial"/>
                <w:sz w:val="15"/>
                <w:szCs w:val="15"/>
                <w:color w:val="auto"/>
              </w:rPr>
              <w:t>Long-term lease liabilities, operating leases</w:t>
            </w:r>
          </w:p>
        </w:tc>
        <w:tc>
          <w:tcPr>
            <w:tcW w:w="50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(4,683)</w:t>
            </w:r>
          </w:p>
        </w:tc>
      </w:tr>
      <w:tr>
        <w:trPr>
          <w:trHeight w:val="168"/>
        </w:trPr>
        <w:tc>
          <w:tcPr>
            <w:tcW w:w="4240" w:type="dxa"/>
            <w:vAlign w:val="bottom"/>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50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6"/>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214,143</w:t>
            </w:r>
          </w:p>
        </w:tc>
        <w:tc>
          <w:tcPr>
            <w:tcW w:w="120" w:type="dxa"/>
            <w:vAlign w:val="bottom"/>
          </w:tcPr>
          <w:p>
            <w:pPr>
              <w:spacing w:after="0"/>
              <w:rPr>
                <w:sz w:val="14"/>
                <w:szCs w:val="14"/>
                <w:color w:val="auto"/>
              </w:rPr>
            </w:pPr>
          </w:p>
        </w:tc>
      </w:tr>
      <w:tr>
        <w:trPr>
          <w:trHeight w:val="20"/>
        </w:trPr>
        <w:tc>
          <w:tcPr>
            <w:tcW w:w="4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8"/>
        </w:trPr>
        <w:tc>
          <w:tcPr>
            <w:tcW w:w="4240" w:type="dxa"/>
            <w:vAlign w:val="bottom"/>
          </w:tcPr>
          <w:p>
            <w:pPr>
              <w:spacing w:after="0"/>
              <w:rPr>
                <w:sz w:val="24"/>
                <w:szCs w:val="24"/>
                <w:color w:val="auto"/>
              </w:rPr>
            </w:pPr>
          </w:p>
        </w:tc>
        <w:tc>
          <w:tcPr>
            <w:tcW w:w="5440" w:type="dxa"/>
            <w:vAlign w:val="bottom"/>
            <w:gridSpan w:val="2"/>
          </w:tcPr>
          <w:p>
            <w:pPr>
              <w:jc w:val="right"/>
              <w:ind w:right="3806"/>
              <w:spacing w:after="0"/>
              <w:rPr>
                <w:sz w:val="20"/>
                <w:szCs w:val="20"/>
                <w:color w:val="auto"/>
              </w:rPr>
            </w:pPr>
            <w:r>
              <w:rPr>
                <w:rFonts w:ascii="Arial" w:cs="Arial" w:eastAsia="Arial" w:hAnsi="Arial"/>
                <w:sz w:val="15"/>
                <w:szCs w:val="15"/>
                <w:color w:val="auto"/>
              </w:rPr>
              <w:t>F-25</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4240" w:type="dxa"/>
            <w:vAlign w:val="bottom"/>
            <w:tcBorders>
              <w:bottom w:val="single" w:sz="8" w:color="9A9A9A"/>
            </w:tcBorders>
          </w:tcPr>
          <w:p>
            <w:pPr>
              <w:spacing w:after="0"/>
              <w:rPr>
                <w:sz w:val="6"/>
                <w:szCs w:val="6"/>
                <w:color w:val="auto"/>
              </w:rPr>
            </w:pPr>
          </w:p>
        </w:tc>
        <w:tc>
          <w:tcPr>
            <w:tcW w:w="50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tcPr>
          <w:p>
            <w:pPr>
              <w:spacing w:after="0"/>
              <w:rPr>
                <w:sz w:val="12"/>
                <w:szCs w:val="12"/>
                <w:color w:val="auto"/>
              </w:rPr>
            </w:pPr>
          </w:p>
        </w:tc>
        <w:tc>
          <w:tcPr>
            <w:tcW w:w="1040" w:type="dxa"/>
            <w:vAlign w:val="bottom"/>
          </w:tcPr>
          <w:p>
            <w:pPr>
              <w:jc w:val="center"/>
              <w:ind w:left="437"/>
              <w:spacing w:after="0"/>
              <w:rPr>
                <w:sz w:val="20"/>
                <w:szCs w:val="20"/>
                <w:color w:val="auto"/>
              </w:rPr>
            </w:pPr>
            <w:r>
              <w:rPr>
                <w:rFonts w:ascii="Arial" w:cs="Arial" w:eastAsia="Arial" w:hAnsi="Arial"/>
                <w:sz w:val="12"/>
                <w:szCs w:val="12"/>
                <w:b w:val="1"/>
                <w:bCs w:val="1"/>
                <w:color w:val="auto"/>
                <w:w w:val="97"/>
              </w:rPr>
              <w:t>Gross</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7760" w:type="dxa"/>
            <w:vAlign w:val="bottom"/>
          </w:tcPr>
          <w:p>
            <w:pPr>
              <w:spacing w:after="0"/>
              <w:rPr>
                <w:sz w:val="11"/>
                <w:szCs w:val="11"/>
                <w:color w:val="auto"/>
              </w:rPr>
            </w:pPr>
          </w:p>
        </w:tc>
        <w:tc>
          <w:tcPr>
            <w:tcW w:w="1040" w:type="dxa"/>
            <w:vAlign w:val="bottom"/>
          </w:tcPr>
          <w:p>
            <w:pPr>
              <w:jc w:val="center"/>
              <w:ind w:left="417"/>
              <w:spacing w:after="0" w:line="133" w:lineRule="exact"/>
              <w:rPr>
                <w:sz w:val="20"/>
                <w:szCs w:val="20"/>
                <w:color w:val="auto"/>
              </w:rPr>
            </w:pPr>
            <w:r>
              <w:rPr>
                <w:rFonts w:ascii="Arial" w:cs="Arial" w:eastAsia="Arial" w:hAnsi="Arial"/>
                <w:sz w:val="12"/>
                <w:szCs w:val="12"/>
                <w:b w:val="1"/>
                <w:bCs w:val="1"/>
                <w:color w:val="auto"/>
                <w:w w:val="97"/>
              </w:rPr>
              <w:t>Carrying</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rPr>
              <w:t>Amortization</w:t>
            </w:r>
          </w:p>
        </w:tc>
      </w:tr>
      <w:tr>
        <w:trPr>
          <w:trHeight w:val="143"/>
        </w:trPr>
        <w:tc>
          <w:tcPr>
            <w:tcW w:w="7760" w:type="dxa"/>
            <w:vAlign w:val="bottom"/>
          </w:tcPr>
          <w:p>
            <w:pPr>
              <w:spacing w:after="0"/>
              <w:rPr>
                <w:sz w:val="12"/>
                <w:szCs w:val="12"/>
                <w:color w:val="auto"/>
              </w:rPr>
            </w:pPr>
          </w:p>
        </w:tc>
        <w:tc>
          <w:tcPr>
            <w:tcW w:w="1040" w:type="dxa"/>
            <w:vAlign w:val="bottom"/>
            <w:tcBorders>
              <w:bottom w:val="single" w:sz="8" w:color="auto"/>
            </w:tcBorders>
          </w:tcPr>
          <w:p>
            <w:pPr>
              <w:jc w:val="center"/>
              <w:ind w:left="417"/>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Period</w:t>
            </w:r>
          </w:p>
        </w:tc>
        <w:tc>
          <w:tcPr>
            <w:tcW w:w="120" w:type="dxa"/>
            <w:vAlign w:val="bottom"/>
          </w:tcPr>
          <w:p>
            <w:pPr>
              <w:spacing w:after="0"/>
              <w:rPr>
                <w:sz w:val="12"/>
                <w:szCs w:val="12"/>
                <w:color w:val="auto"/>
              </w:rPr>
            </w:pPr>
          </w:p>
        </w:tc>
      </w:tr>
      <w:tr>
        <w:trPr>
          <w:trHeight w:val="135"/>
        </w:trPr>
        <w:tc>
          <w:tcPr>
            <w:tcW w:w="7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rPr>
              <w:t>(in years)</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1040" w:type="dxa"/>
            <w:vAlign w:val="bottom"/>
            <w:shd w:val="clear" w:color="auto" w:fill="CFF0FC"/>
          </w:tcPr>
          <w:p>
            <w:pPr>
              <w:jc w:val="right"/>
              <w:ind w:right="89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49,800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Developed technologies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21,800</w:t>
            </w:r>
          </w:p>
        </w:tc>
        <w:tc>
          <w:tcPr>
            <w:tcW w:w="300" w:type="dxa"/>
            <w:vAlign w:val="bottom"/>
          </w:tcPr>
          <w:p>
            <w:pPr>
              <w:spacing w:after="0"/>
              <w:rPr>
                <w:sz w:val="15"/>
                <w:szCs w:val="15"/>
                <w:color w:val="auto"/>
              </w:rPr>
            </w:pPr>
          </w:p>
        </w:tc>
        <w:tc>
          <w:tcPr>
            <w:tcW w:w="1680" w:type="dxa"/>
            <w:vAlign w:val="bottom"/>
            <w:gridSpan w:val="2"/>
          </w:tcPr>
          <w:p>
            <w:pPr>
              <w:ind w:left="1180"/>
              <w:spacing w:after="0"/>
              <w:rPr>
                <w:sz w:val="20"/>
                <w:szCs w:val="20"/>
                <w:color w:val="auto"/>
              </w:rPr>
            </w:pPr>
            <w:r>
              <w:rPr>
                <w:rFonts w:ascii="Arial" w:cs="Arial" w:eastAsia="Arial" w:hAnsi="Arial"/>
                <w:sz w:val="15"/>
                <w:szCs w:val="15"/>
                <w:color w:val="auto"/>
              </w:rPr>
              <w:t>3 to 5</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In-process research and development</w:t>
            </w: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300" w:type="dxa"/>
            <w:vAlign w:val="bottom"/>
            <w:shd w:val="clear" w:color="auto" w:fill="CFF0FC"/>
          </w:tcPr>
          <w:p>
            <w:pPr>
              <w:spacing w:after="0"/>
              <w:rPr>
                <w:sz w:val="15"/>
                <w:szCs w:val="15"/>
                <w:color w:val="auto"/>
              </w:rPr>
            </w:pPr>
          </w:p>
        </w:tc>
        <w:tc>
          <w:tcPr>
            <w:tcW w:w="1680" w:type="dxa"/>
            <w:vAlign w:val="bottom"/>
            <w:gridSpan w:val="2"/>
            <w:shd w:val="clear" w:color="auto" w:fill="CFF0FC"/>
          </w:tcPr>
          <w:p>
            <w:pPr>
              <w:ind w:left="1180"/>
              <w:spacing w:after="0"/>
              <w:rPr>
                <w:sz w:val="20"/>
                <w:szCs w:val="20"/>
                <w:color w:val="auto"/>
              </w:rPr>
            </w:pPr>
            <w:r>
              <w:rPr>
                <w:rFonts w:ascii="Arial" w:cs="Arial" w:eastAsia="Arial" w:hAnsi="Arial"/>
                <w:sz w:val="15"/>
                <w:szCs w:val="15"/>
                <w:color w:val="auto"/>
              </w:rPr>
              <w:t>3 to 5</w:t>
            </w: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Non-compete agreements</w:t>
            </w:r>
          </w:p>
        </w:tc>
        <w:tc>
          <w:tcPr>
            <w:tcW w:w="10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1,200</w:t>
            </w:r>
          </w:p>
        </w:tc>
        <w:tc>
          <w:tcPr>
            <w:tcW w:w="3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Trade name</w:t>
            </w:r>
          </w:p>
        </w:tc>
        <w:tc>
          <w:tcPr>
            <w:tcW w:w="104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w:t>
            </w:r>
          </w:p>
        </w:tc>
        <w:tc>
          <w:tcPr>
            <w:tcW w:w="30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120" w:type="dxa"/>
            <w:vAlign w:val="bottom"/>
            <w:shd w:val="clear" w:color="auto" w:fill="CFF0FC"/>
          </w:tcPr>
          <w:p>
            <w:pPr>
              <w:spacing w:after="0"/>
              <w:rPr>
                <w:sz w:val="15"/>
                <w:szCs w:val="15"/>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Backlog</w:t>
            </w: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800</w:t>
            </w:r>
          </w:p>
        </w:tc>
        <w:tc>
          <w:tcPr>
            <w:tcW w:w="3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5"/>
                <w:szCs w:val="15"/>
                <w:color w:val="auto"/>
              </w:rPr>
              <w:t>1</w:t>
            </w:r>
          </w:p>
        </w:tc>
        <w:tc>
          <w:tcPr>
            <w:tcW w:w="120" w:type="dxa"/>
            <w:vAlign w:val="bottom"/>
          </w:tcPr>
          <w:p>
            <w:pPr>
              <w:spacing w:after="0"/>
              <w:rPr>
                <w:sz w:val="16"/>
                <w:szCs w:val="16"/>
                <w:color w:val="auto"/>
              </w:rPr>
            </w:pPr>
          </w:p>
        </w:tc>
      </w:tr>
    </w:tbl>
    <w:p>
      <w:pPr>
        <w:spacing w:after="0" w:line="343" w:lineRule="exact"/>
        <w:rPr>
          <w:sz w:val="20"/>
          <w:szCs w:val="20"/>
          <w:color w:val="auto"/>
        </w:rPr>
      </w:pPr>
    </w:p>
    <w:p>
      <w:pPr>
        <w:jc w:val="both"/>
        <w:ind w:right="140" w:firstLine="737"/>
        <w:spacing w:after="0" w:line="236" w:lineRule="auto"/>
        <w:rPr>
          <w:sz w:val="20"/>
          <w:szCs w:val="20"/>
          <w:color w:val="auto"/>
        </w:rPr>
      </w:pPr>
      <w:r>
        <w:rPr>
          <w:rFonts w:ascii="Arial" w:cs="Arial" w:eastAsia="Arial" w:hAnsi="Arial"/>
          <w:sz w:val="15"/>
          <w:szCs w:val="15"/>
          <w:color w:val="auto"/>
        </w:rPr>
        <w:t>Amortization expense of $14.0 million and $5.7 million related to these intangible assets was recorded for the years ended December 31, 2020 and December 31, 2019, respectively. The entire value of goodwill of $125.1 million was assigned to the Federal Solutions reporting unit and represents synergies expected to be realized from this business combination. Goodwill in its entirety is deductible for tax purposes.</w:t>
      </w:r>
    </w:p>
    <w:p>
      <w:pPr>
        <w:spacing w:after="0" w:line="167" w:lineRule="exact"/>
        <w:rPr>
          <w:sz w:val="20"/>
          <w:szCs w:val="20"/>
          <w:color w:val="auto"/>
        </w:rPr>
      </w:pPr>
    </w:p>
    <w:p>
      <w:pPr>
        <w:ind w:right="40" w:firstLine="737"/>
        <w:spacing w:after="0" w:line="239" w:lineRule="auto"/>
        <w:rPr>
          <w:sz w:val="20"/>
          <w:szCs w:val="20"/>
          <w:color w:val="auto"/>
        </w:rPr>
      </w:pPr>
      <w:r>
        <w:rPr>
          <w:rFonts w:ascii="Arial" w:cs="Arial" w:eastAsia="Arial" w:hAnsi="Arial"/>
          <w:sz w:val="15"/>
          <w:szCs w:val="15"/>
          <w:color w:val="auto"/>
        </w:rPr>
        <w:t>The amount of revenue generated by QRC and included within consolidated revenues for the year ended December 31, 2019 is $11.2 million. The Company has determined that the presentation of net income from the date of acquisition is impracticable due to the integration of general corporate functions upon acquisition.</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89" w:lineRule="exact"/>
        <w:rPr>
          <w:sz w:val="20"/>
          <w:szCs w:val="20"/>
          <w:color w:val="auto"/>
        </w:rPr>
      </w:pPr>
    </w:p>
    <w:p>
      <w:pPr>
        <w:ind w:right="180" w:firstLine="737"/>
        <w:spacing w:after="0" w:line="239" w:lineRule="auto"/>
        <w:rPr>
          <w:sz w:val="20"/>
          <w:szCs w:val="20"/>
          <w:color w:val="auto"/>
        </w:rPr>
      </w:pPr>
      <w:r>
        <w:rPr>
          <w:rFonts w:ascii="Arial" w:cs="Arial" w:eastAsia="Arial" w:hAnsi="Arial"/>
          <w:sz w:val="15"/>
          <w:szCs w:val="15"/>
          <w:color w:val="auto"/>
        </w:rPr>
        <w:t>Supplemental information of unaudited pro forma operating results assuming the QRC Technologies acquisition had been consummated as of the beginning of fiscal year 2018 (December 30, 2017) (in thousands) is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2"/>
                <w:szCs w:val="12"/>
                <w:b w:val="1"/>
                <w:bCs w:val="1"/>
                <w:color w:val="auto"/>
              </w:rPr>
              <w:t>2019</w:t>
            </w:r>
          </w:p>
        </w:tc>
        <w:tc>
          <w:tcPr>
            <w:tcW w:w="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35"/>
        </w:trPr>
        <w:tc>
          <w:tcPr>
            <w:tcW w:w="7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394"/>
              <w:spacing w:after="0" w:line="136" w:lineRule="exact"/>
              <w:rPr>
                <w:sz w:val="20"/>
                <w:szCs w:val="20"/>
                <w:color w:val="auto"/>
              </w:rPr>
            </w:pPr>
            <w:r>
              <w:rPr>
                <w:rFonts w:ascii="Arial" w:cs="Arial" w:eastAsia="Arial" w:hAnsi="Arial"/>
                <w:sz w:val="12"/>
                <w:szCs w:val="12"/>
                <w:b w:val="1"/>
                <w:bCs w:val="1"/>
                <w:color w:val="auto"/>
              </w:rPr>
              <w:t>(unaudited)</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2"/>
          </w:tcPr>
          <w:p>
            <w:pPr>
              <w:ind w:left="180"/>
              <w:spacing w:after="0" w:line="136" w:lineRule="exact"/>
              <w:rPr>
                <w:sz w:val="20"/>
                <w:szCs w:val="20"/>
                <w:color w:val="auto"/>
              </w:rPr>
            </w:pPr>
            <w:r>
              <w:rPr>
                <w:rFonts w:ascii="Arial" w:cs="Arial" w:eastAsia="Arial" w:hAnsi="Arial"/>
                <w:sz w:val="12"/>
                <w:szCs w:val="12"/>
                <w:b w:val="1"/>
                <w:bCs w:val="1"/>
                <w:color w:val="auto"/>
              </w:rPr>
              <w:t>(unaudited)</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 forma Revenue</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3,976,361</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3,596,920</w:t>
            </w:r>
          </w:p>
        </w:tc>
        <w:tc>
          <w:tcPr>
            <w:tcW w:w="120" w:type="dxa"/>
            <w:vAlign w:val="bottom"/>
            <w:shd w:val="clear" w:color="auto" w:fill="CFF0FC"/>
          </w:tcPr>
          <w:p>
            <w:pPr>
              <w:spacing w:after="0"/>
              <w:rPr>
                <w:sz w:val="15"/>
                <w:szCs w:val="15"/>
                <w:color w:val="auto"/>
              </w:rPr>
            </w:pPr>
          </w:p>
        </w:tc>
      </w:tr>
      <w:tr>
        <w:trPr>
          <w:trHeight w:val="188"/>
        </w:trPr>
        <w:tc>
          <w:tcPr>
            <w:tcW w:w="7760" w:type="dxa"/>
            <w:vAlign w:val="bottom"/>
          </w:tcPr>
          <w:p>
            <w:pPr>
              <w:spacing w:after="0"/>
              <w:rPr>
                <w:sz w:val="20"/>
                <w:szCs w:val="20"/>
                <w:color w:val="auto"/>
              </w:rPr>
            </w:pPr>
            <w:r>
              <w:rPr>
                <w:rFonts w:ascii="Arial" w:cs="Arial" w:eastAsia="Arial" w:hAnsi="Arial"/>
                <w:sz w:val="15"/>
                <w:szCs w:val="15"/>
                <w:color w:val="auto"/>
              </w:rPr>
              <w:t>Pro forma Net Income</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138,692</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221,930</w:t>
            </w:r>
          </w:p>
        </w:tc>
        <w:tc>
          <w:tcPr>
            <w:tcW w:w="120" w:type="dxa"/>
            <w:vAlign w:val="bottom"/>
          </w:tcPr>
          <w:p>
            <w:pPr>
              <w:spacing w:after="0"/>
              <w:rPr>
                <w:sz w:val="16"/>
                <w:szCs w:val="16"/>
                <w:color w:val="auto"/>
              </w:rPr>
            </w:pPr>
          </w:p>
        </w:tc>
      </w:tr>
    </w:tbl>
    <w:p>
      <w:pPr>
        <w:spacing w:after="0" w:line="77" w:lineRule="exact"/>
        <w:rPr>
          <w:sz w:val="20"/>
          <w:szCs w:val="20"/>
          <w:color w:val="auto"/>
        </w:rPr>
      </w:pPr>
    </w:p>
    <w:p>
      <w:pPr>
        <w:ind w:right="60" w:firstLine="591"/>
        <w:spacing w:after="0" w:line="234"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and the additional pro forma interest expense related to the borrowings under the credit agreement as of the assumed acquisition date.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150"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Braxton Science &amp; Technology Group</w:t>
      </w:r>
    </w:p>
    <w:p>
      <w:pPr>
        <w:spacing w:after="0" w:line="189" w:lineRule="exact"/>
        <w:rPr>
          <w:sz w:val="20"/>
          <w:szCs w:val="20"/>
          <w:color w:val="auto"/>
        </w:rPr>
      </w:pPr>
    </w:p>
    <w:p>
      <w:pPr>
        <w:ind w:right="160" w:firstLine="745"/>
        <w:spacing w:after="0" w:line="235" w:lineRule="auto"/>
        <w:rPr>
          <w:sz w:val="20"/>
          <w:szCs w:val="20"/>
          <w:color w:val="auto"/>
        </w:rPr>
      </w:pPr>
      <w:r>
        <w:rPr>
          <w:rFonts w:ascii="Arial" w:cs="Arial" w:eastAsia="Arial" w:hAnsi="Arial"/>
          <w:sz w:val="15"/>
          <w:szCs w:val="15"/>
          <w:color w:val="auto"/>
        </w:rPr>
        <w:t>On November 19, 2020 the Company acquired a 100% ownership interest in Braxton Science &amp; Technology Group (“Braxton”), a privately-owned company, for $310.9 million in cash. Braxton operates at the forefront of satellite operations, ground system automation, flight dynamics, and spacecraft and antenna simulation for the U.S. Department of Defense and Intelligence Community. The acquisition was entirely funded by cash on hand in August 2020, as described in “Note 12—</w:t>
      </w:r>
      <w:r>
        <w:rPr>
          <w:rFonts w:ascii="Arial" w:cs="Arial" w:eastAsia="Arial" w:hAnsi="Arial"/>
          <w:sz w:val="15"/>
          <w:szCs w:val="15"/>
          <w:i w:val="1"/>
          <w:iCs w:val="1"/>
          <w:color w:val="auto"/>
        </w:rPr>
        <w:t>Debt and Credit</w:t>
      </w:r>
      <w:r>
        <w:rPr>
          <w:rFonts w:ascii="Arial" w:cs="Arial" w:eastAsia="Arial" w:hAnsi="Arial"/>
          <w:sz w:val="15"/>
          <w:szCs w:val="15"/>
          <w:color w:val="auto"/>
        </w:rPr>
        <w:t xml:space="preserve"> </w:t>
      </w:r>
      <w:r>
        <w:rPr>
          <w:rFonts w:ascii="Arial" w:cs="Arial" w:eastAsia="Arial" w:hAnsi="Arial"/>
          <w:sz w:val="15"/>
          <w:szCs w:val="15"/>
          <w:i w:val="1"/>
          <w:iCs w:val="1"/>
          <w:color w:val="auto"/>
        </w:rPr>
        <w:t>Facilities”</w:t>
      </w:r>
      <w:r>
        <w:rPr>
          <w:rFonts w:ascii="Arial" w:cs="Arial" w:eastAsia="Arial" w:hAnsi="Arial"/>
          <w:sz w:val="15"/>
          <w:szCs w:val="15"/>
          <w:color w:val="auto"/>
        </w:rPr>
        <w:t>. In connection with this acquisition, the Company recognized $5.5 million of acquisition-related expense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40"/>
        <w:spacing w:after="0" w:line="236" w:lineRule="auto"/>
        <w:rPr>
          <w:sz w:val="20"/>
          <w:szCs w:val="20"/>
          <w:color w:val="auto"/>
        </w:rPr>
      </w:pPr>
      <w:r>
        <w:rPr>
          <w:rFonts w:ascii="Arial" w:cs="Arial" w:eastAsia="Arial" w:hAnsi="Arial"/>
          <w:sz w:val="15"/>
          <w:szCs w:val="15"/>
          <w:color w:val="auto"/>
        </w:rPr>
        <w:t>“Indirect, general and administrative expense” in the consolidated statements of income for the year ended December 31, 2020, including legal fees, consulting fees, and other miscellaneous direct expenses associated with the acquisition. Braxton allows Parsons to capitalize on the quickly evolving space missions of its national security space customers and address rapid market growth driven by proliferated low earth orbit constellations, small satellite expansion, and space cyber resiliency.</w:t>
      </w:r>
    </w:p>
    <w:p>
      <w:pPr>
        <w:spacing w:after="0" w:line="167" w:lineRule="exact"/>
        <w:rPr>
          <w:sz w:val="20"/>
          <w:szCs w:val="20"/>
          <w:color w:val="auto"/>
        </w:rPr>
      </w:pPr>
    </w:p>
    <w:p>
      <w:pPr>
        <w:ind w:right="120" w:firstLine="737"/>
        <w:spacing w:after="0" w:line="239" w:lineRule="auto"/>
        <w:rPr>
          <w:sz w:val="20"/>
          <w:szCs w:val="20"/>
          <w:color w:val="auto"/>
        </w:rPr>
      </w:pPr>
      <w:r>
        <w:rPr>
          <w:rFonts w:ascii="Arial" w:cs="Arial" w:eastAsia="Arial" w:hAnsi="Arial"/>
          <w:sz w:val="15"/>
          <w:szCs w:val="15"/>
          <w:color w:val="auto"/>
        </w:rPr>
        <w:t>The following table summarizes the estimated fair values of the assets acquired and liabilities assumed based on the preliminary purchase price allocation as of the date of acquisition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100" w:type="dxa"/>
            <w:vAlign w:val="bottom"/>
            <w:tcBorders>
              <w:bottom w:val="single" w:sz="8" w:color="CFF0FC"/>
            </w:tcBorders>
          </w:tcPr>
          <w:p>
            <w:pPr>
              <w:spacing w:after="0"/>
              <w:rPr>
                <w:sz w:val="12"/>
                <w:szCs w:val="12"/>
                <w:color w:val="auto"/>
              </w:rPr>
            </w:pPr>
          </w:p>
        </w:tc>
        <w:tc>
          <w:tcPr>
            <w:tcW w:w="310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687"/>
              <w:spacing w:after="0"/>
              <w:rPr>
                <w:sz w:val="20"/>
                <w:szCs w:val="20"/>
                <w:color w:val="auto"/>
              </w:rPr>
            </w:pPr>
            <w:r>
              <w:rPr>
                <w:rFonts w:ascii="Arial" w:cs="Arial" w:eastAsia="Arial" w:hAnsi="Arial"/>
                <w:sz w:val="12"/>
                <w:szCs w:val="12"/>
                <w:b w:val="1"/>
                <w:bCs w:val="1"/>
                <w:color w:val="auto"/>
              </w:rPr>
              <w:t>Amount</w:t>
            </w:r>
          </w:p>
        </w:tc>
        <w:tc>
          <w:tcPr>
            <w:tcW w:w="120" w:type="dxa"/>
            <w:vAlign w:val="bottom"/>
            <w:tcBorders>
              <w:bottom w:val="single" w:sz="8" w:color="CFF0FC"/>
            </w:tcBorders>
          </w:tcPr>
          <w:p>
            <w:pPr>
              <w:spacing w:after="0"/>
              <w:rPr>
                <w:sz w:val="12"/>
                <w:szCs w:val="12"/>
                <w:color w:val="auto"/>
              </w:rPr>
            </w:pPr>
          </w:p>
        </w:tc>
      </w:tr>
      <w:tr>
        <w:trPr>
          <w:trHeight w:val="168"/>
        </w:trPr>
        <w:tc>
          <w:tcPr>
            <w:tcW w:w="61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Cash and cash equivalents</w:t>
            </w:r>
          </w:p>
        </w:tc>
        <w:tc>
          <w:tcPr>
            <w:tcW w:w="3520" w:type="dxa"/>
            <w:vAlign w:val="bottom"/>
            <w:gridSpan w:val="2"/>
            <w:shd w:val="clear" w:color="auto" w:fill="CFF0FC"/>
          </w:tcPr>
          <w:p>
            <w:pPr>
              <w:jc w:val="right"/>
              <w:ind w:right="340"/>
              <w:spacing w:after="0" w:line="169" w:lineRule="exact"/>
              <w:rPr>
                <w:sz w:val="20"/>
                <w:szCs w:val="20"/>
                <w:color w:val="auto"/>
              </w:rPr>
            </w:pPr>
            <w:r>
              <w:rPr>
                <w:rFonts w:ascii="Arial" w:cs="Arial" w:eastAsia="Arial" w:hAnsi="Arial"/>
                <w:sz w:val="15"/>
                <w:szCs w:val="15"/>
                <w:color w:val="auto"/>
              </w:rPr>
              <w:t>$</w:t>
            </w:r>
          </w:p>
        </w:tc>
        <w:tc>
          <w:tcPr>
            <w:tcW w:w="1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8,042</w:t>
            </w:r>
          </w:p>
        </w:tc>
        <w:tc>
          <w:tcPr>
            <w:tcW w:w="120" w:type="dxa"/>
            <w:vAlign w:val="bottom"/>
            <w:shd w:val="clear" w:color="auto" w:fill="CFF0FC"/>
          </w:tcPr>
          <w:p>
            <w:pPr>
              <w:spacing w:after="0"/>
              <w:rPr>
                <w:sz w:val="14"/>
                <w:szCs w:val="14"/>
                <w:color w:val="auto"/>
              </w:rPr>
            </w:pP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Accounts receivable</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18,163</w:t>
            </w:r>
          </w:p>
        </w:tc>
        <w:tc>
          <w:tcPr>
            <w:tcW w:w="120" w:type="dxa"/>
            <w:vAlign w:val="bottom"/>
          </w:tcPr>
          <w:p>
            <w:pPr>
              <w:spacing w:after="0"/>
              <w:rPr>
                <w:sz w:val="15"/>
                <w:szCs w:val="15"/>
                <w:color w:val="auto"/>
              </w:rPr>
            </w:pPr>
          </w:p>
        </w:tc>
      </w:tr>
      <w:tr>
        <w:trPr>
          <w:trHeight w:val="177"/>
        </w:trPr>
        <w:tc>
          <w:tcPr>
            <w:tcW w:w="6100" w:type="dxa"/>
            <w:vAlign w:val="bottom"/>
            <w:shd w:val="clear" w:color="auto" w:fill="CFF0FC"/>
          </w:tcPr>
          <w:p>
            <w:pPr>
              <w:spacing w:after="0"/>
              <w:rPr>
                <w:sz w:val="20"/>
                <w:szCs w:val="20"/>
                <w:color w:val="auto"/>
              </w:rPr>
            </w:pPr>
            <w:r>
              <w:rPr>
                <w:rFonts w:ascii="Arial" w:cs="Arial" w:eastAsia="Arial" w:hAnsi="Arial"/>
                <w:sz w:val="15"/>
                <w:szCs w:val="15"/>
                <w:color w:val="auto"/>
              </w:rPr>
              <w:t>Contract assets</w:t>
            </w:r>
          </w:p>
        </w:tc>
        <w:tc>
          <w:tcPr>
            <w:tcW w:w="3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8,350</w:t>
            </w:r>
          </w:p>
        </w:tc>
        <w:tc>
          <w:tcPr>
            <w:tcW w:w="120" w:type="dxa"/>
            <w:vAlign w:val="bottom"/>
            <w:shd w:val="clear" w:color="auto" w:fill="CFF0FC"/>
          </w:tcPr>
          <w:p>
            <w:pPr>
              <w:spacing w:after="0"/>
              <w:rPr>
                <w:sz w:val="15"/>
                <w:szCs w:val="15"/>
                <w:color w:val="auto"/>
              </w:rPr>
            </w:pP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Prepaid expenses and other current assets</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3,036</w:t>
            </w:r>
          </w:p>
        </w:tc>
        <w:tc>
          <w:tcPr>
            <w:tcW w:w="120" w:type="dxa"/>
            <w:vAlign w:val="bottom"/>
          </w:tcPr>
          <w:p>
            <w:pPr>
              <w:spacing w:after="0"/>
              <w:rPr>
                <w:sz w:val="15"/>
                <w:szCs w:val="15"/>
                <w:color w:val="auto"/>
              </w:rPr>
            </w:pPr>
          </w:p>
        </w:tc>
      </w:tr>
      <w:tr>
        <w:trPr>
          <w:trHeight w:val="177"/>
        </w:trPr>
        <w:tc>
          <w:tcPr>
            <w:tcW w:w="6100" w:type="dxa"/>
            <w:vAlign w:val="bottom"/>
            <w:shd w:val="clear" w:color="auto" w:fill="CFF0FC"/>
          </w:tcPr>
          <w:p>
            <w:pPr>
              <w:spacing w:after="0"/>
              <w:rPr>
                <w:sz w:val="20"/>
                <w:szCs w:val="20"/>
                <w:color w:val="auto"/>
              </w:rPr>
            </w:pPr>
            <w:r>
              <w:rPr>
                <w:rFonts w:ascii="Arial" w:cs="Arial" w:eastAsia="Arial" w:hAnsi="Arial"/>
                <w:sz w:val="15"/>
                <w:szCs w:val="15"/>
                <w:color w:val="auto"/>
              </w:rPr>
              <w:t>Property and equipment</w:t>
            </w:r>
          </w:p>
        </w:tc>
        <w:tc>
          <w:tcPr>
            <w:tcW w:w="3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5,130</w:t>
            </w:r>
          </w:p>
        </w:tc>
        <w:tc>
          <w:tcPr>
            <w:tcW w:w="120" w:type="dxa"/>
            <w:vAlign w:val="bottom"/>
            <w:shd w:val="clear" w:color="auto" w:fill="CFF0FC"/>
          </w:tcPr>
          <w:p>
            <w:pPr>
              <w:spacing w:after="0"/>
              <w:rPr>
                <w:sz w:val="15"/>
                <w:szCs w:val="15"/>
                <w:color w:val="auto"/>
              </w:rPr>
            </w:pP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Right of use assets, operating leases</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7,553</w:t>
            </w:r>
          </w:p>
        </w:tc>
        <w:tc>
          <w:tcPr>
            <w:tcW w:w="120" w:type="dxa"/>
            <w:vAlign w:val="bottom"/>
          </w:tcPr>
          <w:p>
            <w:pPr>
              <w:spacing w:after="0"/>
              <w:rPr>
                <w:sz w:val="15"/>
                <w:szCs w:val="15"/>
                <w:color w:val="auto"/>
              </w:rPr>
            </w:pPr>
          </w:p>
        </w:tc>
      </w:tr>
      <w:tr>
        <w:trPr>
          <w:trHeight w:val="177"/>
        </w:trPr>
        <w:tc>
          <w:tcPr>
            <w:tcW w:w="6100" w:type="dxa"/>
            <w:vAlign w:val="bottom"/>
            <w:shd w:val="clear" w:color="auto" w:fill="CFF0FC"/>
          </w:tcPr>
          <w:p>
            <w:pPr>
              <w:spacing w:after="0"/>
              <w:rPr>
                <w:sz w:val="20"/>
                <w:szCs w:val="20"/>
                <w:color w:val="auto"/>
              </w:rPr>
            </w:pPr>
            <w:r>
              <w:rPr>
                <w:rFonts w:ascii="Arial" w:cs="Arial" w:eastAsia="Arial" w:hAnsi="Arial"/>
                <w:sz w:val="15"/>
                <w:szCs w:val="15"/>
                <w:color w:val="auto"/>
              </w:rPr>
              <w:t>Goodwill</w:t>
            </w:r>
          </w:p>
        </w:tc>
        <w:tc>
          <w:tcPr>
            <w:tcW w:w="3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213,477</w:t>
            </w:r>
          </w:p>
        </w:tc>
        <w:tc>
          <w:tcPr>
            <w:tcW w:w="120" w:type="dxa"/>
            <w:vAlign w:val="bottom"/>
            <w:shd w:val="clear" w:color="auto" w:fill="CFF0FC"/>
          </w:tcPr>
          <w:p>
            <w:pPr>
              <w:spacing w:after="0"/>
              <w:rPr>
                <w:sz w:val="15"/>
                <w:szCs w:val="15"/>
                <w:color w:val="auto"/>
              </w:rPr>
            </w:pP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Intangible assets</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73,950</w:t>
            </w:r>
          </w:p>
        </w:tc>
        <w:tc>
          <w:tcPr>
            <w:tcW w:w="120" w:type="dxa"/>
            <w:vAlign w:val="bottom"/>
          </w:tcPr>
          <w:p>
            <w:pPr>
              <w:spacing w:after="0"/>
              <w:rPr>
                <w:sz w:val="15"/>
                <w:szCs w:val="15"/>
                <w:color w:val="auto"/>
              </w:rPr>
            </w:pPr>
          </w:p>
        </w:tc>
      </w:tr>
      <w:tr>
        <w:trPr>
          <w:trHeight w:val="177"/>
        </w:trPr>
        <w:tc>
          <w:tcPr>
            <w:tcW w:w="6100" w:type="dxa"/>
            <w:vAlign w:val="bottom"/>
            <w:shd w:val="clear" w:color="auto" w:fill="CFF0FC"/>
          </w:tcPr>
          <w:p>
            <w:pPr>
              <w:spacing w:after="0"/>
              <w:rPr>
                <w:sz w:val="20"/>
                <w:szCs w:val="20"/>
                <w:color w:val="auto"/>
              </w:rPr>
            </w:pPr>
            <w:r>
              <w:rPr>
                <w:rFonts w:ascii="Arial" w:cs="Arial" w:eastAsia="Arial" w:hAnsi="Arial"/>
                <w:sz w:val="15"/>
                <w:szCs w:val="15"/>
                <w:color w:val="auto"/>
              </w:rPr>
              <w:t>Accounts payable</w:t>
            </w:r>
          </w:p>
        </w:tc>
        <w:tc>
          <w:tcPr>
            <w:tcW w:w="3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(7,464)</w:t>
            </w: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Accrued expenses and other current liabilities</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5"/>
                <w:szCs w:val="15"/>
                <w:color w:val="auto"/>
              </w:rPr>
              <w:t>(9,734)</w:t>
            </w:r>
          </w:p>
        </w:tc>
      </w:tr>
      <w:tr>
        <w:trPr>
          <w:trHeight w:val="177"/>
        </w:trPr>
        <w:tc>
          <w:tcPr>
            <w:tcW w:w="6100" w:type="dxa"/>
            <w:vAlign w:val="bottom"/>
            <w:shd w:val="clear" w:color="auto" w:fill="CFF0FC"/>
          </w:tcPr>
          <w:p>
            <w:pPr>
              <w:spacing w:after="0"/>
              <w:rPr>
                <w:sz w:val="20"/>
                <w:szCs w:val="20"/>
                <w:color w:val="auto"/>
              </w:rPr>
            </w:pPr>
            <w:r>
              <w:rPr>
                <w:rFonts w:ascii="Arial" w:cs="Arial" w:eastAsia="Arial" w:hAnsi="Arial"/>
                <w:sz w:val="15"/>
                <w:szCs w:val="15"/>
                <w:color w:val="auto"/>
              </w:rPr>
              <w:t>Contract liabilities</w:t>
            </w:r>
          </w:p>
        </w:tc>
        <w:tc>
          <w:tcPr>
            <w:tcW w:w="3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(300)</w:t>
            </w: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Short-term lease liabilities, operating leases</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5"/>
                <w:szCs w:val="15"/>
                <w:color w:val="auto"/>
              </w:rPr>
              <w:t>(1,762)</w:t>
            </w:r>
          </w:p>
        </w:tc>
      </w:tr>
      <w:tr>
        <w:trPr>
          <w:trHeight w:val="177"/>
        </w:trPr>
        <w:tc>
          <w:tcPr>
            <w:tcW w:w="6100" w:type="dxa"/>
            <w:vAlign w:val="bottom"/>
            <w:shd w:val="clear" w:color="auto" w:fill="CFF0FC"/>
          </w:tcPr>
          <w:p>
            <w:pPr>
              <w:spacing w:after="0"/>
              <w:rPr>
                <w:sz w:val="20"/>
                <w:szCs w:val="20"/>
                <w:color w:val="auto"/>
              </w:rPr>
            </w:pPr>
            <w:r>
              <w:rPr>
                <w:rFonts w:ascii="Arial" w:cs="Arial" w:eastAsia="Arial" w:hAnsi="Arial"/>
                <w:sz w:val="15"/>
                <w:szCs w:val="15"/>
                <w:color w:val="auto"/>
              </w:rPr>
              <w:t>Long-term lease liabilities, operating leases</w:t>
            </w:r>
          </w:p>
        </w:tc>
        <w:tc>
          <w:tcPr>
            <w:tcW w:w="310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(5,791)</w:t>
            </w:r>
          </w:p>
        </w:tc>
      </w:tr>
      <w:tr>
        <w:trPr>
          <w:trHeight w:val="177"/>
        </w:trPr>
        <w:tc>
          <w:tcPr>
            <w:tcW w:w="610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gridSpan w:val="2"/>
          </w:tcPr>
          <w:p>
            <w:pPr>
              <w:jc w:val="right"/>
              <w:ind w:right="80"/>
              <w:spacing w:after="0"/>
              <w:rPr>
                <w:sz w:val="20"/>
                <w:szCs w:val="20"/>
                <w:color w:val="auto"/>
              </w:rPr>
            </w:pPr>
            <w:r>
              <w:rPr>
                <w:rFonts w:ascii="Arial" w:cs="Arial" w:eastAsia="Arial" w:hAnsi="Arial"/>
                <w:sz w:val="15"/>
                <w:szCs w:val="15"/>
                <w:color w:val="auto"/>
              </w:rPr>
              <w:t>(1,714)</w:t>
            </w:r>
          </w:p>
        </w:tc>
      </w:tr>
      <w:tr>
        <w:trPr>
          <w:trHeight w:val="20"/>
        </w:trPr>
        <w:tc>
          <w:tcPr>
            <w:tcW w:w="610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610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assets acquired</w:t>
            </w:r>
          </w:p>
        </w:tc>
        <w:tc>
          <w:tcPr>
            <w:tcW w:w="3520" w:type="dxa"/>
            <w:vAlign w:val="bottom"/>
            <w:gridSpan w:val="2"/>
            <w:shd w:val="clear" w:color="auto" w:fill="CFF0FC"/>
          </w:tcPr>
          <w:p>
            <w:pPr>
              <w:jc w:val="right"/>
              <w:ind w:right="340"/>
              <w:spacing w:after="0" w:line="169" w:lineRule="exact"/>
              <w:rPr>
                <w:sz w:val="20"/>
                <w:szCs w:val="20"/>
                <w:color w:val="auto"/>
              </w:rPr>
            </w:pPr>
            <w:r>
              <w:rPr>
                <w:rFonts w:ascii="Arial" w:cs="Arial" w:eastAsia="Arial" w:hAnsi="Arial"/>
                <w:sz w:val="15"/>
                <w:szCs w:val="15"/>
                <w:color w:val="auto"/>
              </w:rPr>
              <w:t>$</w:t>
            </w:r>
          </w:p>
        </w:tc>
        <w:tc>
          <w:tcPr>
            <w:tcW w:w="1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310,936</w:t>
            </w:r>
          </w:p>
        </w:tc>
        <w:tc>
          <w:tcPr>
            <w:tcW w:w="120" w:type="dxa"/>
            <w:vAlign w:val="bottom"/>
            <w:shd w:val="clear" w:color="auto" w:fill="CFF0FC"/>
          </w:tcPr>
          <w:p>
            <w:pPr>
              <w:spacing w:after="0"/>
              <w:rPr>
                <w:sz w:val="14"/>
                <w:szCs w:val="14"/>
                <w:color w:val="auto"/>
              </w:rPr>
            </w:pPr>
          </w:p>
        </w:tc>
      </w:tr>
      <w:tr>
        <w:trPr>
          <w:trHeight w:val="20"/>
        </w:trPr>
        <w:tc>
          <w:tcPr>
            <w:tcW w:w="610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Of the total purchase price, the following values were assigned to intangible assets (in thousands, except for years):</w:t>
      </w:r>
    </w:p>
    <w:tbl>
      <w:tblPr>
        <w:tblLayout w:type="fixed"/>
        <w:tblInd w:w="0" w:type="dxa"/>
        <w:tblCellMar>
          <w:top w:w="0" w:type="dxa"/>
          <w:left w:w="0" w:type="dxa"/>
          <w:bottom w:w="0" w:type="dxa"/>
          <w:right w:w="0" w:type="dxa"/>
        </w:tblCellMar>
      </w:tblPr>
      <w:tr>
        <w:trPr>
          <w:trHeight w:val="128"/>
        </w:trPr>
        <w:tc>
          <w:tcPr>
            <w:tcW w:w="4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80" w:type="dxa"/>
            <w:vAlign w:val="bottom"/>
          </w:tcPr>
          <w:p>
            <w:pPr>
              <w:jc w:val="center"/>
              <w:ind w:left="441"/>
              <w:spacing w:after="0" w:line="129" w:lineRule="exact"/>
              <w:rPr>
                <w:sz w:val="20"/>
                <w:szCs w:val="20"/>
                <w:color w:val="auto"/>
              </w:rPr>
            </w:pPr>
            <w:r>
              <w:rPr>
                <w:rFonts w:ascii="Arial" w:cs="Arial" w:eastAsia="Arial" w:hAnsi="Arial"/>
                <w:sz w:val="12"/>
                <w:szCs w:val="12"/>
                <w:b w:val="1"/>
                <w:bCs w:val="1"/>
                <w:color w:val="auto"/>
                <w:w w:val="97"/>
              </w:rPr>
              <w:t>Gross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Pr>
          <w:p>
            <w:pPr>
              <w:spacing w:after="0"/>
              <w:rPr>
                <w:sz w:val="11"/>
                <w:szCs w:val="11"/>
                <w:color w:val="auto"/>
              </w:rPr>
            </w:pPr>
          </w:p>
        </w:tc>
      </w:tr>
      <w:tr>
        <w:trPr>
          <w:trHeight w:val="133"/>
        </w:trPr>
        <w:tc>
          <w:tcPr>
            <w:tcW w:w="46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080" w:type="dxa"/>
            <w:vAlign w:val="bottom"/>
          </w:tcPr>
          <w:p>
            <w:pPr>
              <w:jc w:val="center"/>
              <w:ind w:left="461"/>
              <w:spacing w:after="0" w:line="133" w:lineRule="exact"/>
              <w:rPr>
                <w:sz w:val="20"/>
                <w:szCs w:val="20"/>
                <w:color w:val="auto"/>
              </w:rPr>
            </w:pPr>
            <w:r>
              <w:rPr>
                <w:rFonts w:ascii="Arial" w:cs="Arial" w:eastAsia="Arial" w:hAnsi="Arial"/>
                <w:sz w:val="12"/>
                <w:szCs w:val="12"/>
                <w:b w:val="1"/>
                <w:bCs w:val="1"/>
                <w:color w:val="auto"/>
                <w:w w:val="97"/>
              </w:rPr>
              <w:t>Carrying</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Amortization</w:t>
            </w:r>
          </w:p>
        </w:tc>
      </w:tr>
      <w:tr>
        <w:trPr>
          <w:trHeight w:val="143"/>
        </w:trPr>
        <w:tc>
          <w:tcPr>
            <w:tcW w:w="468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80" w:type="dxa"/>
            <w:vAlign w:val="bottom"/>
            <w:tcBorders>
              <w:bottom w:val="single" w:sz="8" w:color="auto"/>
            </w:tcBorders>
          </w:tcPr>
          <w:p>
            <w:pPr>
              <w:jc w:val="center"/>
              <w:ind w:left="461"/>
              <w:spacing w:after="0"/>
              <w:rPr>
                <w:sz w:val="20"/>
                <w:szCs w:val="20"/>
                <w:color w:val="auto"/>
              </w:rPr>
            </w:pPr>
            <w:r>
              <w:rPr>
                <w:rFonts w:ascii="Arial" w:cs="Arial" w:eastAsia="Arial" w:hAnsi="Arial"/>
                <w:sz w:val="12"/>
                <w:szCs w:val="12"/>
                <w:b w:val="1"/>
                <w:bCs w:val="1"/>
                <w:color w:val="auto"/>
                <w:w w:val="96"/>
              </w:rPr>
              <w:t>Amount</w:t>
            </w:r>
          </w:p>
        </w:tc>
        <w:tc>
          <w:tcPr>
            <w:tcW w:w="5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Period</w:t>
            </w:r>
          </w:p>
        </w:tc>
      </w:tr>
      <w:tr>
        <w:trPr>
          <w:trHeight w:val="168"/>
        </w:trPr>
        <w:tc>
          <w:tcPr>
            <w:tcW w:w="46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2"/>
                <w:szCs w:val="12"/>
                <w:color w:val="auto"/>
                <w:w w:val="99"/>
              </w:rPr>
              <w:t>(in years)</w:t>
            </w:r>
          </w:p>
        </w:tc>
      </w:tr>
      <w:tr>
        <w:trPr>
          <w:trHeight w:val="177"/>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Customer relationships</w:t>
            </w:r>
          </w:p>
        </w:tc>
        <w:tc>
          <w:tcPr>
            <w:tcW w:w="4060" w:type="dxa"/>
            <w:vAlign w:val="bottom"/>
            <w:gridSpan w:val="2"/>
            <w:shd w:val="clear" w:color="auto" w:fill="CFF0FC"/>
          </w:tcPr>
          <w:p>
            <w:pPr>
              <w:jc w:val="right"/>
              <w:ind w:right="941"/>
              <w:spacing w:after="0"/>
              <w:rPr>
                <w:sz w:val="20"/>
                <w:szCs w:val="20"/>
                <w:color w:val="auto"/>
              </w:rPr>
            </w:pPr>
            <w:r>
              <w:rPr>
                <w:rFonts w:ascii="Arial" w:cs="Arial" w:eastAsia="Arial" w:hAnsi="Arial"/>
                <w:sz w:val="15"/>
                <w:szCs w:val="15"/>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35,600</w:t>
            </w:r>
          </w:p>
        </w:tc>
        <w:tc>
          <w:tcPr>
            <w:tcW w:w="30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r>
      <w:tr>
        <w:trPr>
          <w:trHeight w:val="177"/>
        </w:trPr>
        <w:tc>
          <w:tcPr>
            <w:tcW w:w="4680" w:type="dxa"/>
            <w:vAlign w:val="bottom"/>
          </w:tcPr>
          <w:p>
            <w:pPr>
              <w:spacing w:after="0"/>
              <w:rPr>
                <w:sz w:val="20"/>
                <w:szCs w:val="20"/>
                <w:color w:val="auto"/>
              </w:rPr>
            </w:pPr>
            <w:r>
              <w:rPr>
                <w:rFonts w:ascii="Arial" w:cs="Arial" w:eastAsia="Arial" w:hAnsi="Arial"/>
                <w:sz w:val="15"/>
                <w:szCs w:val="15"/>
                <w:color w:val="auto"/>
              </w:rPr>
              <w:t>Developed technologies</w:t>
            </w:r>
          </w:p>
        </w:tc>
        <w:tc>
          <w:tcPr>
            <w:tcW w:w="2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1,100</w:t>
            </w:r>
          </w:p>
        </w:tc>
        <w:tc>
          <w:tcPr>
            <w:tcW w:w="3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177"/>
        </w:trPr>
        <w:tc>
          <w:tcPr>
            <w:tcW w:w="4680" w:type="dxa"/>
            <w:vAlign w:val="bottom"/>
            <w:shd w:val="clear" w:color="auto" w:fill="CFF0FC"/>
          </w:tcPr>
          <w:p>
            <w:pPr>
              <w:spacing w:after="0"/>
              <w:rPr>
                <w:sz w:val="20"/>
                <w:szCs w:val="20"/>
                <w:color w:val="auto"/>
              </w:rPr>
            </w:pPr>
            <w:r>
              <w:rPr>
                <w:rFonts w:ascii="Arial" w:cs="Arial" w:eastAsia="Arial" w:hAnsi="Arial"/>
                <w:sz w:val="15"/>
                <w:szCs w:val="15"/>
                <w:color w:val="auto"/>
              </w:rPr>
              <w:t>Non-compete agreements</w:t>
            </w:r>
          </w:p>
        </w:tc>
        <w:tc>
          <w:tcPr>
            <w:tcW w:w="29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650</w:t>
            </w:r>
          </w:p>
        </w:tc>
        <w:tc>
          <w:tcPr>
            <w:tcW w:w="30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w:t>
            </w:r>
          </w:p>
        </w:tc>
      </w:tr>
      <w:tr>
        <w:trPr>
          <w:trHeight w:val="188"/>
        </w:trPr>
        <w:tc>
          <w:tcPr>
            <w:tcW w:w="4680" w:type="dxa"/>
            <w:vAlign w:val="bottom"/>
          </w:tcPr>
          <w:p>
            <w:pPr>
              <w:spacing w:after="0"/>
              <w:rPr>
                <w:sz w:val="20"/>
                <w:szCs w:val="20"/>
                <w:color w:val="auto"/>
              </w:rPr>
            </w:pPr>
            <w:r>
              <w:rPr>
                <w:rFonts w:ascii="Arial" w:cs="Arial" w:eastAsia="Arial" w:hAnsi="Arial"/>
                <w:sz w:val="15"/>
                <w:szCs w:val="15"/>
                <w:color w:val="auto"/>
              </w:rPr>
              <w:t>Backlog</w:t>
            </w:r>
          </w:p>
        </w:tc>
        <w:tc>
          <w:tcPr>
            <w:tcW w:w="2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36,600</w:t>
            </w:r>
          </w:p>
        </w:tc>
        <w:tc>
          <w:tcPr>
            <w:tcW w:w="30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w:t>
            </w:r>
          </w:p>
        </w:tc>
      </w:tr>
    </w:tbl>
    <w:p>
      <w:pPr>
        <w:spacing w:after="0" w:line="343" w:lineRule="exact"/>
        <w:rPr>
          <w:sz w:val="20"/>
          <w:szCs w:val="20"/>
          <w:color w:val="auto"/>
        </w:rPr>
      </w:pPr>
    </w:p>
    <w:p>
      <w:pPr>
        <w:jc w:val="both"/>
        <w:ind w:right="220" w:firstLine="737"/>
        <w:spacing w:after="0" w:line="236" w:lineRule="auto"/>
        <w:rPr>
          <w:sz w:val="20"/>
          <w:szCs w:val="20"/>
          <w:color w:val="auto"/>
        </w:rPr>
      </w:pPr>
      <w:r>
        <w:rPr>
          <w:rFonts w:ascii="Arial" w:cs="Arial" w:eastAsia="Arial" w:hAnsi="Arial"/>
          <w:sz w:val="15"/>
          <w:szCs w:val="15"/>
          <w:color w:val="auto"/>
        </w:rPr>
        <w:t>Amortization expense of $1.3 million related to these intangible assets was recorded for the year ended December 31, 2020. The entire value of goodwill was assigned to the Federal Solutions reporting unit and represents synergies expected to be realized from this business combination. Goodwill of $195.0 million is deductible for tax purposes.</w:t>
      </w:r>
    </w:p>
    <w:p>
      <w:pPr>
        <w:spacing w:after="0" w:line="167"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The Company is still in the process of finalizing its valuation of the net assets acquired.</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5"/>
          <w:szCs w:val="15"/>
          <w:b w:val="1"/>
          <w:bCs w:val="1"/>
          <w:color w:val="auto"/>
        </w:rPr>
        <w:t>Supplemental Pro Forma Information (Unaudited)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340" w:firstLine="737"/>
        <w:spacing w:after="0" w:line="239" w:lineRule="auto"/>
        <w:rPr>
          <w:sz w:val="20"/>
          <w:szCs w:val="20"/>
          <w:color w:val="auto"/>
        </w:rPr>
      </w:pPr>
      <w:r>
        <w:rPr>
          <w:rFonts w:ascii="Arial" w:cs="Arial" w:eastAsia="Arial" w:hAnsi="Arial"/>
          <w:sz w:val="15"/>
          <w:szCs w:val="15"/>
          <w:color w:val="auto"/>
        </w:rPr>
        <w:t>Supplemental information of unaudited pro forma operating results assuming the Braxton acquisition had been consummated as of the beginning of 2019 (in thousands) is as follows: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2"/>
                <w:szCs w:val="12"/>
                <w:b w:val="1"/>
                <w:bCs w:val="1"/>
                <w:color w:val="auto"/>
              </w:rPr>
              <w:t>2020</w:t>
            </w:r>
          </w:p>
        </w:tc>
        <w:tc>
          <w:tcPr>
            <w:tcW w:w="42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2"/>
                <w:szCs w:val="12"/>
                <w:b w:val="1"/>
                <w:bCs w:val="1"/>
                <w:color w:val="auto"/>
              </w:rPr>
              <w:t>2019</w:t>
            </w:r>
          </w:p>
        </w:tc>
      </w:tr>
      <w:tr>
        <w:trPr>
          <w:trHeight w:val="146"/>
        </w:trPr>
        <w:tc>
          <w:tcPr>
            <w:tcW w:w="7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jc w:val="right"/>
              <w:ind w:right="534"/>
              <w:spacing w:after="0"/>
              <w:rPr>
                <w:sz w:val="20"/>
                <w:szCs w:val="20"/>
                <w:color w:val="auto"/>
              </w:rPr>
            </w:pPr>
            <w:r>
              <w:rPr>
                <w:rFonts w:ascii="Arial" w:cs="Arial" w:eastAsia="Arial" w:hAnsi="Arial"/>
                <w:sz w:val="12"/>
                <w:szCs w:val="12"/>
                <w:b w:val="1"/>
                <w:bCs w:val="1"/>
                <w:color w:val="auto"/>
              </w:rPr>
              <w:t>(unaudited)</w:t>
            </w:r>
          </w:p>
        </w:tc>
        <w:tc>
          <w:tcPr>
            <w:tcW w:w="420" w:type="dxa"/>
            <w:vAlign w:val="bottom"/>
          </w:tcPr>
          <w:p>
            <w:pPr>
              <w:spacing w:after="0"/>
              <w:rPr>
                <w:sz w:val="12"/>
                <w:szCs w:val="12"/>
                <w:color w:val="auto"/>
              </w:rPr>
            </w:pPr>
          </w:p>
        </w:tc>
        <w:tc>
          <w:tcPr>
            <w:tcW w:w="1420" w:type="dxa"/>
            <w:vAlign w:val="bottom"/>
          </w:tcPr>
          <w:p>
            <w:pPr>
              <w:jc w:val="right"/>
              <w:ind w:right="514"/>
              <w:spacing w:after="0"/>
              <w:rPr>
                <w:sz w:val="20"/>
                <w:szCs w:val="20"/>
                <w:color w:val="auto"/>
              </w:rPr>
            </w:pPr>
            <w:r>
              <w:rPr>
                <w:rFonts w:ascii="Arial" w:cs="Arial" w:eastAsia="Arial" w:hAnsi="Arial"/>
                <w:sz w:val="12"/>
                <w:szCs w:val="12"/>
                <w:b w:val="1"/>
                <w:bCs w:val="1"/>
                <w:color w:val="auto"/>
              </w:rPr>
              <w:t>(unaudited)</w:t>
            </w:r>
          </w:p>
        </w:tc>
      </w:tr>
      <w:tr>
        <w:trPr>
          <w:trHeight w:val="167"/>
        </w:trPr>
        <w:tc>
          <w:tcPr>
            <w:tcW w:w="7760" w:type="dxa"/>
            <w:vAlign w:val="bottom"/>
          </w:tcPr>
          <w:p>
            <w:pPr>
              <w:spacing w:after="0" w:line="167" w:lineRule="exact"/>
              <w:rPr>
                <w:sz w:val="20"/>
                <w:szCs w:val="20"/>
                <w:color w:val="auto"/>
              </w:rPr>
            </w:pPr>
            <w:r>
              <w:rPr>
                <w:rFonts w:ascii="Arial" w:cs="Arial" w:eastAsia="Arial" w:hAnsi="Arial"/>
                <w:sz w:val="15"/>
                <w:szCs w:val="15"/>
                <w:color w:val="auto"/>
              </w:rPr>
              <w:t>Pro forma Revenue</w:t>
            </w:r>
          </w:p>
        </w:tc>
        <w:tc>
          <w:tcPr>
            <w:tcW w:w="260" w:type="dxa"/>
            <w:vAlign w:val="bottom"/>
          </w:tcPr>
          <w:p>
            <w:pPr>
              <w:jc w:val="right"/>
              <w:ind w:right="106"/>
              <w:spacing w:after="0" w:line="167" w:lineRule="exact"/>
              <w:rPr>
                <w:sz w:val="20"/>
                <w:szCs w:val="20"/>
                <w:color w:val="auto"/>
              </w:rPr>
            </w:pPr>
            <w:r>
              <w:rPr>
                <w:rFonts w:ascii="Arial" w:cs="Arial" w:eastAsia="Arial" w:hAnsi="Arial"/>
                <w:sz w:val="15"/>
                <w:szCs w:val="15"/>
                <w:color w:val="auto"/>
                <w:w w:val="71"/>
              </w:rPr>
              <w:t>$</w:t>
            </w:r>
          </w:p>
        </w:tc>
        <w:tc>
          <w:tcPr>
            <w:tcW w:w="1420" w:type="dxa"/>
            <w:vAlign w:val="bottom"/>
          </w:tcPr>
          <w:p>
            <w:pPr>
              <w:jc w:val="right"/>
              <w:ind w:right="74"/>
              <w:spacing w:after="0" w:line="167" w:lineRule="exact"/>
              <w:rPr>
                <w:sz w:val="20"/>
                <w:szCs w:val="20"/>
                <w:color w:val="auto"/>
              </w:rPr>
            </w:pPr>
            <w:r>
              <w:rPr>
                <w:rFonts w:ascii="Arial" w:cs="Arial" w:eastAsia="Arial" w:hAnsi="Arial"/>
                <w:sz w:val="15"/>
                <w:szCs w:val="15"/>
                <w:color w:val="auto"/>
              </w:rPr>
              <w:t>4,039,420</w:t>
            </w:r>
          </w:p>
        </w:tc>
        <w:tc>
          <w:tcPr>
            <w:tcW w:w="420" w:type="dxa"/>
            <w:vAlign w:val="bottom"/>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420" w:type="dxa"/>
            <w:vAlign w:val="bottom"/>
          </w:tcPr>
          <w:p>
            <w:pPr>
              <w:jc w:val="right"/>
              <w:ind w:right="74"/>
              <w:spacing w:after="0" w:line="167" w:lineRule="exact"/>
              <w:rPr>
                <w:sz w:val="20"/>
                <w:szCs w:val="20"/>
                <w:color w:val="auto"/>
              </w:rPr>
            </w:pPr>
            <w:r>
              <w:rPr>
                <w:rFonts w:ascii="Arial" w:cs="Arial" w:eastAsia="Arial" w:hAnsi="Arial"/>
                <w:sz w:val="15"/>
                <w:szCs w:val="15"/>
                <w:color w:val="auto"/>
              </w:rPr>
              <w:t>4,042,810</w:t>
            </w: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Pro forma Net Income</w:t>
            </w:r>
          </w:p>
        </w:tc>
        <w:tc>
          <w:tcPr>
            <w:tcW w:w="26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rPr>
              <w:t>125,298</w:t>
            </w:r>
          </w:p>
        </w:tc>
        <w:tc>
          <w:tcPr>
            <w:tcW w:w="420" w:type="dxa"/>
            <w:vAlign w:val="bottom"/>
            <w:shd w:val="clear" w:color="auto" w:fill="CFF0FC"/>
          </w:tcPr>
          <w:p>
            <w:pPr>
              <w:spacing w:after="0"/>
              <w:rPr>
                <w:sz w:val="15"/>
                <w:szCs w:val="15"/>
                <w:color w:val="auto"/>
              </w:rPr>
            </w:pPr>
          </w:p>
        </w:tc>
        <w:tc>
          <w:tcPr>
            <w:tcW w:w="142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rPr>
              <w:t>126,076</w:t>
            </w:r>
          </w:p>
        </w:tc>
      </w:tr>
    </w:tbl>
    <w:p>
      <w:pPr>
        <w:spacing w:after="0" w:line="177" w:lineRule="exact"/>
        <w:rPr>
          <w:sz w:val="20"/>
          <w:szCs w:val="20"/>
          <w:color w:val="auto"/>
        </w:rPr>
      </w:pPr>
    </w:p>
    <w:p>
      <w:pPr>
        <w:ind w:right="100" w:firstLine="737"/>
        <w:spacing w:after="0" w:line="235" w:lineRule="auto"/>
        <w:rPr>
          <w:sz w:val="20"/>
          <w:szCs w:val="20"/>
          <w:color w:val="auto"/>
        </w:rPr>
      </w:pPr>
      <w:r>
        <w:rPr>
          <w:rFonts w:ascii="Arial" w:cs="Arial" w:eastAsia="Arial" w:hAnsi="Arial"/>
          <w:sz w:val="15"/>
          <w:szCs w:val="15"/>
          <w:color w:val="auto"/>
        </w:rPr>
        <w:t>The unaudited pro forma supplemental information is based on estimates and assumptions which the Company believes are reasonable and reflects the pro forma impact of additional amortization related to the fair value of acquired intangible assets, the pro forma impact of reflecting acquisition costs, which consisted of legal, advisory and due diligence fees and expenses. This supplemental pro forma information has been prepared for comparative purposes and does not purport to be indicative of what would have occurred had the acquisition been consummated during the periods for which pro forma information is presented.</w:t>
      </w:r>
    </w:p>
    <w:p>
      <w:pPr>
        <w:spacing w:after="0" w:line="200" w:lineRule="exact"/>
        <w:rPr>
          <w:sz w:val="20"/>
          <w:szCs w:val="20"/>
          <w:color w:val="auto"/>
        </w:rPr>
      </w:pPr>
    </w:p>
    <w:p>
      <w:pPr>
        <w:spacing w:after="0" w:line="325" w:lineRule="exact"/>
        <w:rPr>
          <w:sz w:val="20"/>
          <w:szCs w:val="20"/>
          <w:color w:val="auto"/>
        </w:rPr>
      </w:pPr>
    </w:p>
    <w:p>
      <w:pPr>
        <w:ind w:left="600" w:right="8760" w:hanging="591"/>
        <w:spacing w:after="0" w:line="393" w:lineRule="auto"/>
        <w:tabs>
          <w:tab w:leader="none" w:pos="597"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Contracts with Customers </w:t>
      </w:r>
      <w:r>
        <w:rPr>
          <w:rFonts w:ascii="Arial" w:cs="Arial" w:eastAsia="Arial" w:hAnsi="Arial"/>
          <w:sz w:val="14"/>
          <w:szCs w:val="14"/>
          <w:b w:val="1"/>
          <w:bCs w:val="1"/>
          <w:i w:val="1"/>
          <w:iCs w:val="1"/>
          <w:color w:val="auto"/>
        </w:rPr>
        <w:t>Disaggregation of Revenue</w:t>
      </w:r>
    </w:p>
    <w:p>
      <w:pPr>
        <w:spacing w:after="0" w:line="1" w:lineRule="exact"/>
        <w:rPr>
          <w:sz w:val="20"/>
          <w:szCs w:val="20"/>
          <w:color w:val="auto"/>
        </w:rPr>
      </w:pPr>
    </w:p>
    <w:p>
      <w:pPr>
        <w:ind w:right="160" w:firstLine="591"/>
        <w:spacing w:after="0" w:line="239" w:lineRule="auto"/>
        <w:rPr>
          <w:sz w:val="20"/>
          <w:szCs w:val="20"/>
          <w:color w:val="auto"/>
        </w:rPr>
      </w:pPr>
      <w:r>
        <w:rPr>
          <w:rFonts w:ascii="Arial" w:cs="Arial" w:eastAsia="Arial" w:hAnsi="Arial"/>
          <w:sz w:val="15"/>
          <w:szCs w:val="15"/>
          <w:color w:val="auto"/>
        </w:rPr>
        <w:t>The Company’s contracts contain both fixed price and cost reimbursable components. Contract types are based on the component that represents the majority of the contract. The following table presents revenue disaggregated by contract type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w:t>
            </w:r>
          </w:p>
        </w:tc>
        <w:tc>
          <w:tcPr>
            <w:tcW w:w="400" w:type="dxa"/>
            <w:vAlign w:val="bottom"/>
          </w:tcPr>
          <w:p>
            <w:pPr>
              <w:spacing w:after="0"/>
              <w:rPr>
                <w:sz w:val="12"/>
                <w:szCs w:val="12"/>
                <w:color w:val="auto"/>
              </w:rPr>
            </w:pPr>
          </w:p>
        </w:tc>
        <w:tc>
          <w:tcPr>
            <w:tcW w:w="1480" w:type="dxa"/>
            <w:vAlign w:val="bottom"/>
            <w:gridSpan w:val="2"/>
          </w:tcPr>
          <w:p>
            <w:pPr>
              <w:ind w:left="180"/>
              <w:spacing w:after="0"/>
              <w:rPr>
                <w:sz w:val="20"/>
                <w:szCs w:val="20"/>
                <w:color w:val="auto"/>
              </w:rPr>
            </w:pPr>
            <w:r>
              <w:rPr>
                <w:rFonts w:ascii="Arial" w:cs="Arial" w:eastAsia="Arial" w:hAnsi="Arial"/>
                <w:sz w:val="12"/>
                <w:szCs w:val="12"/>
                <w:b w:val="1"/>
                <w:bCs w:val="1"/>
                <w:color w:val="auto"/>
              </w:rPr>
              <w:t>December 31,</w:t>
            </w:r>
          </w:p>
        </w:tc>
        <w:tc>
          <w:tcPr>
            <w:tcW w:w="420" w:type="dxa"/>
            <w:vAlign w:val="bottom"/>
          </w:tcPr>
          <w:p>
            <w:pPr>
              <w:spacing w:after="0"/>
              <w:rPr>
                <w:sz w:val="12"/>
                <w:szCs w:val="12"/>
                <w:color w:val="auto"/>
              </w:rPr>
            </w:pPr>
          </w:p>
        </w:tc>
        <w:tc>
          <w:tcPr>
            <w:tcW w:w="1480" w:type="dxa"/>
            <w:vAlign w:val="bottom"/>
            <w:gridSpan w:val="2"/>
          </w:tcPr>
          <w:p>
            <w:pPr>
              <w:ind w:left="160"/>
              <w:spacing w:after="0"/>
              <w:rPr>
                <w:sz w:val="20"/>
                <w:szCs w:val="20"/>
                <w:color w:val="auto"/>
              </w:rPr>
            </w:pPr>
            <w:r>
              <w:rPr>
                <w:rFonts w:ascii="Arial" w:cs="Arial" w:eastAsia="Arial" w:hAnsi="Arial"/>
                <w:sz w:val="12"/>
                <w:szCs w:val="12"/>
                <w:b w:val="1"/>
                <w:bCs w:val="1"/>
                <w:color w:val="auto"/>
              </w:rPr>
              <w:t>December 31,</w:t>
            </w:r>
          </w:p>
        </w:tc>
      </w:tr>
      <w:tr>
        <w:trPr>
          <w:trHeight w:val="143"/>
        </w:trPr>
        <w:tc>
          <w:tcPr>
            <w:tcW w:w="5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591"/>
              <w:spacing w:after="0"/>
              <w:rPr>
                <w:sz w:val="20"/>
                <w:szCs w:val="20"/>
                <w:color w:val="auto"/>
              </w:rPr>
            </w:pPr>
            <w:r>
              <w:rPr>
                <w:rFonts w:ascii="Arial" w:cs="Arial" w:eastAsia="Arial" w:hAnsi="Arial"/>
                <w:sz w:val="12"/>
                <w:szCs w:val="12"/>
                <w:b w:val="1"/>
                <w:bCs w:val="1"/>
                <w:color w:val="auto"/>
              </w:rPr>
              <w:t>2020</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tcPr>
          <w:p>
            <w:pPr>
              <w:jc w:val="right"/>
              <w:ind w:right="611"/>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611"/>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77"/>
        </w:trPr>
        <w:tc>
          <w:tcPr>
            <w:tcW w:w="5780" w:type="dxa"/>
            <w:vAlign w:val="bottom"/>
            <w:shd w:val="clear" w:color="auto" w:fill="CFF0FC"/>
          </w:tcPr>
          <w:p>
            <w:pPr>
              <w:spacing w:after="0"/>
              <w:rPr>
                <w:sz w:val="20"/>
                <w:szCs w:val="20"/>
                <w:color w:val="auto"/>
              </w:rPr>
            </w:pPr>
            <w:r>
              <w:rPr>
                <w:rFonts w:ascii="Arial" w:cs="Arial" w:eastAsia="Arial" w:hAnsi="Arial"/>
                <w:sz w:val="15"/>
                <w:szCs w:val="15"/>
                <w:color w:val="auto"/>
              </w:rPr>
              <w:t>Cost plus</w:t>
            </w:r>
          </w:p>
        </w:tc>
        <w:tc>
          <w:tcPr>
            <w:tcW w:w="26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1,631,140</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86"/>
              <w:spacing w:after="0"/>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1,705,832</w:t>
            </w:r>
          </w:p>
        </w:tc>
        <w:tc>
          <w:tcPr>
            <w:tcW w:w="1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106"/>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1,473,815</w:t>
            </w:r>
          </w:p>
        </w:tc>
        <w:tc>
          <w:tcPr>
            <w:tcW w:w="120" w:type="dxa"/>
            <w:vAlign w:val="bottom"/>
            <w:shd w:val="clear" w:color="auto" w:fill="CFF0FC"/>
          </w:tcPr>
          <w:p>
            <w:pPr>
              <w:spacing w:after="0"/>
              <w:rPr>
                <w:sz w:val="15"/>
                <w:szCs w:val="15"/>
                <w:color w:val="auto"/>
              </w:rPr>
            </w:pPr>
          </w:p>
        </w:tc>
      </w:tr>
      <w:tr>
        <w:trPr>
          <w:trHeight w:val="177"/>
        </w:trPr>
        <w:tc>
          <w:tcPr>
            <w:tcW w:w="5780" w:type="dxa"/>
            <w:vAlign w:val="bottom"/>
          </w:tcPr>
          <w:p>
            <w:pPr>
              <w:spacing w:after="0"/>
              <w:rPr>
                <w:sz w:val="20"/>
                <w:szCs w:val="20"/>
                <w:color w:val="auto"/>
              </w:rPr>
            </w:pPr>
            <w:r>
              <w:rPr>
                <w:rFonts w:ascii="Arial" w:cs="Arial" w:eastAsia="Arial" w:hAnsi="Arial"/>
                <w:sz w:val="15"/>
                <w:szCs w:val="15"/>
                <w:color w:val="auto"/>
              </w:rPr>
              <w:t>Time-and-Materials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1,034,596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1,074,037</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961,759</w:t>
            </w:r>
          </w:p>
        </w:tc>
        <w:tc>
          <w:tcPr>
            <w:tcW w:w="120" w:type="dxa"/>
            <w:vAlign w:val="bottom"/>
          </w:tcPr>
          <w:p>
            <w:pPr>
              <w:spacing w:after="0"/>
              <w:rPr>
                <w:sz w:val="15"/>
                <w:szCs w:val="15"/>
                <w:color w:val="auto"/>
              </w:rPr>
            </w:pPr>
          </w:p>
        </w:tc>
      </w:tr>
      <w:tr>
        <w:trPr>
          <w:trHeight w:val="177"/>
        </w:trPr>
        <w:tc>
          <w:tcPr>
            <w:tcW w:w="5780" w:type="dxa"/>
            <w:vAlign w:val="bottom"/>
            <w:shd w:val="clear" w:color="auto" w:fill="CFF0FC"/>
          </w:tcPr>
          <w:p>
            <w:pPr>
              <w:spacing w:after="0"/>
              <w:rPr>
                <w:sz w:val="20"/>
                <w:szCs w:val="20"/>
                <w:color w:val="auto"/>
              </w:rPr>
            </w:pPr>
            <w:r>
              <w:rPr>
                <w:rFonts w:ascii="Arial" w:cs="Arial" w:eastAsia="Arial" w:hAnsi="Arial"/>
                <w:sz w:val="15"/>
                <w:szCs w:val="15"/>
                <w:color w:val="auto"/>
              </w:rPr>
              <w:t>Fixed price</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1,253,210</w:t>
            </w:r>
          </w:p>
        </w:tc>
        <w:tc>
          <w:tcPr>
            <w:tcW w:w="120" w:type="dxa"/>
            <w:vAlign w:val="bottom"/>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1,174,943</w:t>
            </w:r>
          </w:p>
        </w:tc>
        <w:tc>
          <w:tcPr>
            <w:tcW w:w="100" w:type="dxa"/>
            <w:vAlign w:val="bottom"/>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1,124,934</w:t>
            </w:r>
          </w:p>
        </w:tc>
        <w:tc>
          <w:tcPr>
            <w:tcW w:w="120" w:type="dxa"/>
            <w:vAlign w:val="bottom"/>
            <w:shd w:val="clear" w:color="auto" w:fill="CFF0FC"/>
          </w:tcPr>
          <w:p>
            <w:pPr>
              <w:spacing w:after="0"/>
              <w:rPr>
                <w:sz w:val="15"/>
                <w:szCs w:val="15"/>
                <w:color w:val="auto"/>
              </w:rPr>
            </w:pPr>
          </w:p>
        </w:tc>
      </w:tr>
      <w:tr>
        <w:trPr>
          <w:trHeight w:val="168"/>
        </w:trPr>
        <w:tc>
          <w:tcPr>
            <w:tcW w:w="5780" w:type="dxa"/>
            <w:vAlign w:val="bottom"/>
          </w:tcPr>
          <w:p>
            <w:pPr>
              <w:ind w:left="220"/>
              <w:spacing w:after="0" w:line="169" w:lineRule="exact"/>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3,918,946</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3,954,812</w:t>
            </w:r>
          </w:p>
        </w:tc>
        <w:tc>
          <w:tcPr>
            <w:tcW w:w="100" w:type="dxa"/>
            <w:vAlign w:val="bottom"/>
          </w:tcPr>
          <w:p>
            <w:pPr>
              <w:spacing w:after="0"/>
              <w:rPr>
                <w:sz w:val="14"/>
                <w:szCs w:val="14"/>
                <w:color w:val="auto"/>
              </w:rPr>
            </w:pPr>
          </w:p>
        </w:tc>
        <w:tc>
          <w:tcPr>
            <w:tcW w:w="420" w:type="dxa"/>
            <w:vAlign w:val="bottom"/>
            <w:tcBorders>
              <w:bottom w:val="single" w:sz="8" w:color="auto"/>
            </w:tcBorders>
          </w:tcPr>
          <w:p>
            <w:pPr>
              <w:jc w:val="right"/>
              <w:ind w:right="106"/>
              <w:spacing w:after="0" w:line="169"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3,560,508</w:t>
            </w:r>
          </w:p>
        </w:tc>
        <w:tc>
          <w:tcPr>
            <w:tcW w:w="120" w:type="dxa"/>
            <w:vAlign w:val="bottom"/>
          </w:tcPr>
          <w:p>
            <w:pPr>
              <w:spacing w:after="0"/>
              <w:rPr>
                <w:sz w:val="14"/>
                <w:szCs w:val="14"/>
                <w:color w:val="auto"/>
              </w:rPr>
            </w:pPr>
          </w:p>
        </w:tc>
      </w:tr>
    </w:tbl>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Refer to “Note 21—</w:t>
      </w:r>
      <w:r>
        <w:rPr>
          <w:rFonts w:ascii="Arial" w:cs="Arial" w:eastAsia="Arial" w:hAnsi="Arial"/>
          <w:sz w:val="15"/>
          <w:szCs w:val="15"/>
          <w:i w:val="1"/>
          <w:iCs w:val="1"/>
          <w:color w:val="auto"/>
        </w:rPr>
        <w:t>Segment Information</w:t>
      </w:r>
      <w:r>
        <w:rPr>
          <w:rFonts w:ascii="Arial" w:cs="Arial" w:eastAsia="Arial" w:hAnsi="Arial"/>
          <w:sz w:val="15"/>
          <w:szCs w:val="15"/>
          <w:color w:val="auto"/>
        </w:rPr>
        <w:t>” for the Company’s revenues by business lines.</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Contract Assets and Contract Liabilities</w:t>
      </w:r>
    </w:p>
    <w:p>
      <w:pPr>
        <w:spacing w:after="0" w:line="10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Contract assets and contract liabilities balances at December 31, 2020 and December 31, 2019 were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6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99"/>
              </w:rPr>
              <w:t>December 31, 2020</w:t>
            </w: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w w:val="98"/>
              </w:rPr>
              <w:t>December 31, 2019</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 change</w:t>
            </w:r>
          </w:p>
        </w:tc>
        <w:tc>
          <w:tcPr>
            <w:tcW w:w="26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ind w:left="400"/>
              <w:spacing w:after="0"/>
              <w:rPr>
                <w:sz w:val="20"/>
                <w:szCs w:val="20"/>
                <w:color w:val="auto"/>
              </w:rPr>
            </w:pPr>
            <w:r>
              <w:rPr>
                <w:rFonts w:ascii="Arial" w:cs="Arial" w:eastAsia="Arial" w:hAnsi="Arial"/>
                <w:sz w:val="12"/>
                <w:szCs w:val="12"/>
                <w:b w:val="1"/>
                <w:bCs w:val="1"/>
                <w:color w:val="auto"/>
              </w:rPr>
              <w:t>% change</w:t>
            </w:r>
          </w:p>
        </w:tc>
        <w:tc>
          <w:tcPr>
            <w:tcW w:w="140" w:type="dxa"/>
            <w:vAlign w:val="bottom"/>
            <w:tcBorders>
              <w:bottom w:val="single" w:sz="8" w:color="CFF0FC"/>
            </w:tcBorders>
          </w:tcPr>
          <w:p>
            <w:pPr>
              <w:spacing w:after="0"/>
              <w:rPr>
                <w:sz w:val="12"/>
                <w:szCs w:val="12"/>
                <w:color w:val="auto"/>
              </w:rPr>
            </w:pPr>
          </w:p>
        </w:tc>
      </w:tr>
      <w:tr>
        <w:trPr>
          <w:trHeight w:val="168"/>
        </w:trPr>
        <w:tc>
          <w:tcPr>
            <w:tcW w:w="49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Contract assets</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576,568</w:t>
            </w:r>
          </w:p>
        </w:tc>
        <w:tc>
          <w:tcPr>
            <w:tcW w:w="3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575,089</w:t>
            </w:r>
          </w:p>
        </w:tc>
        <w:tc>
          <w:tcPr>
            <w:tcW w:w="5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1,479</w:t>
            </w:r>
          </w:p>
        </w:tc>
        <w:tc>
          <w:tcPr>
            <w:tcW w:w="2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0.3%</w:t>
            </w:r>
          </w:p>
        </w:tc>
      </w:tr>
      <w:tr>
        <w:trPr>
          <w:trHeight w:val="177"/>
        </w:trPr>
        <w:tc>
          <w:tcPr>
            <w:tcW w:w="4960" w:type="dxa"/>
            <w:vAlign w:val="bottom"/>
          </w:tcPr>
          <w:p>
            <w:pPr>
              <w:spacing w:after="0"/>
              <w:rPr>
                <w:sz w:val="20"/>
                <w:szCs w:val="20"/>
                <w:color w:val="auto"/>
              </w:rPr>
            </w:pPr>
            <w:r>
              <w:rPr>
                <w:rFonts w:ascii="Arial" w:cs="Arial" w:eastAsia="Arial" w:hAnsi="Arial"/>
                <w:sz w:val="15"/>
                <w:szCs w:val="15"/>
                <w:color w:val="auto"/>
              </w:rPr>
              <w:t>Contract liabilities</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201,864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230,681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5"/>
                <w:szCs w:val="15"/>
                <w:color w:val="auto"/>
              </w:rPr>
              <w:t>(28,817)</w:t>
            </w:r>
          </w:p>
        </w:tc>
        <w:tc>
          <w:tcPr>
            <w:tcW w:w="1500" w:type="dxa"/>
            <w:vAlign w:val="bottom"/>
            <w:gridSpan w:val="2"/>
          </w:tcPr>
          <w:p>
            <w:pPr>
              <w:jc w:val="right"/>
              <w:ind w:right="20"/>
              <w:spacing w:after="0"/>
              <w:rPr>
                <w:sz w:val="20"/>
                <w:szCs w:val="20"/>
                <w:color w:val="auto"/>
              </w:rPr>
            </w:pPr>
            <w:r>
              <w:rPr>
                <w:rFonts w:ascii="Arial" w:cs="Arial" w:eastAsia="Arial" w:hAnsi="Arial"/>
                <w:sz w:val="15"/>
                <w:szCs w:val="15"/>
                <w:color w:val="auto"/>
              </w:rPr>
              <w:t>-12.5%</w:t>
            </w:r>
          </w:p>
        </w:tc>
      </w:tr>
      <w:tr>
        <w:trPr>
          <w:trHeight w:val="20"/>
        </w:trPr>
        <w:tc>
          <w:tcPr>
            <w:tcW w:w="49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168"/>
        </w:trPr>
        <w:tc>
          <w:tcPr>
            <w:tcW w:w="49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Net contract assets (liabilities) (1)</w:t>
            </w:r>
          </w:p>
        </w:tc>
        <w:tc>
          <w:tcPr>
            <w:tcW w:w="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374,704</w:t>
            </w:r>
          </w:p>
        </w:tc>
        <w:tc>
          <w:tcPr>
            <w:tcW w:w="36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344,408</w:t>
            </w:r>
          </w:p>
        </w:tc>
        <w:tc>
          <w:tcPr>
            <w:tcW w:w="50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30,296</w:t>
            </w:r>
          </w:p>
        </w:tc>
        <w:tc>
          <w:tcPr>
            <w:tcW w:w="260" w:type="dxa"/>
            <w:vAlign w:val="bottom"/>
            <w:shd w:val="clear" w:color="auto" w:fill="CFF0FC"/>
          </w:tcPr>
          <w:p>
            <w:pPr>
              <w:spacing w:after="0"/>
              <w:rPr>
                <w:sz w:val="14"/>
                <w:szCs w:val="14"/>
                <w:color w:val="auto"/>
              </w:rPr>
            </w:pPr>
          </w:p>
        </w:tc>
        <w:tc>
          <w:tcPr>
            <w:tcW w:w="15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8.8%</w:t>
            </w: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left="600" w:right="140" w:hanging="591"/>
        <w:spacing w:after="0" w:line="234" w:lineRule="auto"/>
        <w:tabs>
          <w:tab w:leader="none" w:pos="60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Total contract retentions included in net contract assets (liabilities) were $93.8 million as of December 31, 2020, of which $43.1 million are not expected to be paid in 2021. Total contract retentions included in net contract assets (liabilities) were $85.5 million as of December 31, 2019. Contract assets at December 31, 2020 and December 31, 2019 include approximately $116.6 million and $73.0 million, respectively, related to unapproved change orders, claims, and requests for equitable adjustment. For the years ended December 31, 2020 and December 31, 2019, no material losses were recognized related to the collectability of claims, unapproved change orders, and requests for equitable adjustment.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440" w:firstLine="591"/>
        <w:spacing w:after="0" w:line="236" w:lineRule="auto"/>
        <w:rPr>
          <w:sz w:val="20"/>
          <w:szCs w:val="20"/>
          <w:color w:val="auto"/>
        </w:rPr>
      </w:pPr>
      <w:r>
        <w:rPr>
          <w:rFonts w:ascii="Arial" w:cs="Arial" w:eastAsia="Arial" w:hAnsi="Arial"/>
          <w:sz w:val="15"/>
          <w:szCs w:val="15"/>
          <w:color w:val="auto"/>
        </w:rPr>
        <w:t>During the years ended December 31, 2020 and December 31, 2019, the Company recognized revenue of approximately $137.4 million and $129.9 million, respectively, that was included in the corresponding contract liability balance at December 31, 2019 and December 31, 2018, respectively. Certain changes in contract assets and contract liabilities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7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December 31, 2020</w:t>
            </w: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jc w:val="right"/>
              <w:ind w:right="391"/>
              <w:spacing w:after="0"/>
              <w:rPr>
                <w:sz w:val="20"/>
                <w:szCs w:val="20"/>
                <w:color w:val="auto"/>
              </w:rPr>
            </w:pPr>
            <w:r>
              <w:rPr>
                <w:rFonts w:ascii="Arial" w:cs="Arial" w:eastAsia="Arial" w:hAnsi="Arial"/>
                <w:sz w:val="12"/>
                <w:szCs w:val="12"/>
                <w:b w:val="1"/>
                <w:bCs w:val="1"/>
                <w:color w:val="auto"/>
              </w:rPr>
              <w:t>December 31, 2019</w:t>
            </w:r>
          </w:p>
        </w:tc>
        <w:tc>
          <w:tcPr>
            <w:tcW w:w="120" w:type="dxa"/>
            <w:vAlign w:val="bottom"/>
            <w:tcBorders>
              <w:bottom w:val="single" w:sz="8" w:color="CFF0FC"/>
            </w:tcBorders>
          </w:tcPr>
          <w:p>
            <w:pPr>
              <w:spacing w:after="0"/>
              <w:rPr>
                <w:sz w:val="12"/>
                <w:szCs w:val="12"/>
                <w:color w:val="auto"/>
              </w:rPr>
            </w:pPr>
          </w:p>
        </w:tc>
      </w:tr>
      <w:tr>
        <w:trPr>
          <w:trHeight w:val="168"/>
        </w:trPr>
        <w:tc>
          <w:tcPr>
            <w:tcW w:w="694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Acquired contract assets</w:t>
            </w:r>
          </w:p>
        </w:tc>
        <w:tc>
          <w:tcPr>
            <w:tcW w:w="1540" w:type="dxa"/>
            <w:vAlign w:val="bottom"/>
            <w:shd w:val="clear" w:color="auto" w:fill="CFF0FC"/>
          </w:tcPr>
          <w:p>
            <w:pPr>
              <w:jc w:val="right"/>
              <w:ind w:right="1394"/>
              <w:spacing w:after="0" w:line="169" w:lineRule="exact"/>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8,350</w:t>
            </w:r>
          </w:p>
        </w:tc>
        <w:tc>
          <w:tcPr>
            <w:tcW w:w="560" w:type="dxa"/>
            <w:vAlign w:val="bottom"/>
            <w:gridSpan w:val="2"/>
            <w:shd w:val="clear" w:color="auto" w:fill="CFF0FC"/>
          </w:tcPr>
          <w:p>
            <w:pPr>
              <w:jc w:val="right"/>
              <w:ind w:right="180"/>
              <w:spacing w:after="0" w:line="169" w:lineRule="exact"/>
              <w:rPr>
                <w:sz w:val="20"/>
                <w:szCs w:val="20"/>
                <w:color w:val="auto"/>
              </w:rPr>
            </w:pPr>
            <w:r>
              <w:rPr>
                <w:rFonts w:ascii="Arial" w:cs="Arial" w:eastAsia="Arial" w:hAnsi="Arial"/>
                <w:sz w:val="15"/>
                <w:szCs w:val="15"/>
                <w:color w:val="auto"/>
              </w:rPr>
              <w:t>$</w:t>
            </w:r>
          </w:p>
        </w:tc>
        <w:tc>
          <w:tcPr>
            <w:tcW w:w="1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9,747</w:t>
            </w:r>
          </w:p>
        </w:tc>
        <w:tc>
          <w:tcPr>
            <w:tcW w:w="120" w:type="dxa"/>
            <w:vAlign w:val="bottom"/>
            <w:shd w:val="clear" w:color="auto" w:fill="CFF0FC"/>
          </w:tcPr>
          <w:p>
            <w:pPr>
              <w:spacing w:after="0"/>
              <w:rPr>
                <w:sz w:val="14"/>
                <w:szCs w:val="14"/>
                <w:color w:val="auto"/>
              </w:rPr>
            </w:pPr>
          </w:p>
        </w:tc>
      </w:tr>
      <w:tr>
        <w:trPr>
          <w:trHeight w:val="188"/>
        </w:trPr>
        <w:tc>
          <w:tcPr>
            <w:tcW w:w="6940" w:type="dxa"/>
            <w:vAlign w:val="bottom"/>
            <w:gridSpan w:val="2"/>
          </w:tcPr>
          <w:p>
            <w:pPr>
              <w:spacing w:after="0"/>
              <w:rPr>
                <w:sz w:val="20"/>
                <w:szCs w:val="20"/>
                <w:color w:val="auto"/>
              </w:rPr>
            </w:pPr>
            <w:r>
              <w:rPr>
                <w:rFonts w:ascii="Arial" w:cs="Arial" w:eastAsia="Arial" w:hAnsi="Arial"/>
                <w:sz w:val="15"/>
                <w:szCs w:val="15"/>
                <w:color w:val="auto"/>
              </w:rPr>
              <w:t>Acquired contract liabilities</w:t>
            </w:r>
          </w:p>
        </w:tc>
        <w:tc>
          <w:tcPr>
            <w:tcW w:w="15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300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5"/>
                <w:szCs w:val="15"/>
                <w:color w:val="auto"/>
              </w:rPr>
              <w:t>1,300</w:t>
            </w:r>
          </w:p>
        </w:tc>
        <w:tc>
          <w:tcPr>
            <w:tcW w:w="120" w:type="dxa"/>
            <w:vAlign w:val="bottom"/>
          </w:tcPr>
          <w:p>
            <w:pPr>
              <w:spacing w:after="0"/>
              <w:rPr>
                <w:sz w:val="16"/>
                <w:szCs w:val="16"/>
                <w:color w:val="auto"/>
              </w:rPr>
            </w:pPr>
          </w:p>
        </w:tc>
      </w:tr>
    </w:tbl>
    <w:p>
      <w:pPr>
        <w:spacing w:after="0" w:line="277"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There was no significant impairment of contract assets recognized during the years ended December 31, 2020 and December 31, 2019.</w:t>
      </w:r>
    </w:p>
    <w:p>
      <w:pPr>
        <w:spacing w:after="0" w:line="171" w:lineRule="exact"/>
        <w:rPr>
          <w:sz w:val="20"/>
          <w:szCs w:val="20"/>
          <w:color w:val="auto"/>
        </w:rPr>
      </w:pPr>
    </w:p>
    <w:p>
      <w:pPr>
        <w:ind w:right="80" w:firstLine="591"/>
        <w:spacing w:after="0" w:line="239" w:lineRule="auto"/>
        <w:rPr>
          <w:sz w:val="20"/>
          <w:szCs w:val="20"/>
          <w:color w:val="auto"/>
        </w:rPr>
      </w:pPr>
      <w:r>
        <w:rPr>
          <w:rFonts w:ascii="Arial" w:cs="Arial" w:eastAsia="Arial" w:hAnsi="Arial"/>
          <w:sz w:val="15"/>
          <w:szCs w:val="15"/>
          <w:color w:val="auto"/>
        </w:rPr>
        <w:t>Revisions in estimates, such as changes in estimated claims or incentives, related to performance obligations partially satisfied in previous periods that individually had an impact of $5 million or more on revenue resulted in the following changes in revenue: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80" w:type="dxa"/>
            <w:vAlign w:val="bottom"/>
          </w:tcPr>
          <w:p>
            <w:pPr>
              <w:spacing w:after="0"/>
              <w:rPr>
                <w:sz w:val="12"/>
                <w:szCs w:val="12"/>
                <w:color w:val="auto"/>
              </w:rPr>
            </w:pPr>
          </w:p>
        </w:tc>
        <w:tc>
          <w:tcPr>
            <w:tcW w:w="3280" w:type="dxa"/>
            <w:vAlign w:val="bottom"/>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tcPr>
          <w:p>
            <w:pPr>
              <w:jc w:val="right"/>
              <w:ind w:right="734"/>
              <w:spacing w:after="0"/>
              <w:rPr>
                <w:sz w:val="20"/>
                <w:szCs w:val="20"/>
                <w:color w:val="auto"/>
              </w:rPr>
            </w:pPr>
            <w:r>
              <w:rPr>
                <w:rFonts w:ascii="Arial" w:cs="Arial" w:eastAsia="Arial" w:hAnsi="Arial"/>
                <w:sz w:val="12"/>
                <w:szCs w:val="12"/>
                <w:b w:val="1"/>
                <w:bCs w:val="1"/>
                <w:color w:val="auto"/>
              </w:rPr>
              <w:t>2019</w:t>
            </w:r>
          </w:p>
        </w:tc>
        <w:tc>
          <w:tcPr>
            <w:tcW w:w="520" w:type="dxa"/>
            <w:vAlign w:val="bottom"/>
          </w:tcPr>
          <w:p>
            <w:pPr>
              <w:spacing w:after="0"/>
              <w:rPr>
                <w:sz w:val="12"/>
                <w:szCs w:val="12"/>
                <w:color w:val="auto"/>
              </w:rPr>
            </w:pPr>
          </w:p>
        </w:tc>
        <w:tc>
          <w:tcPr>
            <w:tcW w:w="1360" w:type="dxa"/>
            <w:vAlign w:val="bottom"/>
          </w:tcPr>
          <w:p>
            <w:pPr>
              <w:jc w:val="right"/>
              <w:ind w:right="734"/>
              <w:spacing w:after="0"/>
              <w:rPr>
                <w:sz w:val="20"/>
                <w:szCs w:val="20"/>
                <w:color w:val="auto"/>
              </w:rPr>
            </w:pPr>
            <w:r>
              <w:rPr>
                <w:rFonts w:ascii="Arial" w:cs="Arial" w:eastAsia="Arial" w:hAnsi="Arial"/>
                <w:sz w:val="12"/>
                <w:szCs w:val="12"/>
                <w:b w:val="1"/>
                <w:bCs w:val="1"/>
                <w:color w:val="auto"/>
              </w:rPr>
              <w:t>2018</w:t>
            </w:r>
          </w:p>
        </w:tc>
      </w:tr>
      <w:tr>
        <w:trPr>
          <w:trHeight w:val="177"/>
        </w:trPr>
        <w:tc>
          <w:tcPr>
            <w:tcW w:w="3580" w:type="dxa"/>
            <w:vAlign w:val="bottom"/>
            <w:shd w:val="clear" w:color="auto" w:fill="CFF0FC"/>
          </w:tcPr>
          <w:p>
            <w:pPr>
              <w:spacing w:after="0"/>
              <w:rPr>
                <w:sz w:val="20"/>
                <w:szCs w:val="20"/>
                <w:color w:val="auto"/>
              </w:rPr>
            </w:pPr>
            <w:r>
              <w:rPr>
                <w:rFonts w:ascii="Arial" w:cs="Arial" w:eastAsia="Arial" w:hAnsi="Arial"/>
                <w:sz w:val="15"/>
                <w:szCs w:val="15"/>
                <w:color w:val="auto"/>
              </w:rPr>
              <w:t>Revenue impact, net</w:t>
            </w:r>
          </w:p>
        </w:tc>
        <w:tc>
          <w:tcPr>
            <w:tcW w:w="3280" w:type="dxa"/>
            <w:vAlign w:val="bottom"/>
            <w:shd w:val="clear" w:color="auto" w:fill="CFF0FC"/>
          </w:tcPr>
          <w:p>
            <w:pPr>
              <w:jc w:val="right"/>
              <w:ind w:right="934"/>
              <w:spacing w:after="0"/>
              <w:rPr>
                <w:sz w:val="20"/>
                <w:szCs w:val="20"/>
                <w:color w:val="auto"/>
              </w:rPr>
            </w:pPr>
            <w:r>
              <w:rPr>
                <w:rFonts w:ascii="Arial" w:cs="Arial" w:eastAsia="Arial" w:hAnsi="Arial"/>
                <w:sz w:val="15"/>
                <w:szCs w:val="15"/>
                <w:color w:val="auto"/>
              </w:rPr>
              <w:t>$</w:t>
            </w:r>
          </w:p>
        </w:tc>
        <w:tc>
          <w:tcPr>
            <w:tcW w:w="66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rPr>
              <w:t>8,875</w:t>
            </w:r>
          </w:p>
        </w:tc>
        <w:tc>
          <w:tcPr>
            <w:tcW w:w="520" w:type="dxa"/>
            <w:vAlign w:val="bottom"/>
            <w:shd w:val="clear" w:color="auto" w:fill="CFF0FC"/>
          </w:tcPr>
          <w:p>
            <w:pPr>
              <w:jc w:val="right"/>
              <w:ind w:right="226"/>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rPr>
              <w:t>12,166</w:t>
            </w:r>
          </w:p>
        </w:tc>
        <w:tc>
          <w:tcPr>
            <w:tcW w:w="520" w:type="dxa"/>
            <w:vAlign w:val="bottom"/>
            <w:shd w:val="clear" w:color="auto" w:fill="CFF0FC"/>
          </w:tcPr>
          <w:p>
            <w:pPr>
              <w:jc w:val="right"/>
              <w:ind w:right="226"/>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ind w:right="74"/>
              <w:spacing w:after="0"/>
              <w:rPr>
                <w:sz w:val="20"/>
                <w:szCs w:val="20"/>
                <w:color w:val="auto"/>
              </w:rPr>
            </w:pPr>
            <w:r>
              <w:rPr>
                <w:rFonts w:ascii="Arial" w:cs="Arial" w:eastAsia="Arial" w:hAnsi="Arial"/>
                <w:sz w:val="15"/>
                <w:szCs w:val="15"/>
                <w:color w:val="auto"/>
              </w:rPr>
              <w:t>-</w:t>
            </w:r>
          </w:p>
        </w:tc>
      </w:tr>
    </w:tbl>
    <w:p>
      <w:pPr>
        <w:spacing w:after="0" w:line="26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Accounts Receivable, Net</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Accounts receivable, net consisted of the following as of December 31, 2020 and December 31, 2019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80" w:type="dxa"/>
            <w:vAlign w:val="bottom"/>
            <w:tcBorders>
              <w:bottom w:val="single" w:sz="8" w:color="CFF0FC"/>
            </w:tcBorders>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b w:val="1"/>
                <w:bCs w:val="1"/>
                <w:color w:val="auto"/>
              </w:rPr>
              <w:t>2020</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8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174"/>
        </w:trPr>
        <w:tc>
          <w:tcPr>
            <w:tcW w:w="4780" w:type="dxa"/>
            <w:vAlign w:val="bottom"/>
            <w:shd w:val="clear" w:color="auto" w:fill="CFF0FC"/>
          </w:tcPr>
          <w:p>
            <w:pPr>
              <w:spacing w:after="0"/>
              <w:rPr>
                <w:sz w:val="20"/>
                <w:szCs w:val="20"/>
                <w:color w:val="auto"/>
              </w:rPr>
            </w:pPr>
            <w:r>
              <w:rPr>
                <w:rFonts w:ascii="Arial" w:cs="Arial" w:eastAsia="Arial" w:hAnsi="Arial"/>
                <w:sz w:val="15"/>
                <w:szCs w:val="15"/>
                <w:color w:val="auto"/>
              </w:rPr>
              <w:t>Billed</w:t>
            </w:r>
          </w:p>
        </w:tc>
        <w:tc>
          <w:tcPr>
            <w:tcW w:w="3680" w:type="dxa"/>
            <w:vAlign w:val="bottom"/>
            <w:gridSpan w:val="2"/>
            <w:shd w:val="clear" w:color="auto" w:fill="CFF0FC"/>
          </w:tcPr>
          <w:p>
            <w:pPr>
              <w:jc w:val="right"/>
              <w:ind w:right="981"/>
              <w:spacing w:after="0"/>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512,357</w:t>
            </w:r>
          </w:p>
        </w:tc>
        <w:tc>
          <w:tcPr>
            <w:tcW w:w="1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475,528</w:t>
            </w:r>
          </w:p>
        </w:tc>
        <w:tc>
          <w:tcPr>
            <w:tcW w:w="120" w:type="dxa"/>
            <w:vAlign w:val="bottom"/>
            <w:shd w:val="clear" w:color="auto" w:fill="CFF0FC"/>
          </w:tcPr>
          <w:p>
            <w:pPr>
              <w:spacing w:after="0"/>
              <w:rPr>
                <w:sz w:val="15"/>
                <w:szCs w:val="15"/>
                <w:color w:val="auto"/>
              </w:rPr>
            </w:pPr>
          </w:p>
        </w:tc>
      </w:tr>
      <w:tr>
        <w:trPr>
          <w:trHeight w:val="177"/>
        </w:trPr>
        <w:tc>
          <w:tcPr>
            <w:tcW w:w="47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Unbilled</w:t>
            </w:r>
          </w:p>
        </w:tc>
        <w:tc>
          <w:tcPr>
            <w:tcW w:w="256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190,222</w:t>
            </w:r>
          </w:p>
        </w:tc>
        <w:tc>
          <w:tcPr>
            <w:tcW w:w="1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201,461</w:t>
            </w:r>
          </w:p>
        </w:tc>
        <w:tc>
          <w:tcPr>
            <w:tcW w:w="120" w:type="dxa"/>
            <w:vAlign w:val="bottom"/>
            <w:tcBorders>
              <w:bottom w:val="single" w:sz="8" w:color="CFF0FC"/>
            </w:tcBorders>
          </w:tcPr>
          <w:p>
            <w:pPr>
              <w:spacing w:after="0"/>
              <w:rPr>
                <w:sz w:val="15"/>
                <w:szCs w:val="15"/>
                <w:color w:val="auto"/>
              </w:rPr>
            </w:pPr>
          </w:p>
        </w:tc>
      </w:tr>
      <w:tr>
        <w:trPr>
          <w:trHeight w:val="168"/>
        </w:trPr>
        <w:tc>
          <w:tcPr>
            <w:tcW w:w="4780" w:type="dxa"/>
            <w:vAlign w:val="bottom"/>
            <w:shd w:val="clear" w:color="auto" w:fill="CFF0FC"/>
          </w:tcPr>
          <w:p>
            <w:pPr>
              <w:ind w:left="140"/>
              <w:spacing w:after="0" w:line="169" w:lineRule="exact"/>
              <w:rPr>
                <w:sz w:val="20"/>
                <w:szCs w:val="20"/>
                <w:color w:val="auto"/>
              </w:rPr>
            </w:pPr>
            <w:r>
              <w:rPr>
                <w:rFonts w:ascii="Arial" w:cs="Arial" w:eastAsia="Arial" w:hAnsi="Arial"/>
                <w:sz w:val="15"/>
                <w:szCs w:val="15"/>
                <w:color w:val="auto"/>
              </w:rPr>
              <w:t>Total accounts receivable, gross</w:t>
            </w:r>
          </w:p>
        </w:tc>
        <w:tc>
          <w:tcPr>
            <w:tcW w:w="25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702,579</w:t>
            </w: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676,989</w:t>
            </w:r>
          </w:p>
        </w:tc>
        <w:tc>
          <w:tcPr>
            <w:tcW w:w="120" w:type="dxa"/>
            <w:vAlign w:val="bottom"/>
            <w:shd w:val="clear" w:color="auto" w:fill="CFF0FC"/>
          </w:tcPr>
          <w:p>
            <w:pPr>
              <w:spacing w:after="0"/>
              <w:rPr>
                <w:sz w:val="14"/>
                <w:szCs w:val="14"/>
                <w:color w:val="auto"/>
              </w:rPr>
            </w:pPr>
          </w:p>
        </w:tc>
      </w:tr>
      <w:tr>
        <w:trPr>
          <w:trHeight w:val="177"/>
        </w:trPr>
        <w:tc>
          <w:tcPr>
            <w:tcW w:w="4780" w:type="dxa"/>
            <w:vAlign w:val="bottom"/>
          </w:tcPr>
          <w:p>
            <w:pPr>
              <w:spacing w:after="0"/>
              <w:rPr>
                <w:sz w:val="20"/>
                <w:szCs w:val="20"/>
                <w:color w:val="auto"/>
              </w:rPr>
            </w:pPr>
            <w:r>
              <w:rPr>
                <w:rFonts w:ascii="Arial" w:cs="Arial" w:eastAsia="Arial" w:hAnsi="Arial"/>
                <w:sz w:val="15"/>
                <w:szCs w:val="15"/>
                <w:color w:val="auto"/>
              </w:rPr>
              <w:t>Allowance for doubtful accounts</w:t>
            </w:r>
          </w:p>
        </w:tc>
        <w:tc>
          <w:tcPr>
            <w:tcW w:w="25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(4,001)</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5"/>
                <w:szCs w:val="15"/>
                <w:color w:val="auto"/>
              </w:rPr>
              <w:t>(5,497)</w:t>
            </w:r>
          </w:p>
        </w:tc>
      </w:tr>
      <w:tr>
        <w:trPr>
          <w:trHeight w:val="20"/>
        </w:trPr>
        <w:tc>
          <w:tcPr>
            <w:tcW w:w="478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4780" w:type="dxa"/>
            <w:vAlign w:val="bottom"/>
            <w:shd w:val="clear" w:color="auto" w:fill="CFF0FC"/>
          </w:tcPr>
          <w:p>
            <w:pPr>
              <w:ind w:left="140"/>
              <w:spacing w:after="0" w:line="169" w:lineRule="exact"/>
              <w:rPr>
                <w:sz w:val="20"/>
                <w:szCs w:val="20"/>
                <w:color w:val="auto"/>
              </w:rPr>
            </w:pPr>
            <w:r>
              <w:rPr>
                <w:rFonts w:ascii="Arial" w:cs="Arial" w:eastAsia="Arial" w:hAnsi="Arial"/>
                <w:sz w:val="15"/>
                <w:szCs w:val="15"/>
                <w:color w:val="auto"/>
              </w:rPr>
              <w:t>Total accounts receivable, net</w:t>
            </w:r>
          </w:p>
        </w:tc>
        <w:tc>
          <w:tcPr>
            <w:tcW w:w="3680" w:type="dxa"/>
            <w:vAlign w:val="bottom"/>
            <w:gridSpan w:val="2"/>
            <w:shd w:val="clear" w:color="auto" w:fill="CFF0FC"/>
          </w:tcPr>
          <w:p>
            <w:pPr>
              <w:jc w:val="right"/>
              <w:ind w:right="981"/>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698,578</w:t>
            </w:r>
          </w:p>
        </w:tc>
        <w:tc>
          <w:tcPr>
            <w:tcW w:w="1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ind w:right="340"/>
              <w:spacing w:after="0" w:line="169" w:lineRule="exact"/>
              <w:rPr>
                <w:sz w:val="20"/>
                <w:szCs w:val="20"/>
                <w:color w:val="auto"/>
              </w:rPr>
            </w:pPr>
            <w:r>
              <w:rPr>
                <w:rFonts w:ascii="Arial" w:cs="Arial" w:eastAsia="Arial" w:hAnsi="Arial"/>
                <w:sz w:val="15"/>
                <w:szCs w:val="15"/>
                <w:color w:val="auto"/>
              </w:rPr>
              <w:t>$</w:t>
            </w: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671,492</w:t>
            </w:r>
          </w:p>
        </w:tc>
        <w:tc>
          <w:tcPr>
            <w:tcW w:w="120" w:type="dxa"/>
            <w:vAlign w:val="bottom"/>
            <w:shd w:val="clear" w:color="auto" w:fill="CFF0FC"/>
          </w:tcPr>
          <w:p>
            <w:pPr>
              <w:spacing w:after="0"/>
              <w:rPr>
                <w:sz w:val="14"/>
                <w:szCs w:val="14"/>
                <w:color w:val="auto"/>
              </w:rPr>
            </w:pPr>
          </w:p>
        </w:tc>
      </w:tr>
      <w:tr>
        <w:trPr>
          <w:trHeight w:val="20"/>
        </w:trPr>
        <w:tc>
          <w:tcPr>
            <w:tcW w:w="4780" w:type="dxa"/>
            <w:vAlign w:val="bottom"/>
            <w:tcBorders>
              <w:top w:val="single" w:sz="8" w:color="CFF0FC"/>
            </w:tcBorders>
          </w:tcPr>
          <w:p>
            <w:pPr>
              <w:spacing w:after="0" w:line="20" w:lineRule="exact"/>
              <w:rPr>
                <w:sz w:val="1"/>
                <w:szCs w:val="1"/>
                <w:color w:val="auto"/>
              </w:rPr>
            </w:pPr>
          </w:p>
        </w:tc>
        <w:tc>
          <w:tcPr>
            <w:tcW w:w="25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77" w:lineRule="exact"/>
        <w:rPr>
          <w:sz w:val="20"/>
          <w:szCs w:val="20"/>
          <w:color w:val="auto"/>
        </w:rPr>
      </w:pPr>
    </w:p>
    <w:p>
      <w:pPr>
        <w:ind w:right="580" w:firstLine="737"/>
        <w:spacing w:after="0" w:line="239" w:lineRule="auto"/>
        <w:rPr>
          <w:sz w:val="20"/>
          <w:szCs w:val="20"/>
          <w:color w:val="auto"/>
        </w:rPr>
      </w:pPr>
      <w:r>
        <w:rPr>
          <w:rFonts w:ascii="Arial" w:cs="Arial" w:eastAsia="Arial" w:hAnsi="Arial"/>
          <w:sz w:val="15"/>
          <w:szCs w:val="15"/>
          <w:color w:val="auto"/>
        </w:rPr>
        <w:t>Billed accounts receivable represents amounts billed to clients that have not been collected. Unbilled accounts receivable represents amounts where the Company has a present contractual right to bill but an invoice has not been issued to the customer at the period-end date.</w:t>
      </w:r>
    </w:p>
    <w:p>
      <w:pPr>
        <w:spacing w:after="0" w:line="166" w:lineRule="exact"/>
        <w:rPr>
          <w:sz w:val="20"/>
          <w:szCs w:val="20"/>
          <w:color w:val="auto"/>
        </w:rPr>
      </w:pPr>
    </w:p>
    <w:p>
      <w:pPr>
        <w:ind w:right="180" w:firstLine="844"/>
        <w:spacing w:after="0" w:line="239" w:lineRule="auto"/>
        <w:rPr>
          <w:sz w:val="20"/>
          <w:szCs w:val="20"/>
          <w:color w:val="auto"/>
        </w:rPr>
      </w:pPr>
      <w:r>
        <w:rPr>
          <w:rFonts w:ascii="Arial" w:cs="Arial" w:eastAsia="Arial" w:hAnsi="Arial"/>
          <w:sz w:val="15"/>
          <w:szCs w:val="15"/>
          <w:color w:val="auto"/>
        </w:rPr>
        <w:t>In connection with the adoption of ASU 2016-13, we have modified the historical presentation of gross receivables and the allowance for doubtful accounts to reflect only expected credit losses in the allowance in conformity with the current period presentation.</w:t>
      </w:r>
    </w:p>
    <w:p>
      <w:pPr>
        <w:spacing w:after="0" w:line="166" w:lineRule="exact"/>
        <w:rPr>
          <w:sz w:val="20"/>
          <w:szCs w:val="20"/>
          <w:color w:val="auto"/>
        </w:rPr>
      </w:pPr>
    </w:p>
    <w:p>
      <w:pPr>
        <w:ind w:right="140" w:firstLine="835"/>
        <w:spacing w:after="0" w:line="235" w:lineRule="auto"/>
        <w:rPr>
          <w:sz w:val="20"/>
          <w:szCs w:val="20"/>
          <w:color w:val="auto"/>
        </w:rPr>
      </w:pPr>
      <w:r>
        <w:rPr>
          <w:rFonts w:ascii="Arial" w:cs="Arial" w:eastAsia="Arial" w:hAnsi="Arial"/>
          <w:sz w:val="15"/>
          <w:szCs w:val="15"/>
          <w:color w:val="auto"/>
        </w:rPr>
        <w:t>The allowance for doubtful accounts was determined based on consideration of trends in actual and forecasted credit quality of clients, including delinquency and payment history, type of client, such as a government agency or commercial sector client, and general economic conditions and particular industry conditions that may affect a client’s ability to pay. COVID-19 Impacts: We have not seen and do not expect there to be a material risk of non-payment from either our government agency or commercial customers. We have experienced payment delays due to administrative limitations from both types of customers.</w:t>
      </w:r>
    </w:p>
    <w:p>
      <w:pPr>
        <w:spacing w:after="0" w:line="239"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Transaction Price Allocated to the Remaining Unsatisfied Performance Obligations</w:t>
      </w:r>
    </w:p>
    <w:p>
      <w:pPr>
        <w:spacing w:after="0" w:line="98" w:lineRule="exact"/>
        <w:rPr>
          <w:sz w:val="20"/>
          <w:szCs w:val="20"/>
          <w:color w:val="auto"/>
        </w:rPr>
      </w:pPr>
    </w:p>
    <w:p>
      <w:pPr>
        <w:ind w:right="420" w:firstLine="591"/>
        <w:spacing w:after="0" w:line="239" w:lineRule="auto"/>
        <w:rPr>
          <w:sz w:val="20"/>
          <w:szCs w:val="20"/>
          <w:color w:val="auto"/>
        </w:rPr>
      </w:pPr>
      <w:r>
        <w:rPr>
          <w:rFonts w:ascii="Arial" w:cs="Arial" w:eastAsia="Arial" w:hAnsi="Arial"/>
          <w:sz w:val="15"/>
          <w:szCs w:val="15"/>
          <w:color w:val="auto"/>
        </w:rPr>
        <w:t>The Company’s remaining unsatisfied performance obligations (“RUPO”) as of December 31, 2020 represent a measure of the total dollar value of work to be performed on contracts awarded and in progress. The Company had $5.2 billion in RUPO as of December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100" w:firstLine="737"/>
        <w:spacing w:after="0" w:line="235" w:lineRule="auto"/>
        <w:rPr>
          <w:sz w:val="20"/>
          <w:szCs w:val="20"/>
          <w:color w:val="auto"/>
        </w:rPr>
      </w:pPr>
      <w:r>
        <w:rPr>
          <w:rFonts w:ascii="Arial" w:cs="Arial" w:eastAsia="Arial" w:hAnsi="Arial"/>
          <w:sz w:val="15"/>
          <w:szCs w:val="15"/>
          <w:color w:val="auto"/>
        </w:rPr>
        <w:t>RUPO will increase with awards of new contracts and decrease as the Company performs work and recognizes revenue on existing contracts. Projects are included within RUPO at such time the project is awarded and agreement on contract terms has been reached. The difference between RUPO and backlog relates to unexercised option years that are included within backlog and the value of Indefinite Delivery/Indefinite Quantity (“IDIQ”) contracts included in backlog for which task orders have not been issued.</w:t>
      </w:r>
    </w:p>
    <w:p>
      <w:pPr>
        <w:spacing w:after="0" w:line="167" w:lineRule="exact"/>
        <w:rPr>
          <w:sz w:val="20"/>
          <w:szCs w:val="20"/>
          <w:color w:val="auto"/>
        </w:rPr>
      </w:pPr>
    </w:p>
    <w:p>
      <w:pPr>
        <w:ind w:right="220" w:firstLine="737"/>
        <w:spacing w:after="0" w:line="235" w:lineRule="auto"/>
        <w:rPr>
          <w:sz w:val="20"/>
          <w:szCs w:val="20"/>
          <w:color w:val="auto"/>
        </w:rPr>
      </w:pPr>
      <w:r>
        <w:rPr>
          <w:rFonts w:ascii="Arial" w:cs="Arial" w:eastAsia="Arial" w:hAnsi="Arial"/>
          <w:sz w:val="15"/>
          <w:szCs w:val="15"/>
          <w:color w:val="auto"/>
        </w:rPr>
        <w:t>RUPO is comprised of: (a) original transaction price, (b) change orders for which written confirmations from our customers have been received, (c) pending change orders for which the Company expects to receive confirmations in the ordinary course of business, and (d) claim amounts that the Company has made against customers for which it has determined that it has a legal basis under existing contractual arrangements and a significant reversal of revenue is not probable, less revenue recognized to-date.</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expects to satisfy its RUPO as of December 31, 2020 over the following periods (in thousands):</w:t>
      </w:r>
    </w:p>
    <w:tbl>
      <w:tblPr>
        <w:tblLayout w:type="fixed"/>
        <w:tblInd w:w="0" w:type="dxa"/>
        <w:tblCellMar>
          <w:top w:w="0" w:type="dxa"/>
          <w:left w:w="0" w:type="dxa"/>
          <w:bottom w:w="0" w:type="dxa"/>
          <w:right w:w="0" w:type="dxa"/>
        </w:tblCellMar>
      </w:tblPr>
      <w:tr>
        <w:trPr>
          <w:trHeight w:val="128"/>
        </w:trPr>
        <w:tc>
          <w:tcPr>
            <w:tcW w:w="5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jc w:val="right"/>
              <w:ind w:right="372"/>
              <w:spacing w:after="0" w:line="129" w:lineRule="exact"/>
              <w:rPr>
                <w:sz w:val="20"/>
                <w:szCs w:val="20"/>
                <w:color w:val="auto"/>
              </w:rPr>
            </w:pPr>
            <w:r>
              <w:rPr>
                <w:rFonts w:ascii="Arial" w:cs="Arial" w:eastAsia="Arial" w:hAnsi="Arial"/>
                <w:sz w:val="12"/>
                <w:szCs w:val="12"/>
                <w:b w:val="1"/>
                <w:bCs w:val="1"/>
                <w:color w:val="auto"/>
              </w:rPr>
              <w:t>Within One to</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5780" w:type="dxa"/>
            <w:vAlign w:val="bottom"/>
            <w:tcBorders>
              <w:bottom w:val="single" w:sz="8" w:color="CFF0FC"/>
            </w:tcBorders>
          </w:tcPr>
          <w:p>
            <w:pPr>
              <w:spacing w:after="0"/>
              <w:rPr>
                <w:sz w:val="20"/>
                <w:szCs w:val="20"/>
                <w:color w:val="auto"/>
              </w:rPr>
            </w:pPr>
            <w:r>
              <w:rPr>
                <w:rFonts w:ascii="Arial" w:cs="Arial" w:eastAsia="Arial" w:hAnsi="Arial"/>
                <w:sz w:val="12"/>
                <w:szCs w:val="12"/>
                <w:b w:val="1"/>
                <w:bCs w:val="1"/>
                <w:color w:val="auto"/>
              </w:rPr>
              <w:t>Period RUPO Will Be Satisfied</w:t>
            </w: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Within One Year</w:t>
            </w:r>
          </w:p>
        </w:tc>
        <w:tc>
          <w:tcPr>
            <w:tcW w:w="2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472"/>
              <w:spacing w:after="0"/>
              <w:rPr>
                <w:sz w:val="20"/>
                <w:szCs w:val="20"/>
                <w:color w:val="auto"/>
              </w:rPr>
            </w:pPr>
            <w:r>
              <w:rPr>
                <w:rFonts w:ascii="Arial" w:cs="Arial" w:eastAsia="Arial" w:hAnsi="Arial"/>
                <w:sz w:val="12"/>
                <w:szCs w:val="12"/>
                <w:b w:val="1"/>
                <w:bCs w:val="1"/>
                <w:color w:val="auto"/>
              </w:rPr>
              <w:t>Two Years</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Thereafter</w:t>
            </w:r>
          </w:p>
        </w:tc>
        <w:tc>
          <w:tcPr>
            <w:tcW w:w="120" w:type="dxa"/>
            <w:vAlign w:val="bottom"/>
            <w:tcBorders>
              <w:bottom w:val="single" w:sz="8" w:color="CFF0FC"/>
            </w:tcBorders>
          </w:tcPr>
          <w:p>
            <w:pPr>
              <w:spacing w:after="0"/>
              <w:rPr>
                <w:sz w:val="12"/>
                <w:szCs w:val="12"/>
                <w:color w:val="auto"/>
              </w:rPr>
            </w:pPr>
          </w:p>
        </w:tc>
      </w:tr>
      <w:tr>
        <w:trPr>
          <w:trHeight w:val="168"/>
        </w:trPr>
        <w:tc>
          <w:tcPr>
            <w:tcW w:w="57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1,317,910</w:t>
            </w:r>
          </w:p>
        </w:tc>
        <w:tc>
          <w:tcPr>
            <w:tcW w:w="52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516,228</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292,648</w:t>
            </w:r>
          </w:p>
        </w:tc>
        <w:tc>
          <w:tcPr>
            <w:tcW w:w="120" w:type="dxa"/>
            <w:vAlign w:val="bottom"/>
            <w:shd w:val="clear" w:color="auto" w:fill="CFF0FC"/>
          </w:tcPr>
          <w:p>
            <w:pPr>
              <w:spacing w:after="0"/>
              <w:rPr>
                <w:sz w:val="14"/>
                <w:szCs w:val="14"/>
                <w:color w:val="auto"/>
              </w:rPr>
            </w:pPr>
          </w:p>
        </w:tc>
      </w:tr>
      <w:tr>
        <w:trPr>
          <w:trHeight w:val="177"/>
        </w:trPr>
        <w:tc>
          <w:tcPr>
            <w:tcW w:w="57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1,423,782</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702,041</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920,352</w:t>
            </w:r>
          </w:p>
        </w:tc>
        <w:tc>
          <w:tcPr>
            <w:tcW w:w="120" w:type="dxa"/>
            <w:vAlign w:val="bottom"/>
            <w:tcBorders>
              <w:bottom w:val="single" w:sz="8" w:color="CFF0FC"/>
            </w:tcBorders>
          </w:tcPr>
          <w:p>
            <w:pPr>
              <w:spacing w:after="0"/>
              <w:rPr>
                <w:sz w:val="15"/>
                <w:szCs w:val="15"/>
                <w:color w:val="auto"/>
              </w:rPr>
            </w:pPr>
          </w:p>
        </w:tc>
      </w:tr>
      <w:tr>
        <w:trPr>
          <w:trHeight w:val="168"/>
        </w:trPr>
        <w:tc>
          <w:tcPr>
            <w:tcW w:w="5780" w:type="dxa"/>
            <w:vAlign w:val="bottom"/>
            <w:shd w:val="clear" w:color="auto" w:fill="CFF0FC"/>
          </w:tcPr>
          <w:p>
            <w:pPr>
              <w:ind w:left="180"/>
              <w:spacing w:after="0" w:line="169" w:lineRule="exact"/>
              <w:rPr>
                <w:sz w:val="20"/>
                <w:szCs w:val="20"/>
                <w:color w:val="auto"/>
              </w:rPr>
            </w:pPr>
            <w:r>
              <w:rPr>
                <w:rFonts w:ascii="Arial" w:cs="Arial" w:eastAsia="Arial" w:hAnsi="Arial"/>
                <w:sz w:val="15"/>
                <w:szCs w:val="15"/>
                <w:color w:val="auto"/>
              </w:rPr>
              <w:t>Total</w:t>
            </w: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2,741,692</w:t>
            </w:r>
          </w:p>
        </w:tc>
        <w:tc>
          <w:tcPr>
            <w:tcW w:w="52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5"/>
                <w:szCs w:val="15"/>
                <w:color w:val="auto"/>
              </w:rPr>
              <w:t>$</w:t>
            </w:r>
          </w:p>
        </w:tc>
        <w:tc>
          <w:tcPr>
            <w:tcW w:w="13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1,218,269</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1,213,000</w:t>
            </w:r>
          </w:p>
        </w:tc>
        <w:tc>
          <w:tcPr>
            <w:tcW w:w="120" w:type="dxa"/>
            <w:vAlign w:val="bottom"/>
            <w:shd w:val="clear" w:color="auto" w:fill="CFF0FC"/>
          </w:tcPr>
          <w:p>
            <w:pPr>
              <w:spacing w:after="0"/>
              <w:rPr>
                <w:sz w:val="14"/>
                <w:szCs w:val="14"/>
                <w:color w:val="auto"/>
              </w:rPr>
            </w:pPr>
          </w:p>
        </w:tc>
      </w:tr>
      <w:tr>
        <w:trPr>
          <w:trHeight w:val="20"/>
        </w:trPr>
        <w:tc>
          <w:tcPr>
            <w:tcW w:w="57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81" w:lineRule="exact"/>
        <w:rPr>
          <w:sz w:val="20"/>
          <w:szCs w:val="20"/>
          <w:color w:val="auto"/>
        </w:rPr>
      </w:pPr>
    </w:p>
    <w:p>
      <w:pPr>
        <w:ind w:left="660" w:hanging="651"/>
        <w:spacing w:after="0"/>
        <w:tabs>
          <w:tab w:leader="none" w:pos="660"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00" w:lineRule="exact"/>
        <w:rPr>
          <w:sz w:val="20"/>
          <w:szCs w:val="20"/>
          <w:color w:val="auto"/>
        </w:rPr>
      </w:pPr>
    </w:p>
    <w:p>
      <w:pPr>
        <w:ind w:right="340" w:firstLine="591"/>
        <w:spacing w:after="0" w:line="264" w:lineRule="auto"/>
        <w:rPr>
          <w:sz w:val="20"/>
          <w:szCs w:val="20"/>
          <w:color w:val="auto"/>
        </w:rPr>
      </w:pPr>
      <w:r>
        <w:rPr>
          <w:rFonts w:ascii="Arial" w:cs="Arial" w:eastAsia="Arial" w:hAnsi="Arial"/>
          <w:sz w:val="14"/>
          <w:szCs w:val="14"/>
          <w:color w:val="auto"/>
        </w:rPr>
        <w:t>The Company has operating and finance leases for corporate and project office spaces, vehicles, heavy machinery and office equipment. Our leases have remaining lease terms of one year to nine years, some of which may include options to extend the leases for up to five years, and some of which may include options to</w:t>
      </w:r>
    </w:p>
    <w:p>
      <w:pPr>
        <w:ind w:right="200"/>
        <w:spacing w:after="0" w:line="284" w:lineRule="auto"/>
        <w:rPr>
          <w:sz w:val="20"/>
          <w:szCs w:val="20"/>
          <w:color w:val="auto"/>
        </w:rPr>
      </w:pPr>
      <w:r>
        <w:rPr>
          <w:rFonts w:ascii="Arial" w:cs="Arial" w:eastAsia="Arial" w:hAnsi="Arial"/>
          <w:sz w:val="15"/>
          <w:szCs w:val="15"/>
          <w:color w:val="auto"/>
        </w:rPr>
        <w:t>terminate the leases up to the third year. As of December 31, 2020 and December 31, 2019, assets recorded under finance leases were $3.4 million and $2.4 million, and accumulated depreciation associated with finance leases was $2.2 million and $0.7 million, respectively.</w:t>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components of lease costs for the years ended December 31, 2020 and December 31, 2019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2020</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lease cost</w:t>
            </w:r>
          </w:p>
        </w:tc>
        <w:tc>
          <w:tcPr>
            <w:tcW w:w="1000" w:type="dxa"/>
            <w:vAlign w:val="bottom"/>
            <w:shd w:val="clear" w:color="auto" w:fill="CFF0FC"/>
          </w:tcPr>
          <w:p>
            <w:pPr>
              <w:jc w:val="right"/>
              <w:ind w:right="851"/>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66,159</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70,112</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Short-term lease cost</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15,624</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11,988</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Amortization of right-of-use assets</w:t>
            </w:r>
          </w:p>
        </w:tc>
        <w:tc>
          <w:tcPr>
            <w:tcW w:w="10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1,496</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746</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Interest on lease liabilities</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146</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Sublease income</w:t>
            </w:r>
          </w:p>
        </w:tc>
        <w:tc>
          <w:tcPr>
            <w:tcW w:w="10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(3,731)</w:t>
            </w: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(3,620)</w:t>
            </w: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Total lease cost</w:t>
            </w:r>
          </w:p>
        </w:tc>
        <w:tc>
          <w:tcPr>
            <w:tcW w:w="1000" w:type="dxa"/>
            <w:vAlign w:val="bottom"/>
            <w:tcBorders>
              <w:top w:val="single" w:sz="8" w:color="auto"/>
              <w:bottom w:val="single" w:sz="8" w:color="auto"/>
            </w:tcBorders>
          </w:tcPr>
          <w:p>
            <w:pPr>
              <w:jc w:val="right"/>
              <w:ind w:right="851"/>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79,694</w:t>
            </w:r>
          </w:p>
        </w:tc>
        <w:tc>
          <w:tcPr>
            <w:tcW w:w="3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79,303</w:t>
            </w:r>
          </w:p>
        </w:tc>
        <w:tc>
          <w:tcPr>
            <w:tcW w:w="120" w:type="dxa"/>
            <w:vAlign w:val="bottom"/>
          </w:tcPr>
          <w:p>
            <w:pPr>
              <w:spacing w:after="0"/>
              <w:rPr>
                <w:sz w:val="14"/>
                <w:szCs w:val="14"/>
                <w:color w:val="auto"/>
              </w:rPr>
            </w:pPr>
          </w:p>
        </w:tc>
      </w:tr>
      <w:tr>
        <w:trPr>
          <w:trHeight w:val="20"/>
        </w:trPr>
        <w:tc>
          <w:tcPr>
            <w:tcW w:w="77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Supplemental cash flow information related to leases for the years ended December 31, 2020 and December 31, 2019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380" w:type="dxa"/>
            <w:vAlign w:val="bottom"/>
            <w:tcBorders>
              <w:bottom w:val="single" w:sz="8" w:color="CFF0FC"/>
            </w:tcBorders>
          </w:tcPr>
          <w:p>
            <w:pPr>
              <w:spacing w:after="0"/>
              <w:rPr>
                <w:sz w:val="12"/>
                <w:szCs w:val="12"/>
                <w:color w:val="auto"/>
              </w:rPr>
            </w:pPr>
          </w:p>
        </w:tc>
        <w:tc>
          <w:tcPr>
            <w:tcW w:w="33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2"/>
                <w:szCs w:val="12"/>
                <w:b w:val="1"/>
                <w:bCs w:val="1"/>
                <w:color w:val="auto"/>
              </w:rPr>
              <w:t>2020</w:t>
            </w:r>
          </w:p>
        </w:tc>
        <w:tc>
          <w:tcPr>
            <w:tcW w:w="54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43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cash flows for operating leases</w:t>
            </w:r>
          </w:p>
        </w:tc>
        <w:tc>
          <w:tcPr>
            <w:tcW w:w="4380" w:type="dxa"/>
            <w:vAlign w:val="bottom"/>
            <w:gridSpan w:val="2"/>
            <w:shd w:val="clear" w:color="auto" w:fill="CFF0FC"/>
          </w:tcPr>
          <w:p>
            <w:pPr>
              <w:jc w:val="right"/>
              <w:ind w:right="861"/>
              <w:spacing w:after="0" w:line="169"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62,117</w:t>
            </w:r>
          </w:p>
        </w:tc>
        <w:tc>
          <w:tcPr>
            <w:tcW w:w="66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62,714</w:t>
            </w:r>
          </w:p>
        </w:tc>
        <w:tc>
          <w:tcPr>
            <w:tcW w:w="120" w:type="dxa"/>
            <w:vAlign w:val="bottom"/>
            <w:shd w:val="clear" w:color="auto" w:fill="CFF0FC"/>
          </w:tcPr>
          <w:p>
            <w:pPr>
              <w:spacing w:after="0"/>
              <w:rPr>
                <w:sz w:val="14"/>
                <w:szCs w:val="14"/>
                <w:color w:val="auto"/>
              </w:rPr>
            </w:pPr>
          </w:p>
        </w:tc>
      </w:tr>
      <w:tr>
        <w:trPr>
          <w:trHeight w:val="177"/>
        </w:trPr>
        <w:tc>
          <w:tcPr>
            <w:tcW w:w="4380" w:type="dxa"/>
            <w:vAlign w:val="bottom"/>
          </w:tcPr>
          <w:p>
            <w:pPr>
              <w:spacing w:after="0"/>
              <w:rPr>
                <w:sz w:val="20"/>
                <w:szCs w:val="20"/>
                <w:color w:val="auto"/>
              </w:rPr>
            </w:pPr>
            <w:r>
              <w:rPr>
                <w:rFonts w:ascii="Arial" w:cs="Arial" w:eastAsia="Arial" w:hAnsi="Arial"/>
                <w:sz w:val="15"/>
                <w:szCs w:val="15"/>
                <w:color w:val="auto"/>
              </w:rPr>
              <w:t>Operating cash flows for financing activities</w:t>
            </w:r>
          </w:p>
        </w:tc>
        <w:tc>
          <w:tcPr>
            <w:tcW w:w="3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147</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77</w:t>
            </w:r>
          </w:p>
        </w:tc>
        <w:tc>
          <w:tcPr>
            <w:tcW w:w="120" w:type="dxa"/>
            <w:vAlign w:val="bottom"/>
          </w:tcPr>
          <w:p>
            <w:pPr>
              <w:spacing w:after="0"/>
              <w:rPr>
                <w:sz w:val="15"/>
                <w:szCs w:val="15"/>
                <w:color w:val="auto"/>
              </w:rPr>
            </w:pPr>
          </w:p>
        </w:tc>
      </w:tr>
      <w:tr>
        <w:trPr>
          <w:trHeight w:val="177"/>
        </w:trPr>
        <w:tc>
          <w:tcPr>
            <w:tcW w:w="4380" w:type="dxa"/>
            <w:vAlign w:val="bottom"/>
            <w:shd w:val="clear" w:color="auto" w:fill="CFF0FC"/>
          </w:tcPr>
          <w:p>
            <w:pPr>
              <w:spacing w:after="0"/>
              <w:rPr>
                <w:sz w:val="20"/>
                <w:szCs w:val="20"/>
                <w:color w:val="auto"/>
              </w:rPr>
            </w:pPr>
            <w:r>
              <w:rPr>
                <w:rFonts w:ascii="Arial" w:cs="Arial" w:eastAsia="Arial" w:hAnsi="Arial"/>
                <w:sz w:val="15"/>
                <w:szCs w:val="15"/>
                <w:color w:val="auto"/>
              </w:rPr>
              <w:t>Financing cash flows from finance leases</w:t>
            </w:r>
          </w:p>
        </w:tc>
        <w:tc>
          <w:tcPr>
            <w:tcW w:w="3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1,551</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863</w:t>
            </w:r>
          </w:p>
        </w:tc>
        <w:tc>
          <w:tcPr>
            <w:tcW w:w="120" w:type="dxa"/>
            <w:vAlign w:val="bottom"/>
            <w:shd w:val="clear" w:color="auto" w:fill="CFF0FC"/>
          </w:tcPr>
          <w:p>
            <w:pPr>
              <w:spacing w:after="0"/>
              <w:rPr>
                <w:sz w:val="15"/>
                <w:szCs w:val="15"/>
                <w:color w:val="auto"/>
              </w:rPr>
            </w:pPr>
          </w:p>
        </w:tc>
      </w:tr>
      <w:tr>
        <w:trPr>
          <w:trHeight w:val="177"/>
        </w:trPr>
        <w:tc>
          <w:tcPr>
            <w:tcW w:w="4380" w:type="dxa"/>
            <w:vAlign w:val="bottom"/>
          </w:tcPr>
          <w:p>
            <w:pPr>
              <w:spacing w:after="0"/>
              <w:rPr>
                <w:sz w:val="20"/>
                <w:szCs w:val="20"/>
                <w:color w:val="auto"/>
              </w:rPr>
            </w:pPr>
            <w:r>
              <w:rPr>
                <w:rFonts w:ascii="Arial" w:cs="Arial" w:eastAsia="Arial" w:hAnsi="Arial"/>
                <w:sz w:val="15"/>
                <w:szCs w:val="15"/>
                <w:color w:val="auto"/>
              </w:rPr>
              <w:t>Right-of-use assets obtained in exchange for new</w:t>
            </w:r>
          </w:p>
        </w:tc>
        <w:tc>
          <w:tcPr>
            <w:tcW w:w="3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7"/>
        </w:trPr>
        <w:tc>
          <w:tcPr>
            <w:tcW w:w="4380" w:type="dxa"/>
            <w:vAlign w:val="bottom"/>
          </w:tcPr>
          <w:p>
            <w:pPr>
              <w:ind w:left="140"/>
              <w:spacing w:after="0" w:line="167" w:lineRule="exact"/>
              <w:rPr>
                <w:sz w:val="20"/>
                <w:szCs w:val="20"/>
                <w:color w:val="auto"/>
              </w:rPr>
            </w:pPr>
            <w:r>
              <w:rPr>
                <w:rFonts w:ascii="Arial" w:cs="Arial" w:eastAsia="Arial" w:hAnsi="Arial"/>
                <w:sz w:val="15"/>
                <w:szCs w:val="15"/>
                <w:color w:val="auto"/>
              </w:rPr>
              <w:t>operating lease liabilities</w:t>
            </w:r>
          </w:p>
        </w:tc>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line="167" w:lineRule="exact"/>
              <w:rPr>
                <w:sz w:val="20"/>
                <w:szCs w:val="20"/>
                <w:color w:val="auto"/>
              </w:rPr>
            </w:pPr>
            <w:r>
              <w:rPr>
                <w:rFonts w:ascii="Arial" w:cs="Arial" w:eastAsia="Arial" w:hAnsi="Arial"/>
                <w:sz w:val="15"/>
                <w:szCs w:val="15"/>
                <w:color w:val="auto"/>
              </w:rPr>
              <w:t>23,949</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7" w:lineRule="exact"/>
              <w:rPr>
                <w:sz w:val="20"/>
                <w:szCs w:val="20"/>
                <w:color w:val="auto"/>
              </w:rPr>
            </w:pPr>
            <w:r>
              <w:rPr>
                <w:rFonts w:ascii="Arial" w:cs="Arial" w:eastAsia="Arial" w:hAnsi="Arial"/>
                <w:sz w:val="15"/>
                <w:szCs w:val="15"/>
                <w:color w:val="auto"/>
              </w:rPr>
              <w:t>299,503</w:t>
            </w:r>
          </w:p>
        </w:tc>
        <w:tc>
          <w:tcPr>
            <w:tcW w:w="120" w:type="dxa"/>
            <w:vAlign w:val="bottom"/>
          </w:tcPr>
          <w:p>
            <w:pPr>
              <w:spacing w:after="0"/>
              <w:rPr>
                <w:sz w:val="14"/>
                <w:szCs w:val="14"/>
                <w:color w:val="auto"/>
              </w:rPr>
            </w:pPr>
          </w:p>
        </w:tc>
      </w:tr>
      <w:tr>
        <w:trPr>
          <w:trHeight w:val="177"/>
        </w:trPr>
        <w:tc>
          <w:tcPr>
            <w:tcW w:w="4380" w:type="dxa"/>
            <w:vAlign w:val="bottom"/>
            <w:shd w:val="clear" w:color="auto" w:fill="CFF0FC"/>
          </w:tcPr>
          <w:p>
            <w:pPr>
              <w:spacing w:after="0"/>
              <w:rPr>
                <w:sz w:val="20"/>
                <w:szCs w:val="20"/>
                <w:color w:val="auto"/>
              </w:rPr>
            </w:pPr>
            <w:r>
              <w:rPr>
                <w:rFonts w:ascii="Arial" w:cs="Arial" w:eastAsia="Arial" w:hAnsi="Arial"/>
                <w:sz w:val="15"/>
                <w:szCs w:val="15"/>
                <w:color w:val="auto"/>
              </w:rPr>
              <w:t>Right-of-use assets obtained in exchange for new</w:t>
            </w:r>
          </w:p>
        </w:tc>
        <w:tc>
          <w:tcPr>
            <w:tcW w:w="33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7"/>
        </w:trPr>
        <w:tc>
          <w:tcPr>
            <w:tcW w:w="438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finance lease liabilities</w:t>
            </w:r>
          </w:p>
        </w:tc>
        <w:tc>
          <w:tcPr>
            <w:tcW w:w="4380" w:type="dxa"/>
            <w:vAlign w:val="bottom"/>
            <w:gridSpan w:val="2"/>
            <w:shd w:val="clear" w:color="auto" w:fill="CFF0FC"/>
          </w:tcPr>
          <w:p>
            <w:pPr>
              <w:jc w:val="right"/>
              <w:ind w:right="861"/>
              <w:spacing w:after="0" w:line="167" w:lineRule="exact"/>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1,018</w:t>
            </w:r>
          </w:p>
        </w:tc>
        <w:tc>
          <w:tcPr>
            <w:tcW w:w="660" w:type="dxa"/>
            <w:vAlign w:val="bottom"/>
            <w:gridSpan w:val="2"/>
            <w:shd w:val="clear" w:color="auto" w:fill="CFF0FC"/>
          </w:tcPr>
          <w:p>
            <w:pPr>
              <w:jc w:val="right"/>
              <w:ind w:right="280"/>
              <w:spacing w:after="0" w:line="167"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3,124</w:t>
            </w:r>
          </w:p>
        </w:tc>
        <w:tc>
          <w:tcPr>
            <w:tcW w:w="120" w:type="dxa"/>
            <w:vAlign w:val="bottom"/>
            <w:shd w:val="clear" w:color="auto" w:fill="CFF0FC"/>
          </w:tcPr>
          <w:p>
            <w:pPr>
              <w:spacing w:after="0"/>
              <w:rPr>
                <w:sz w:val="14"/>
                <w:szCs w:val="14"/>
                <w:color w:val="auto"/>
              </w:rPr>
            </w:pPr>
          </w:p>
        </w:tc>
      </w:tr>
      <w:tr>
        <w:trPr>
          <w:trHeight w:val="532"/>
        </w:trPr>
        <w:tc>
          <w:tcPr>
            <w:tcW w:w="4380" w:type="dxa"/>
            <w:vAlign w:val="bottom"/>
          </w:tcPr>
          <w:p>
            <w:pPr>
              <w:spacing w:after="0"/>
              <w:rPr>
                <w:sz w:val="24"/>
                <w:szCs w:val="24"/>
                <w:color w:val="auto"/>
              </w:rPr>
            </w:pPr>
          </w:p>
        </w:tc>
        <w:tc>
          <w:tcPr>
            <w:tcW w:w="4380" w:type="dxa"/>
            <w:vAlign w:val="bottom"/>
            <w:gridSpan w:val="2"/>
          </w:tcPr>
          <w:p>
            <w:pPr>
              <w:jc w:val="right"/>
              <w:ind w:right="2901"/>
              <w:spacing w:after="0"/>
              <w:rPr>
                <w:sz w:val="20"/>
                <w:szCs w:val="20"/>
                <w:color w:val="auto"/>
              </w:rPr>
            </w:pPr>
            <w:r>
              <w:rPr>
                <w:rFonts w:ascii="Arial" w:cs="Arial" w:eastAsia="Arial" w:hAnsi="Arial"/>
                <w:sz w:val="15"/>
                <w:szCs w:val="15"/>
                <w:color w:val="auto"/>
              </w:rPr>
              <w:t>F-30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4380" w:type="dxa"/>
            <w:vAlign w:val="bottom"/>
            <w:tcBorders>
              <w:bottom w:val="single" w:sz="8" w:color="9A9A9A"/>
            </w:tcBorders>
          </w:tcPr>
          <w:p>
            <w:pPr>
              <w:spacing w:after="0"/>
              <w:rPr>
                <w:sz w:val="6"/>
                <w:szCs w:val="6"/>
                <w:color w:val="auto"/>
              </w:rPr>
            </w:pPr>
          </w:p>
        </w:tc>
        <w:tc>
          <w:tcPr>
            <w:tcW w:w="338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Supplemental balance sheet and other information related to leases as of December 31, 2020 and December 31, 2019 is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340" w:type="dxa"/>
            <w:vAlign w:val="bottom"/>
          </w:tcPr>
          <w:p>
            <w:pPr>
              <w:spacing w:after="0"/>
              <w:rPr>
                <w:sz w:val="12"/>
                <w:szCs w:val="12"/>
                <w:color w:val="auto"/>
              </w:rPr>
            </w:pPr>
          </w:p>
        </w:tc>
        <w:tc>
          <w:tcPr>
            <w:tcW w:w="33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2020</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right"/>
              <w:ind w:right="587"/>
              <w:spacing w:after="0"/>
              <w:rPr>
                <w:sz w:val="20"/>
                <w:szCs w:val="20"/>
                <w:color w:val="auto"/>
              </w:rPr>
            </w:pPr>
            <w:r>
              <w:rPr>
                <w:rFonts w:ascii="Arial" w:cs="Arial" w:eastAsia="Arial" w:hAnsi="Arial"/>
                <w:sz w:val="12"/>
                <w:szCs w:val="12"/>
                <w:b w:val="1"/>
                <w:bCs w:val="1"/>
                <w:color w:val="auto"/>
              </w:rPr>
              <w:t>2019</w:t>
            </w:r>
          </w:p>
        </w:tc>
        <w:tc>
          <w:tcPr>
            <w:tcW w:w="140" w:type="dxa"/>
            <w:vAlign w:val="bottom"/>
          </w:tcPr>
          <w:p>
            <w:pPr>
              <w:spacing w:after="0"/>
              <w:rPr>
                <w:sz w:val="12"/>
                <w:szCs w:val="12"/>
                <w:color w:val="auto"/>
              </w:rPr>
            </w:pPr>
          </w:p>
        </w:tc>
      </w:tr>
      <w:tr>
        <w:trPr>
          <w:trHeight w:val="168"/>
        </w:trPr>
        <w:tc>
          <w:tcPr>
            <w:tcW w:w="534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Operating Leases:</w:t>
            </w:r>
          </w:p>
        </w:tc>
        <w:tc>
          <w:tcPr>
            <w:tcW w:w="238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CFF0FC"/>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Right-of-use assets</w:t>
            </w:r>
          </w:p>
        </w:tc>
        <w:tc>
          <w:tcPr>
            <w:tcW w:w="332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210,398</w:t>
            </w:r>
          </w:p>
        </w:tc>
        <w:tc>
          <w:tcPr>
            <w:tcW w:w="32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233,415</w:t>
            </w:r>
          </w:p>
        </w:tc>
        <w:tc>
          <w:tcPr>
            <w:tcW w:w="140" w:type="dxa"/>
            <w:vAlign w:val="bottom"/>
          </w:tcPr>
          <w:p>
            <w:pPr>
              <w:spacing w:after="0"/>
              <w:rPr>
                <w:sz w:val="15"/>
                <w:szCs w:val="15"/>
                <w:color w:val="auto"/>
              </w:rPr>
            </w:pP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Lease liabilities:</w:t>
            </w:r>
          </w:p>
        </w:tc>
        <w:tc>
          <w:tcPr>
            <w:tcW w:w="23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7"/>
        </w:trPr>
        <w:tc>
          <w:tcPr>
            <w:tcW w:w="5340" w:type="dxa"/>
            <w:vAlign w:val="bottom"/>
          </w:tcPr>
          <w:p>
            <w:pPr>
              <w:ind w:left="220"/>
              <w:spacing w:after="0"/>
              <w:rPr>
                <w:sz w:val="20"/>
                <w:szCs w:val="20"/>
                <w:color w:val="auto"/>
              </w:rPr>
            </w:pPr>
            <w:r>
              <w:rPr>
                <w:rFonts w:ascii="Arial" w:cs="Arial" w:eastAsia="Arial" w:hAnsi="Arial"/>
                <w:sz w:val="15"/>
                <w:szCs w:val="15"/>
                <w:color w:val="auto"/>
              </w:rPr>
              <w:t>Current</w:t>
            </w:r>
          </w:p>
        </w:tc>
        <w:tc>
          <w:tcPr>
            <w:tcW w:w="332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54,133</w:t>
            </w:r>
          </w:p>
        </w:tc>
        <w:tc>
          <w:tcPr>
            <w:tcW w:w="32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49,994</w:t>
            </w:r>
          </w:p>
        </w:tc>
        <w:tc>
          <w:tcPr>
            <w:tcW w:w="140" w:type="dxa"/>
            <w:vAlign w:val="bottom"/>
          </w:tcPr>
          <w:p>
            <w:pPr>
              <w:spacing w:after="0"/>
              <w:rPr>
                <w:sz w:val="15"/>
                <w:szCs w:val="15"/>
                <w:color w:val="auto"/>
              </w:rPr>
            </w:pPr>
          </w:p>
        </w:tc>
      </w:tr>
      <w:tr>
        <w:trPr>
          <w:trHeight w:val="177"/>
        </w:trPr>
        <w:tc>
          <w:tcPr>
            <w:tcW w:w="53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Long-term</w:t>
            </w:r>
          </w:p>
        </w:tc>
        <w:tc>
          <w:tcPr>
            <w:tcW w:w="2380" w:type="dxa"/>
            <w:vAlign w:val="bottom"/>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182,467</w:t>
            </w:r>
          </w:p>
        </w:tc>
        <w:tc>
          <w:tcPr>
            <w:tcW w:w="32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203,624</w:t>
            </w:r>
          </w:p>
        </w:tc>
        <w:tc>
          <w:tcPr>
            <w:tcW w:w="140" w:type="dxa"/>
            <w:vAlign w:val="bottom"/>
            <w:shd w:val="clear" w:color="auto" w:fill="CFF0FC"/>
          </w:tcPr>
          <w:p>
            <w:pPr>
              <w:spacing w:after="0"/>
              <w:rPr>
                <w:sz w:val="15"/>
                <w:szCs w:val="15"/>
                <w:color w:val="auto"/>
              </w:rPr>
            </w:pPr>
          </w:p>
        </w:tc>
      </w:tr>
      <w:tr>
        <w:trPr>
          <w:trHeight w:val="208"/>
        </w:trPr>
        <w:tc>
          <w:tcPr>
            <w:tcW w:w="5340" w:type="dxa"/>
            <w:vAlign w:val="bottom"/>
          </w:tcPr>
          <w:p>
            <w:pPr>
              <w:spacing w:after="0" w:line="169" w:lineRule="exact"/>
              <w:rPr>
                <w:sz w:val="20"/>
                <w:szCs w:val="20"/>
                <w:color w:val="auto"/>
              </w:rPr>
            </w:pPr>
            <w:r>
              <w:rPr>
                <w:rFonts w:ascii="Arial" w:cs="Arial" w:eastAsia="Arial" w:hAnsi="Arial"/>
                <w:sz w:val="15"/>
                <w:szCs w:val="15"/>
                <w:color w:val="auto"/>
              </w:rPr>
              <w:t>Total operating lease liabilities</w:t>
            </w:r>
          </w:p>
        </w:tc>
        <w:tc>
          <w:tcPr>
            <w:tcW w:w="3320" w:type="dxa"/>
            <w:vAlign w:val="bottom"/>
            <w:gridSpan w:val="2"/>
          </w:tcPr>
          <w:p>
            <w:pPr>
              <w:jc w:val="right"/>
              <w:ind w:right="860"/>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236,600</w:t>
            </w:r>
          </w:p>
        </w:tc>
        <w:tc>
          <w:tcPr>
            <w:tcW w:w="320" w:type="dxa"/>
            <w:vAlign w:val="bottom"/>
          </w:tcPr>
          <w:p>
            <w:pPr>
              <w:spacing w:after="0"/>
              <w:rPr>
                <w:sz w:val="18"/>
                <w:szCs w:val="18"/>
                <w:color w:val="auto"/>
              </w:rPr>
            </w:pPr>
          </w:p>
        </w:tc>
        <w:tc>
          <w:tcPr>
            <w:tcW w:w="360" w:type="dxa"/>
            <w:vAlign w:val="bottom"/>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253,618</w:t>
            </w:r>
          </w:p>
        </w:tc>
        <w:tc>
          <w:tcPr>
            <w:tcW w:w="140" w:type="dxa"/>
            <w:vAlign w:val="bottom"/>
          </w:tcPr>
          <w:p>
            <w:pPr>
              <w:spacing w:after="0"/>
              <w:rPr>
                <w:sz w:val="18"/>
                <w:szCs w:val="18"/>
                <w:color w:val="auto"/>
              </w:rPr>
            </w:pPr>
          </w:p>
        </w:tc>
      </w:tr>
      <w:tr>
        <w:trPr>
          <w:trHeight w:val="151"/>
        </w:trPr>
        <w:tc>
          <w:tcPr>
            <w:tcW w:w="534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5"/>
                <w:szCs w:val="15"/>
                <w:color w:val="auto"/>
              </w:rPr>
              <w:t>Finance Leases:</w:t>
            </w:r>
          </w:p>
        </w:tc>
        <w:tc>
          <w:tcPr>
            <w:tcW w:w="2380" w:type="dxa"/>
            <w:vAlign w:val="bottom"/>
            <w:tcBorders>
              <w:top w:val="single" w:sz="8" w:color="CFF0FC"/>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320" w:type="dxa"/>
            <w:vAlign w:val="bottom"/>
            <w:tcBorders>
              <w:top w:val="single" w:sz="8" w:color="CFF0FC"/>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Other noncurrent assets</w:t>
            </w:r>
          </w:p>
        </w:tc>
        <w:tc>
          <w:tcPr>
            <w:tcW w:w="332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3,363</w:t>
            </w:r>
          </w:p>
        </w:tc>
        <w:tc>
          <w:tcPr>
            <w:tcW w:w="32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2,377</w:t>
            </w:r>
          </w:p>
        </w:tc>
        <w:tc>
          <w:tcPr>
            <w:tcW w:w="140" w:type="dxa"/>
            <w:vAlign w:val="bottom"/>
          </w:tcPr>
          <w:p>
            <w:pPr>
              <w:spacing w:after="0"/>
              <w:rPr>
                <w:sz w:val="15"/>
                <w:szCs w:val="15"/>
                <w:color w:val="auto"/>
              </w:rPr>
            </w:pP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Accrued expenses and other current liabilities</w:t>
            </w:r>
          </w:p>
        </w:tc>
        <w:tc>
          <w:tcPr>
            <w:tcW w:w="3320" w:type="dxa"/>
            <w:vAlign w:val="bottom"/>
            <w:gridSpan w:val="2"/>
            <w:shd w:val="clear" w:color="auto" w:fill="CFF0FC"/>
          </w:tcPr>
          <w:p>
            <w:pPr>
              <w:jc w:val="right"/>
              <w:ind w:right="860"/>
              <w:spacing w:after="0"/>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1,461</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1,075</w:t>
            </w:r>
          </w:p>
        </w:tc>
        <w:tc>
          <w:tcPr>
            <w:tcW w:w="140" w:type="dxa"/>
            <w:vAlign w:val="bottom"/>
            <w:shd w:val="clear" w:color="auto" w:fill="CFF0FC"/>
          </w:tcPr>
          <w:p>
            <w:pPr>
              <w:spacing w:after="0"/>
              <w:rPr>
                <w:sz w:val="15"/>
                <w:szCs w:val="15"/>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3320" w:type="dxa"/>
            <w:vAlign w:val="bottom"/>
            <w:gridSpan w:val="2"/>
          </w:tcPr>
          <w:p>
            <w:pPr>
              <w:jc w:val="right"/>
              <w:ind w:right="860"/>
              <w:spacing w:after="0"/>
              <w:rPr>
                <w:sz w:val="20"/>
                <w:szCs w:val="20"/>
                <w:color w:val="auto"/>
              </w:rPr>
            </w:pPr>
            <w:r>
              <w:rPr>
                <w:rFonts w:ascii="Arial" w:cs="Arial" w:eastAsia="Arial" w:hAnsi="Arial"/>
                <w:sz w:val="15"/>
                <w:szCs w:val="15"/>
                <w:color w:val="auto"/>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1,733</w:t>
            </w:r>
          </w:p>
        </w:tc>
        <w:tc>
          <w:tcPr>
            <w:tcW w:w="320" w:type="dxa"/>
            <w:vAlign w:val="bottom"/>
          </w:tcPr>
          <w:p>
            <w:pPr>
              <w:spacing w:after="0"/>
              <w:rPr>
                <w:sz w:val="15"/>
                <w:szCs w:val="15"/>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1,202</w:t>
            </w:r>
          </w:p>
        </w:tc>
        <w:tc>
          <w:tcPr>
            <w:tcW w:w="140" w:type="dxa"/>
            <w:vAlign w:val="bottom"/>
          </w:tcPr>
          <w:p>
            <w:pPr>
              <w:spacing w:after="0"/>
              <w:rPr>
                <w:sz w:val="15"/>
                <w:szCs w:val="15"/>
                <w:color w:val="auto"/>
              </w:rPr>
            </w:pPr>
          </w:p>
        </w:tc>
      </w:tr>
      <w:tr>
        <w:trPr>
          <w:trHeight w:val="177"/>
        </w:trPr>
        <w:tc>
          <w:tcPr>
            <w:tcW w:w="5340" w:type="dxa"/>
            <w:vAlign w:val="bottom"/>
            <w:shd w:val="clear" w:color="auto" w:fill="CFF0FC"/>
          </w:tcPr>
          <w:p>
            <w:pPr>
              <w:spacing w:after="0"/>
              <w:rPr>
                <w:sz w:val="15"/>
                <w:szCs w:val="15"/>
                <w:color w:val="auto"/>
              </w:rPr>
            </w:pPr>
          </w:p>
        </w:tc>
        <w:tc>
          <w:tcPr>
            <w:tcW w:w="23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Weighted Average Remaining Lease Term:</w:t>
            </w:r>
          </w:p>
        </w:tc>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leases</w:t>
            </w:r>
          </w:p>
        </w:tc>
        <w:tc>
          <w:tcPr>
            <w:tcW w:w="23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320"/>
              <w:spacing w:after="0"/>
              <w:rPr>
                <w:sz w:val="20"/>
                <w:szCs w:val="20"/>
                <w:color w:val="auto"/>
              </w:rPr>
            </w:pPr>
            <w:r>
              <w:rPr>
                <w:rFonts w:ascii="Arial" w:cs="Arial" w:eastAsia="Arial" w:hAnsi="Arial"/>
                <w:sz w:val="15"/>
                <w:szCs w:val="15"/>
                <w:color w:val="auto"/>
              </w:rPr>
              <w:t>5 years</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6 years</w:t>
            </w: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Finance leases</w:t>
            </w:r>
          </w:p>
        </w:tc>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5"/>
                <w:szCs w:val="15"/>
                <w:color w:val="auto"/>
              </w:rPr>
              <w:t>3 years</w:t>
            </w:r>
          </w:p>
        </w:tc>
        <w:tc>
          <w:tcPr>
            <w:tcW w:w="3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3 years</w:t>
            </w: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Weighted Average Discount Rate:</w:t>
            </w:r>
          </w:p>
        </w:tc>
        <w:tc>
          <w:tcPr>
            <w:tcW w:w="23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r>
      <w:tr>
        <w:trPr>
          <w:trHeight w:val="177"/>
        </w:trPr>
        <w:tc>
          <w:tcPr>
            <w:tcW w:w="5340" w:type="dxa"/>
            <w:vAlign w:val="bottom"/>
          </w:tcPr>
          <w:p>
            <w:pPr>
              <w:spacing w:after="0"/>
              <w:rPr>
                <w:sz w:val="20"/>
                <w:szCs w:val="20"/>
                <w:color w:val="auto"/>
              </w:rPr>
            </w:pPr>
            <w:r>
              <w:rPr>
                <w:rFonts w:ascii="Arial" w:cs="Arial" w:eastAsia="Arial" w:hAnsi="Arial"/>
                <w:sz w:val="15"/>
                <w:szCs w:val="15"/>
                <w:color w:val="auto"/>
              </w:rPr>
              <w:t>Operating leases</w:t>
            </w:r>
          </w:p>
        </w:tc>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3.7%</w:t>
            </w:r>
          </w:p>
        </w:tc>
        <w:tc>
          <w:tcPr>
            <w:tcW w:w="360" w:type="dxa"/>
            <w:vAlign w:val="bottom"/>
          </w:tcPr>
          <w:p>
            <w:pPr>
              <w:spacing w:after="0"/>
              <w:rPr>
                <w:sz w:val="15"/>
                <w:szCs w:val="15"/>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5"/>
                <w:szCs w:val="15"/>
                <w:color w:val="auto"/>
              </w:rPr>
              <w:t>4.0%</w:t>
            </w:r>
          </w:p>
        </w:tc>
      </w:tr>
      <w:tr>
        <w:trPr>
          <w:trHeight w:val="177"/>
        </w:trPr>
        <w:tc>
          <w:tcPr>
            <w:tcW w:w="5340" w:type="dxa"/>
            <w:vAlign w:val="bottom"/>
            <w:shd w:val="clear" w:color="auto" w:fill="CFF0FC"/>
          </w:tcPr>
          <w:p>
            <w:pPr>
              <w:spacing w:after="0"/>
              <w:rPr>
                <w:sz w:val="20"/>
                <w:szCs w:val="20"/>
                <w:color w:val="auto"/>
              </w:rPr>
            </w:pPr>
            <w:r>
              <w:rPr>
                <w:rFonts w:ascii="Arial" w:cs="Arial" w:eastAsia="Arial" w:hAnsi="Arial"/>
                <w:sz w:val="15"/>
                <w:szCs w:val="15"/>
                <w:color w:val="auto"/>
              </w:rPr>
              <w:t>Finance leases</w:t>
            </w:r>
          </w:p>
        </w:tc>
        <w:tc>
          <w:tcPr>
            <w:tcW w:w="23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3.8%</w:t>
            </w:r>
          </w:p>
        </w:tc>
        <w:tc>
          <w:tcPr>
            <w:tcW w:w="36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4.5%</w:t>
            </w:r>
          </w:p>
        </w:tc>
      </w:tr>
    </w:tbl>
    <w:p>
      <w:pPr>
        <w:spacing w:after="0" w:line="19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 of December 31, 2020, the Company has no additional operating leases, that have not yet commenced.</w:t>
      </w:r>
    </w:p>
    <w:p>
      <w:pPr>
        <w:spacing w:after="0" w:line="182" w:lineRule="exact"/>
        <w:rPr>
          <w:sz w:val="20"/>
          <w:szCs w:val="20"/>
          <w:color w:val="auto"/>
        </w:rPr>
      </w:pPr>
    </w:p>
    <w:p>
      <w:pPr>
        <w:ind w:right="380" w:firstLine="591"/>
        <w:spacing w:after="0" w:line="239" w:lineRule="auto"/>
        <w:rPr>
          <w:sz w:val="20"/>
          <w:szCs w:val="20"/>
          <w:color w:val="auto"/>
        </w:rPr>
      </w:pPr>
      <w:r>
        <w:rPr>
          <w:rFonts w:ascii="Arial" w:cs="Arial" w:eastAsia="Arial" w:hAnsi="Arial"/>
          <w:sz w:val="15"/>
          <w:szCs w:val="15"/>
          <w:color w:val="auto"/>
        </w:rPr>
        <w:t>A maturity analysis of the future undiscounted cash flows associated with the Company’s operating and finance lease liabilities as of December 31, 2020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Operating</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Finance</w:t>
            </w:r>
          </w:p>
        </w:tc>
      </w:tr>
      <w:tr>
        <w:trPr>
          <w:trHeight w:val="143"/>
        </w:trPr>
        <w:tc>
          <w:tcPr>
            <w:tcW w:w="77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Leases</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Leases</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2021</w:t>
            </w:r>
          </w:p>
        </w:tc>
        <w:tc>
          <w:tcPr>
            <w:tcW w:w="280" w:type="dxa"/>
            <w:vAlign w:val="bottom"/>
            <w:shd w:val="clear" w:color="auto" w:fill="CFF0FC"/>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61,477</w:t>
            </w:r>
          </w:p>
        </w:tc>
        <w:tc>
          <w:tcPr>
            <w:tcW w:w="1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1,547</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2022</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55,669</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992</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2023</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48,211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533</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2024</w:t>
            </w: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38,034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185</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2025</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27,756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74</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29,674</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5"/>
                <w:szCs w:val="15"/>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lease payments</w:t>
            </w: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260,821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3,331</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Less: imputed interest</w:t>
            </w:r>
          </w:p>
        </w:tc>
        <w:tc>
          <w:tcPr>
            <w:tcW w:w="28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5"/>
                <w:szCs w:val="15"/>
                <w:color w:val="auto"/>
              </w:rPr>
              <w:t>(24,221)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5"/>
                <w:szCs w:val="15"/>
                <w:color w:val="auto"/>
              </w:rPr>
              <w:t>(137)</w:t>
            </w:r>
          </w:p>
        </w:tc>
      </w:tr>
      <w:tr>
        <w:trPr>
          <w:trHeight w:val="20"/>
        </w:trPr>
        <w:tc>
          <w:tcPr>
            <w:tcW w:w="77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present value of lease liabilities</w:t>
            </w:r>
          </w:p>
        </w:tc>
        <w:tc>
          <w:tcPr>
            <w:tcW w:w="280" w:type="dxa"/>
            <w:vAlign w:val="bottom"/>
            <w:shd w:val="clear" w:color="auto" w:fill="CFF0FC"/>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236,600</w:t>
            </w:r>
          </w:p>
        </w:tc>
        <w:tc>
          <w:tcPr>
            <w:tcW w:w="180" w:type="dxa"/>
            <w:vAlign w:val="bottom"/>
            <w:shd w:val="clear" w:color="auto" w:fill="CFF0FC"/>
          </w:tcPr>
          <w:p>
            <w:pPr>
              <w:spacing w:after="0"/>
              <w:rPr>
                <w:sz w:val="14"/>
                <w:szCs w:val="14"/>
                <w:color w:val="auto"/>
              </w:rPr>
            </w:pPr>
          </w:p>
        </w:tc>
        <w:tc>
          <w:tcPr>
            <w:tcW w:w="440" w:type="dxa"/>
            <w:vAlign w:val="bottom"/>
            <w:gridSpan w:val="2"/>
            <w:shd w:val="clear" w:color="auto" w:fill="CFF0FC"/>
          </w:tcPr>
          <w:p>
            <w:pPr>
              <w:jc w:val="right"/>
              <w:ind w:right="240"/>
              <w:spacing w:after="0" w:line="169" w:lineRule="exact"/>
              <w:rPr>
                <w:sz w:val="20"/>
                <w:szCs w:val="20"/>
                <w:color w:val="auto"/>
              </w:rPr>
            </w:pPr>
            <w:r>
              <w:rPr>
                <w:rFonts w:ascii="Arial" w:cs="Arial" w:eastAsia="Arial" w:hAnsi="Arial"/>
                <w:sz w:val="15"/>
                <w:szCs w:val="15"/>
                <w:color w:val="auto"/>
              </w:rPr>
              <w:t>$</w:t>
            </w:r>
          </w:p>
        </w:tc>
        <w:tc>
          <w:tcPr>
            <w:tcW w:w="12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3,194</w:t>
            </w:r>
          </w:p>
        </w:tc>
        <w:tc>
          <w:tcPr>
            <w:tcW w:w="120" w:type="dxa"/>
            <w:vAlign w:val="bottom"/>
            <w:shd w:val="clear" w:color="auto" w:fill="CFF0FC"/>
          </w:tcPr>
          <w:p>
            <w:pPr>
              <w:spacing w:after="0"/>
              <w:rPr>
                <w:sz w:val="14"/>
                <w:szCs w:val="14"/>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65" w:lineRule="exact"/>
        <w:rPr>
          <w:sz w:val="20"/>
          <w:szCs w:val="20"/>
          <w:color w:val="auto"/>
        </w:rPr>
      </w:pPr>
    </w:p>
    <w:p>
      <w:pPr>
        <w:ind w:right="680" w:firstLine="591"/>
        <w:spacing w:after="0" w:line="239" w:lineRule="auto"/>
        <w:rPr>
          <w:sz w:val="20"/>
          <w:szCs w:val="20"/>
          <w:color w:val="auto"/>
        </w:rPr>
      </w:pPr>
      <w:r>
        <w:rPr>
          <w:rFonts w:ascii="Arial" w:cs="Arial" w:eastAsia="Arial" w:hAnsi="Arial"/>
          <w:sz w:val="15"/>
          <w:szCs w:val="15"/>
          <w:color w:val="auto"/>
        </w:rPr>
        <w:t>Rental expense for the years ended December 31, 2020, December 31, 2019 and December 31, 2018 was $81.8 million, $82.1 million and $ 79.8 million, respectively, and is recorded in “Indirect, general and administrative expenses” in the consolidated statements of income.</w:t>
      </w:r>
    </w:p>
    <w:p>
      <w:pPr>
        <w:spacing w:after="0" w:line="237" w:lineRule="exact"/>
        <w:rPr>
          <w:sz w:val="20"/>
          <w:szCs w:val="20"/>
          <w:color w:val="auto"/>
        </w:rPr>
      </w:pPr>
    </w:p>
    <w:p>
      <w:pPr>
        <w:ind w:left="600" w:right="6040" w:hanging="591"/>
        <w:spacing w:after="0" w:line="367" w:lineRule="auto"/>
        <w:tabs>
          <w:tab w:leader="none" w:pos="597" w:val="left"/>
        </w:tabs>
        <w:numPr>
          <w:ilvl w:val="0"/>
          <w:numId w:val="53"/>
        </w:numPr>
        <w:rPr>
          <w:rFonts w:ascii="Arial" w:cs="Arial" w:eastAsia="Arial" w:hAnsi="Arial"/>
          <w:sz w:val="15"/>
          <w:szCs w:val="15"/>
          <w:b w:val="1"/>
          <w:bCs w:val="1"/>
          <w:color w:val="auto"/>
        </w:rPr>
      </w:pPr>
      <w:r>
        <w:rPr>
          <w:rFonts w:ascii="Arial" w:cs="Arial" w:eastAsia="Arial" w:hAnsi="Arial"/>
          <w:sz w:val="15"/>
          <w:szCs w:val="15"/>
          <w:b w:val="1"/>
          <w:bCs w:val="1"/>
          <w:color w:val="auto"/>
        </w:rPr>
        <w:t>Employee Stock Purchase and Equity-Based Compensation Plans Employee Stock Purchase Plan</w:t>
      </w:r>
    </w:p>
    <w:p>
      <w:pPr>
        <w:ind w:right="560" w:firstLine="591"/>
        <w:spacing w:after="0" w:line="272" w:lineRule="auto"/>
        <w:rPr>
          <w:sz w:val="20"/>
          <w:szCs w:val="20"/>
          <w:color w:val="auto"/>
        </w:rPr>
      </w:pPr>
      <w:r>
        <w:rPr>
          <w:rFonts w:ascii="Arial" w:cs="Arial" w:eastAsia="Arial" w:hAnsi="Arial"/>
          <w:sz w:val="14"/>
          <w:szCs w:val="14"/>
          <w:color w:val="auto"/>
        </w:rPr>
        <w:t>The Parsons Corporation Employee Stock Purchase Plan (“ESPP”) was adopted effective March 1, 2020. Under the ESPP, eligible employees who elect to participate are granted the right to purchase shares of Parsons common stock at a discount of 5% of the market value on the last trading day of the offering period.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72"/>
        </w:trPr>
        <w:tc>
          <w:tcPr>
            <w:tcW w:w="9640" w:type="dxa"/>
            <w:vAlign w:val="bottom"/>
          </w:tcPr>
          <w:p>
            <w:pPr>
              <w:jc w:val="center"/>
              <w:ind w:left="1566"/>
              <w:spacing w:after="0"/>
              <w:rPr>
                <w:sz w:val="20"/>
                <w:szCs w:val="20"/>
                <w:color w:val="auto"/>
              </w:rPr>
            </w:pPr>
            <w:r>
              <w:rPr>
                <w:rFonts w:ascii="Arial" w:cs="Arial" w:eastAsia="Arial" w:hAnsi="Arial"/>
                <w:sz w:val="15"/>
                <w:szCs w:val="15"/>
                <w:b w:val="1"/>
                <w:bCs w:val="1"/>
                <w:color w:val="auto"/>
                <w:w w:val="98"/>
              </w:rPr>
              <w:t>PARSONS CORPORATION AND SUBSIDIARIES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6"/>
        </w:trPr>
        <w:tc>
          <w:tcPr>
            <w:tcW w:w="9640" w:type="dxa"/>
            <w:vAlign w:val="bottom"/>
          </w:tcPr>
          <w:p>
            <w:pPr>
              <w:jc w:val="center"/>
              <w:ind w:left="1566"/>
              <w:spacing w:after="0" w:line="167" w:lineRule="exact"/>
              <w:rPr>
                <w:sz w:val="20"/>
                <w:szCs w:val="20"/>
                <w:color w:val="auto"/>
              </w:rPr>
            </w:pPr>
            <w:r>
              <w:rPr>
                <w:rFonts w:ascii="Arial" w:cs="Arial" w:eastAsia="Arial" w:hAnsi="Arial"/>
                <w:sz w:val="15"/>
                <w:szCs w:val="15"/>
                <w:b w:val="1"/>
                <w:bCs w:val="1"/>
                <w:color w:val="auto"/>
                <w:w w:val="98"/>
              </w:rPr>
              <w:t>Notes to Consolidated Financial Statements</w:t>
            </w: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9640" w:type="dxa"/>
            <w:vAlign w:val="bottom"/>
            <w:tcBorders>
              <w:bottom w:val="single" w:sz="8" w:color="auto"/>
            </w:tcBorders>
          </w:tcPr>
          <w:p>
            <w:pPr>
              <w:jc w:val="center"/>
              <w:ind w:left="1586"/>
              <w:spacing w:after="0"/>
              <w:rPr>
                <w:sz w:val="20"/>
                <w:szCs w:val="20"/>
                <w:color w:val="auto"/>
              </w:rPr>
            </w:pPr>
            <w:r>
              <w:rPr>
                <w:rFonts w:ascii="Arial" w:cs="Arial" w:eastAsia="Arial" w:hAnsi="Arial"/>
                <w:sz w:val="15"/>
                <w:szCs w:val="15"/>
                <w:b w:val="1"/>
                <w:bCs w:val="1"/>
                <w:color w:val="auto"/>
                <w:w w:val="98"/>
              </w:rPr>
              <w:t>December 31, 2020, December 31, 2019 and December 31, 2018</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445"/>
        </w:trPr>
        <w:tc>
          <w:tcPr>
            <w:tcW w:w="9640" w:type="dxa"/>
            <w:vAlign w:val="bottom"/>
          </w:tcPr>
          <w:p>
            <w:pPr>
              <w:ind w:left="600"/>
              <w:spacing w:after="0"/>
              <w:rPr>
                <w:sz w:val="20"/>
                <w:szCs w:val="20"/>
                <w:color w:val="auto"/>
              </w:rPr>
            </w:pPr>
            <w:r>
              <w:rPr>
                <w:rFonts w:ascii="Arial" w:cs="Arial" w:eastAsia="Arial" w:hAnsi="Arial"/>
                <w:sz w:val="15"/>
                <w:szCs w:val="15"/>
                <w:color w:val="auto"/>
              </w:rPr>
              <w:t>The following table presents stock issuance activity for the year ended December 31, 2020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964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24"/>
                <w:szCs w:val="24"/>
                <w:color w:val="auto"/>
              </w:rPr>
            </w:pPr>
          </w:p>
        </w:tc>
      </w:tr>
      <w:tr>
        <w:trPr>
          <w:trHeight w:val="168"/>
        </w:trPr>
        <w:tc>
          <w:tcPr>
            <w:tcW w:w="96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Purchase price paid for shares sold</w:t>
            </w:r>
          </w:p>
        </w:tc>
        <w:tc>
          <w:tcPr>
            <w:tcW w:w="360" w:type="dxa"/>
            <w:vAlign w:val="bottom"/>
            <w:shd w:val="clear" w:color="auto" w:fill="CFF0FC"/>
          </w:tcPr>
          <w:p>
            <w:pPr>
              <w:jc w:val="right"/>
              <w:ind w:right="206"/>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4,386</w:t>
            </w:r>
          </w:p>
        </w:tc>
        <w:tc>
          <w:tcPr>
            <w:tcW w:w="120" w:type="dxa"/>
            <w:vAlign w:val="bottom"/>
            <w:shd w:val="clear" w:color="auto" w:fill="CFF0FC"/>
          </w:tcPr>
          <w:p>
            <w:pPr>
              <w:spacing w:after="0"/>
              <w:rPr>
                <w:sz w:val="14"/>
                <w:szCs w:val="14"/>
                <w:color w:val="auto"/>
              </w:rPr>
            </w:pPr>
          </w:p>
        </w:tc>
      </w:tr>
      <w:tr>
        <w:trPr>
          <w:trHeight w:val="188"/>
        </w:trPr>
        <w:tc>
          <w:tcPr>
            <w:tcW w:w="9640" w:type="dxa"/>
            <w:vAlign w:val="bottom"/>
          </w:tcPr>
          <w:p>
            <w:pPr>
              <w:spacing w:after="0"/>
              <w:rPr>
                <w:sz w:val="20"/>
                <w:szCs w:val="20"/>
                <w:color w:val="auto"/>
              </w:rPr>
            </w:pPr>
            <w:r>
              <w:rPr>
                <w:rFonts w:ascii="Arial" w:cs="Arial" w:eastAsia="Arial" w:hAnsi="Arial"/>
                <w:sz w:val="15"/>
                <w:szCs w:val="15"/>
                <w:color w:val="auto"/>
              </w:rPr>
              <w:t>Number of shares sold</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127</w:t>
            </w:r>
          </w:p>
        </w:tc>
        <w:tc>
          <w:tcPr>
            <w:tcW w:w="120" w:type="dxa"/>
            <w:vAlign w:val="bottom"/>
          </w:tcPr>
          <w:p>
            <w:pPr>
              <w:spacing w:after="0"/>
              <w:rPr>
                <w:sz w:val="16"/>
                <w:szCs w:val="16"/>
                <w:color w:val="auto"/>
              </w:rPr>
            </w:pPr>
          </w:p>
        </w:tc>
      </w:tr>
    </w:tbl>
    <w:p>
      <w:pPr>
        <w:spacing w:after="0" w:line="7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average purchase price for the year ended December 31, 2020 was $34.53 per share.</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Equity-Based Compensation Plans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Company issues stock-based awards through the Shareholder Value Plan, Long-Term Growth Plan, Restricted Award Plan, and Incentive Award</w:t>
      </w:r>
    </w:p>
    <w:p>
      <w:pPr>
        <w:ind w:right="120"/>
        <w:spacing w:after="0" w:line="236" w:lineRule="auto"/>
        <w:rPr>
          <w:sz w:val="20"/>
          <w:szCs w:val="20"/>
          <w:color w:val="auto"/>
        </w:rPr>
      </w:pPr>
      <w:r>
        <w:rPr>
          <w:rFonts w:ascii="Arial" w:cs="Arial" w:eastAsia="Arial" w:hAnsi="Arial"/>
          <w:sz w:val="15"/>
          <w:szCs w:val="15"/>
          <w:color w:val="auto"/>
        </w:rPr>
        <w:t>Plan. Through these plans the Company may issue stock options (including incentive and non-qualified stock options), stock appreciation rights, restricted stock, restricted stock units, an “other” stock or cash-based awards, or a dividend equivalent award. The compensation expense for these awards is recorded in “Indirect, general and administrative expenses” in the Company’s consolidated financial statements.</w:t>
      </w:r>
    </w:p>
    <w:p>
      <w:pPr>
        <w:spacing w:after="0" w:line="79" w:lineRule="exact"/>
        <w:rPr>
          <w:sz w:val="20"/>
          <w:szCs w:val="20"/>
          <w:color w:val="auto"/>
        </w:rPr>
      </w:pPr>
    </w:p>
    <w:p>
      <w:pPr>
        <w:jc w:val="both"/>
        <w:ind w:right="60" w:firstLine="591"/>
        <w:spacing w:after="0" w:line="236" w:lineRule="auto"/>
        <w:rPr>
          <w:sz w:val="20"/>
          <w:szCs w:val="20"/>
          <w:color w:val="auto"/>
        </w:rPr>
      </w:pPr>
      <w:r>
        <w:rPr>
          <w:rFonts w:ascii="Arial" w:cs="Arial" w:eastAsia="Arial" w:hAnsi="Arial"/>
          <w:sz w:val="15"/>
          <w:szCs w:val="15"/>
          <w:color w:val="auto"/>
        </w:rPr>
        <w:t>Stock-based compensation expense was $7.3 million, $49.0 million, and $16.3 million for the years ended December 31, 2020, December 31, 2019 and December 31, 2018, respectively, net of recognized tax benefits of $2.5 million, $16.7 million, and $0.2 million for 2020, 2019 and 2018, respectively. The tax benefit realized related to awards vested during 2020, 2019, and 2018 was $11.2 million, $3.3 million, and $0.2 million, respectively. We recognize forfeitures as they occur.</w:t>
      </w:r>
    </w:p>
    <w:p>
      <w:pPr>
        <w:spacing w:after="0" w:line="79" w:lineRule="exact"/>
        <w:rPr>
          <w:sz w:val="20"/>
          <w:szCs w:val="20"/>
          <w:color w:val="auto"/>
        </w:rPr>
      </w:pPr>
    </w:p>
    <w:p>
      <w:pPr>
        <w:ind w:right="1020" w:firstLine="867"/>
        <w:spacing w:after="0" w:line="239" w:lineRule="auto"/>
        <w:rPr>
          <w:sz w:val="20"/>
          <w:szCs w:val="20"/>
          <w:color w:val="auto"/>
        </w:rPr>
      </w:pPr>
      <w:r>
        <w:rPr>
          <w:rFonts w:ascii="Arial" w:cs="Arial" w:eastAsia="Arial" w:hAnsi="Arial"/>
          <w:sz w:val="15"/>
          <w:szCs w:val="15"/>
          <w:color w:val="auto"/>
        </w:rPr>
        <w:t>With the adoption of the Incentive Award Plan on April 15, 2019, the Company has discontinued issuing awards under the other plans described above. Outstanding awards granted out of the discontinued plans will continue to vest and will settle in cash.</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At December 31, 2020, the amount of compensation cost relating to non-vested awards not yet recognized in the consolidated financial statements is $16.5 million.</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The majority of these unrecognized compensation costs will be recognized by the third quarter of fiscal 2021.</w:t>
      </w:r>
    </w:p>
    <w:p>
      <w:pPr>
        <w:spacing w:after="0" w:line="66" w:lineRule="exact"/>
        <w:rPr>
          <w:sz w:val="20"/>
          <w:szCs w:val="20"/>
          <w:color w:val="auto"/>
        </w:rPr>
      </w:pPr>
    </w:p>
    <w:p>
      <w:pPr>
        <w:ind w:right="140" w:firstLine="591"/>
        <w:spacing w:after="0" w:line="246" w:lineRule="auto"/>
        <w:rPr>
          <w:sz w:val="20"/>
          <w:szCs w:val="20"/>
          <w:color w:val="auto"/>
        </w:rPr>
      </w:pPr>
      <w:r>
        <w:rPr>
          <w:rFonts w:ascii="Arial" w:cs="Arial" w:eastAsia="Arial" w:hAnsi="Arial"/>
          <w:sz w:val="15"/>
          <w:szCs w:val="15"/>
          <w:color w:val="auto"/>
        </w:rPr>
        <w:t>As discussed in “Note 1—</w:t>
      </w:r>
      <w:r>
        <w:rPr>
          <w:rFonts w:ascii="Arial" w:cs="Arial" w:eastAsia="Arial" w:hAnsi="Arial"/>
          <w:sz w:val="15"/>
          <w:szCs w:val="15"/>
          <w:i w:val="1"/>
          <w:iCs w:val="1"/>
          <w:color w:val="auto"/>
        </w:rPr>
        <w:t>Description of Operations”</w:t>
      </w:r>
      <w:r>
        <w:rPr>
          <w:rFonts w:ascii="Arial" w:cs="Arial" w:eastAsia="Arial" w:hAnsi="Arial"/>
          <w:sz w:val="15"/>
          <w:szCs w:val="15"/>
          <w:color w:val="auto"/>
        </w:rPr>
        <w:t>, the Company consummated its IPO on May 8, 2019. Subsequent to the IPO, the fair value of a share of the Company’s common stock is based on quoted prices on the NYSE. Please see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xml:space="preserve"> for a description of how the fair value of a share of the Company’s common stock was determined prior to the IPO.</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Stock Appreciation Rights</w:t>
      </w:r>
    </w:p>
    <w:p>
      <w:pPr>
        <w:spacing w:after="0" w:line="100"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Stock Appreciation Rights (“SARs”) were issued under the Shareholder Value Plan (“SVP”). Outstanding awards provide a cash incentive based on the increase in the Company’s share price over a three-year period, multiplied by a number of phantom share units. If at the end of a performance cycle the Company’s share price has not increased, then no award payment will be made. The awards issued under the SVP are time-vested cash-settled SARs. The SARs vest at the end of three years and expense is recognized on an accelerated basis over the vesting period. The grant date fair value of the award is determined by using the Black-Scholes option-pricing model. SARs are remeasured, using the Black-Scholes option-pricing model, to an updated fair value at each reporting period until the award is settled. The fair value of the grant on the vesting date is determined based on the 60-trading day weighted average closing price of the Company’s common stock on the NYSE. Compensation cost is trued-up at each reporting period for changes in fair value pro-rated for the portion of the requisite service period rendered.</w:t>
      </w:r>
    </w:p>
    <w:p>
      <w:pPr>
        <w:spacing w:after="0" w:line="7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final SVP grant vested on December 31, 2020 based on the 60-trading day weighted average closing price of the Company’s common stock on the NYSE.</w:t>
      </w:r>
    </w:p>
    <w:p>
      <w:pPr>
        <w:spacing w:after="0"/>
        <w:rPr>
          <w:sz w:val="20"/>
          <w:szCs w:val="20"/>
          <w:color w:val="auto"/>
        </w:rPr>
      </w:pPr>
      <w:r>
        <w:rPr>
          <w:rFonts w:ascii="Arial" w:cs="Arial" w:eastAsia="Arial" w:hAnsi="Arial"/>
          <w:sz w:val="15"/>
          <w:szCs w:val="15"/>
          <w:color w:val="auto"/>
        </w:rPr>
        <w:t>Therefore, the Black-Scholes option-pricing model was not used as of December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number of SARs granted, vested, and forfeited for the years ended December 31, 2018, December 31, 2019, and December 31,</w:t>
      </w:r>
    </w:p>
    <w:p>
      <w:pPr>
        <w:spacing w:after="0"/>
        <w:rPr>
          <w:sz w:val="20"/>
          <w:szCs w:val="20"/>
          <w:color w:val="auto"/>
        </w:rPr>
      </w:pPr>
      <w:r>
        <w:rPr>
          <w:rFonts w:ascii="Arial" w:cs="Arial" w:eastAsia="Arial" w:hAnsi="Arial"/>
          <w:sz w:val="15"/>
          <w:szCs w:val="15"/>
          <w:color w:val="auto"/>
        </w:rPr>
        <w:t>2020:</w:t>
      </w:r>
    </w:p>
    <w:tbl>
      <w:tblPr>
        <w:tblLayout w:type="fixed"/>
        <w:tblInd w:w="0" w:type="dxa"/>
        <w:tblCellMar>
          <w:top w:w="0" w:type="dxa"/>
          <w:left w:w="0" w:type="dxa"/>
          <w:bottom w:w="0" w:type="dxa"/>
          <w:right w:w="0" w:type="dxa"/>
        </w:tblCellMar>
      </w:tblPr>
      <w:tr>
        <w:trPr>
          <w:trHeight w:val="128"/>
        </w:trPr>
        <w:tc>
          <w:tcPr>
            <w:tcW w:w="6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Weighted Average Grant-Date</w:t>
            </w:r>
          </w:p>
        </w:tc>
      </w:tr>
      <w:tr>
        <w:trPr>
          <w:trHeight w:val="143"/>
        </w:trPr>
        <w:tc>
          <w:tcPr>
            <w:tcW w:w="6140" w:type="dxa"/>
            <w:vAlign w:val="bottom"/>
          </w:tcPr>
          <w:p>
            <w:pPr>
              <w:spacing w:after="0"/>
              <w:rPr>
                <w:sz w:val="12"/>
                <w:szCs w:val="12"/>
                <w:color w:val="auto"/>
              </w:rPr>
            </w:pPr>
          </w:p>
        </w:tc>
        <w:tc>
          <w:tcPr>
            <w:tcW w:w="192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Number of Units</w:t>
            </w:r>
          </w:p>
        </w:tc>
        <w:tc>
          <w:tcPr>
            <w:tcW w:w="82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CFF0FC"/>
            </w:tcBorders>
          </w:tcPr>
          <w:p>
            <w:pPr>
              <w:spacing w:after="0"/>
              <w:rPr>
                <w:sz w:val="12"/>
                <w:szCs w:val="12"/>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29, 2017</w:t>
            </w:r>
          </w:p>
        </w:tc>
        <w:tc>
          <w:tcPr>
            <w:tcW w:w="19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3,395,375</w:t>
            </w:r>
          </w:p>
        </w:tc>
        <w:tc>
          <w:tcPr>
            <w:tcW w:w="2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4"/>
                <w:szCs w:val="14"/>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820" w:type="dxa"/>
            <w:vAlign w:val="bottom"/>
          </w:tcPr>
          <w:p>
            <w:pPr>
              <w:jc w:val="right"/>
              <w:spacing w:after="0"/>
              <w:rPr>
                <w:sz w:val="20"/>
                <w:szCs w:val="20"/>
                <w:color w:val="auto"/>
              </w:rPr>
            </w:pPr>
            <w:r>
              <w:rPr>
                <w:rFonts w:ascii="Arial" w:cs="Arial" w:eastAsia="Arial" w:hAnsi="Arial"/>
                <w:sz w:val="15"/>
                <w:szCs w:val="15"/>
                <w:color w:val="auto"/>
              </w:rPr>
              <w:t>1,708,746</w:t>
            </w:r>
          </w:p>
        </w:tc>
        <w:tc>
          <w:tcPr>
            <w:tcW w:w="260" w:type="dxa"/>
            <w:vAlign w:val="bottom"/>
          </w:tcPr>
          <w:p>
            <w:pPr>
              <w:spacing w:after="0"/>
              <w:rPr>
                <w:sz w:val="15"/>
                <w:szCs w:val="15"/>
                <w:color w:val="auto"/>
              </w:rPr>
            </w:pP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19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(1,322,805)</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(364,662)</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2018</w:t>
            </w:r>
          </w:p>
        </w:tc>
        <w:tc>
          <w:tcPr>
            <w:tcW w:w="19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3,416,654</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806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82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560" w:type="dxa"/>
            <w:vAlign w:val="bottom"/>
            <w:gridSpan w:val="2"/>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19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(1,547,142)</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(391,884)</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2019</w:t>
            </w:r>
          </w:p>
        </w:tc>
        <w:tc>
          <w:tcPr>
            <w:tcW w:w="19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1,477,628</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3.00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806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82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560" w:type="dxa"/>
            <w:vAlign w:val="bottom"/>
            <w:gridSpan w:val="2"/>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19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(1,434,836)</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w:t>
            </w:r>
          </w:p>
        </w:tc>
        <w:tc>
          <w:tcPr>
            <w:tcW w:w="120" w:type="dxa"/>
            <w:vAlign w:val="bottom"/>
            <w:shd w:val="clear" w:color="auto" w:fill="CFF0FC"/>
          </w:tcPr>
          <w:p>
            <w:pPr>
              <w:spacing w:after="0"/>
              <w:rPr>
                <w:sz w:val="15"/>
                <w:szCs w:val="15"/>
                <w:color w:val="auto"/>
              </w:rPr>
            </w:pPr>
          </w:p>
        </w:tc>
      </w:tr>
      <w:tr>
        <w:trPr>
          <w:trHeight w:val="177"/>
        </w:trPr>
        <w:tc>
          <w:tcPr>
            <w:tcW w:w="806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(42,792)</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3.00</w:t>
            </w:r>
          </w:p>
        </w:tc>
        <w:tc>
          <w:tcPr>
            <w:tcW w:w="1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2020</w:t>
            </w:r>
          </w:p>
        </w:tc>
        <w:tc>
          <w:tcPr>
            <w:tcW w:w="1920" w:type="dxa"/>
            <w:vAlign w:val="bottom"/>
            <w:tcBorders>
              <w:top w:val="single" w:sz="8" w:color="auto"/>
              <w:bottom w:val="single" w:sz="8" w:color="auto"/>
            </w:tcBorders>
            <w:shd w:val="clear" w:color="auto" w:fill="CFF0FC"/>
          </w:tcPr>
          <w:p>
            <w:pPr>
              <w:spacing w:after="0"/>
              <w:rPr>
                <w:sz w:val="14"/>
                <w:szCs w:val="14"/>
                <w:color w:val="auto"/>
              </w:rPr>
            </w:pPr>
          </w:p>
        </w:tc>
        <w:tc>
          <w:tcPr>
            <w:tcW w:w="8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Long-Term Growth Units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Long-Term Growth Units awards were issued under the Long-Term Growth Plan. Outstanding awards provide a cash incentive based on performance</w:t>
      </w:r>
    </w:p>
    <w:p>
      <w:pPr>
        <w:spacing w:after="0"/>
        <w:rPr>
          <w:sz w:val="20"/>
          <w:szCs w:val="20"/>
          <w:color w:val="auto"/>
        </w:rPr>
      </w:pPr>
      <w:r>
        <w:rPr>
          <w:rFonts w:ascii="Arial" w:cs="Arial" w:eastAsia="Arial" w:hAnsi="Arial"/>
          <w:sz w:val="14"/>
          <w:szCs w:val="14"/>
          <w:color w:val="auto"/>
        </w:rPr>
        <w:t>conditions. The grant date fair value of the award is based on fair value of the Company’s common stock on the grant day. These awards vest at the end of three years and</w:t>
      </w:r>
    </w:p>
    <w:p>
      <w:pPr>
        <w:spacing w:after="0" w:line="238" w:lineRule="auto"/>
        <w:rPr>
          <w:sz w:val="20"/>
          <w:szCs w:val="20"/>
          <w:color w:val="auto"/>
        </w:rPr>
      </w:pPr>
      <w:r>
        <w:rPr>
          <w:rFonts w:ascii="Arial" w:cs="Arial" w:eastAsia="Arial" w:hAnsi="Arial"/>
          <w:sz w:val="15"/>
          <w:szCs w:val="15"/>
          <w:color w:val="auto"/>
        </w:rPr>
        <w:t>expense is recognized on an accelerated basis over the vesting period subject to the probability of meeting the performance requirements and adjusted for the number of</w:t>
      </w:r>
    </w:p>
    <w:p>
      <w:pPr>
        <w:spacing w:after="0" w:line="231" w:lineRule="auto"/>
        <w:rPr>
          <w:sz w:val="20"/>
          <w:szCs w:val="20"/>
          <w:color w:val="auto"/>
        </w:rPr>
      </w:pPr>
      <w:r>
        <w:rPr>
          <w:rFonts w:ascii="Arial" w:cs="Arial" w:eastAsia="Arial" w:hAnsi="Arial"/>
          <w:sz w:val="15"/>
          <w:szCs w:val="15"/>
          <w:color w:val="auto"/>
        </w:rPr>
        <w:t>shares expected to be earned. Awards are remeasured to an updated fair value at each reporting period until the award is settled. The updated fair value is based on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60-trading day weighted average closing price of the Company’s common stock on the NYSE on the last day of the reporting period. Compensation cost is trued-up at each</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reporting period for changes in fair value and expected shares pro-rated for the portion of the requisite service period rendered.</w:t>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number of Long-Term Growth Units granted, vested, and forfeited (at target shares) for the years ended December 31, 2020,</w:t>
      </w:r>
    </w:p>
    <w:p>
      <w:pPr>
        <w:spacing w:after="0"/>
        <w:rPr>
          <w:sz w:val="20"/>
          <w:szCs w:val="20"/>
          <w:color w:val="auto"/>
        </w:rPr>
      </w:pPr>
      <w:r>
        <w:rPr>
          <w:rFonts w:ascii="Arial" w:cs="Arial" w:eastAsia="Arial" w:hAnsi="Arial"/>
          <w:sz w:val="15"/>
          <w:szCs w:val="15"/>
          <w:color w:val="auto"/>
        </w:rPr>
        <w:t>December 31, 2019, and December 31, 2018:</w:t>
      </w:r>
    </w:p>
    <w:tbl>
      <w:tblPr>
        <w:tblLayout w:type="fixed"/>
        <w:tblInd w:w="0" w:type="dxa"/>
        <w:tblCellMar>
          <w:top w:w="0" w:type="dxa"/>
          <w:left w:w="0" w:type="dxa"/>
          <w:bottom w:w="0" w:type="dxa"/>
          <w:right w:w="0" w:type="dxa"/>
        </w:tblCellMar>
      </w:tblPr>
      <w:tr>
        <w:trPr>
          <w:trHeight w:val="128"/>
        </w:trPr>
        <w:tc>
          <w:tcPr>
            <w:tcW w:w="6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Weighted Average Grant-Date</w:t>
            </w:r>
          </w:p>
        </w:tc>
      </w:tr>
      <w:tr>
        <w:trPr>
          <w:trHeight w:val="143"/>
        </w:trPr>
        <w:tc>
          <w:tcPr>
            <w:tcW w:w="6140" w:type="dxa"/>
            <w:vAlign w:val="bottom"/>
          </w:tcPr>
          <w:p>
            <w:pPr>
              <w:spacing w:after="0"/>
              <w:rPr>
                <w:sz w:val="12"/>
                <w:szCs w:val="12"/>
                <w:color w:val="auto"/>
              </w:rPr>
            </w:pP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Number of Units</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Fair Value</w:t>
            </w:r>
          </w:p>
        </w:tc>
        <w:tc>
          <w:tcPr>
            <w:tcW w:w="120" w:type="dxa"/>
            <w:vAlign w:val="bottom"/>
          </w:tcPr>
          <w:p>
            <w:pPr>
              <w:spacing w:after="0"/>
              <w:rPr>
                <w:sz w:val="12"/>
                <w:szCs w:val="12"/>
                <w:color w:val="auto"/>
              </w:rPr>
            </w:pPr>
          </w:p>
        </w:tc>
      </w:tr>
      <w:tr>
        <w:trPr>
          <w:trHeight w:val="168"/>
        </w:trPr>
        <w:tc>
          <w:tcPr>
            <w:tcW w:w="8140" w:type="dxa"/>
            <w:vAlign w:val="bottom"/>
            <w:gridSpan w:val="2"/>
          </w:tcPr>
          <w:p>
            <w:pPr>
              <w:spacing w:after="0" w:line="169" w:lineRule="exact"/>
              <w:rPr>
                <w:sz w:val="20"/>
                <w:szCs w:val="20"/>
                <w:color w:val="auto"/>
              </w:rPr>
            </w:pPr>
            <w:r>
              <w:rPr>
                <w:rFonts w:ascii="Arial" w:cs="Arial" w:eastAsia="Arial" w:hAnsi="Arial"/>
                <w:sz w:val="15"/>
                <w:szCs w:val="15"/>
                <w:color w:val="auto"/>
              </w:rPr>
              <w:t>Unvested at December 29, 2017</w:t>
            </w:r>
          </w:p>
        </w:tc>
        <w:tc>
          <w:tcPr>
            <w:tcW w:w="740" w:type="dxa"/>
            <w:vAlign w:val="bottom"/>
          </w:tcPr>
          <w:p>
            <w:pPr>
              <w:jc w:val="right"/>
              <w:spacing w:after="0" w:line="169" w:lineRule="exact"/>
              <w:rPr>
                <w:sz w:val="20"/>
                <w:szCs w:val="20"/>
                <w:color w:val="auto"/>
              </w:rPr>
            </w:pPr>
            <w:r>
              <w:rPr>
                <w:rFonts w:ascii="Arial" w:cs="Arial" w:eastAsia="Arial" w:hAnsi="Arial"/>
                <w:sz w:val="15"/>
                <w:szCs w:val="15"/>
                <w:color w:val="auto"/>
              </w:rPr>
              <w:t>307,881</w:t>
            </w:r>
          </w:p>
        </w:tc>
        <w:tc>
          <w:tcPr>
            <w:tcW w:w="260" w:type="dxa"/>
            <w:vAlign w:val="bottom"/>
          </w:tcPr>
          <w:p>
            <w:pPr>
              <w:spacing w:after="0"/>
              <w:rPr>
                <w:sz w:val="14"/>
                <w:szCs w:val="14"/>
                <w:color w:val="auto"/>
              </w:rPr>
            </w:pPr>
          </w:p>
        </w:tc>
        <w:tc>
          <w:tcPr>
            <w:tcW w:w="560" w:type="dxa"/>
            <w:vAlign w:val="bottom"/>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20.18</w:t>
            </w:r>
          </w:p>
        </w:tc>
        <w:tc>
          <w:tcPr>
            <w:tcW w:w="120" w:type="dxa"/>
            <w:vAlign w:val="bottom"/>
          </w:tcPr>
          <w:p>
            <w:pPr>
              <w:spacing w:after="0"/>
              <w:rPr>
                <w:sz w:val="14"/>
                <w:szCs w:val="14"/>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Granted</w:t>
            </w:r>
          </w:p>
        </w:tc>
        <w:tc>
          <w:tcPr>
            <w:tcW w:w="20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144,777</w:t>
            </w:r>
          </w:p>
        </w:tc>
        <w:tc>
          <w:tcPr>
            <w:tcW w:w="26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22.67</w:t>
            </w:r>
          </w:p>
        </w:tc>
        <w:tc>
          <w:tcPr>
            <w:tcW w:w="120" w:type="dxa"/>
            <w:vAlign w:val="bottom"/>
            <w:shd w:val="clear" w:color="auto" w:fill="CFF0FC"/>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(136,221)</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Forfeited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(16,656)</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20.27</w:t>
            </w:r>
          </w:p>
        </w:tc>
        <w:tc>
          <w:tcPr>
            <w:tcW w:w="120" w:type="dxa"/>
            <w:vAlign w:val="bottom"/>
            <w:shd w:val="clear" w:color="auto" w:fill="CFF0FC"/>
          </w:tcPr>
          <w:p>
            <w:pPr>
              <w:spacing w:after="0"/>
              <w:rPr>
                <w:sz w:val="15"/>
                <w:szCs w:val="15"/>
                <w:color w:val="auto"/>
              </w:rPr>
            </w:pPr>
          </w:p>
        </w:tc>
      </w:tr>
      <w:tr>
        <w:trPr>
          <w:trHeight w:val="20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2018</w:t>
            </w:r>
          </w:p>
        </w:tc>
        <w:tc>
          <w:tcPr>
            <w:tcW w:w="20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299,781</w:t>
            </w:r>
          </w:p>
        </w:tc>
        <w:tc>
          <w:tcPr>
            <w:tcW w:w="26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CFF0FC"/>
            </w:tcBorders>
          </w:tcPr>
          <w:p>
            <w:pPr>
              <w:jc w:val="right"/>
              <w:spacing w:after="0" w:line="169" w:lineRule="exact"/>
              <w:rPr>
                <w:sz w:val="20"/>
                <w:szCs w:val="20"/>
                <w:color w:val="auto"/>
              </w:rPr>
            </w:pPr>
            <w:r>
              <w:rPr>
                <w:rFonts w:ascii="Arial" w:cs="Arial" w:eastAsia="Arial" w:hAnsi="Arial"/>
                <w:sz w:val="15"/>
                <w:szCs w:val="15"/>
                <w:color w:val="auto"/>
              </w:rPr>
              <w:t>20.23</w:t>
            </w:r>
          </w:p>
        </w:tc>
        <w:tc>
          <w:tcPr>
            <w:tcW w:w="120" w:type="dxa"/>
            <w:vAlign w:val="bottom"/>
            <w:tcBorders>
              <w:bottom w:val="single" w:sz="8" w:color="CFF0FC"/>
            </w:tcBorders>
          </w:tcPr>
          <w:p>
            <w:pPr>
              <w:spacing w:after="0"/>
              <w:rPr>
                <w:sz w:val="18"/>
                <w:szCs w:val="18"/>
                <w:color w:val="auto"/>
              </w:rPr>
            </w:pPr>
          </w:p>
        </w:tc>
      </w:tr>
      <w:tr>
        <w:trPr>
          <w:trHeight w:val="151"/>
        </w:trPr>
        <w:tc>
          <w:tcPr>
            <w:tcW w:w="6140" w:type="dxa"/>
            <w:vAlign w:val="bottom"/>
          </w:tcPr>
          <w:p>
            <w:pPr>
              <w:spacing w:after="0" w:line="151" w:lineRule="exact"/>
              <w:rPr>
                <w:sz w:val="20"/>
                <w:szCs w:val="20"/>
                <w:color w:val="auto"/>
              </w:rPr>
            </w:pPr>
            <w:r>
              <w:rPr>
                <w:rFonts w:ascii="Arial" w:cs="Arial" w:eastAsia="Arial" w:hAnsi="Arial"/>
                <w:sz w:val="15"/>
                <w:szCs w:val="15"/>
                <w:color w:val="auto"/>
              </w:rPr>
              <w:t>Granted</w:t>
            </w:r>
          </w:p>
        </w:tc>
        <w:tc>
          <w:tcPr>
            <w:tcW w:w="20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3"/>
                <w:szCs w:val="13"/>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(137,760)</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20.00</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Forfeited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(34,584)</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20.27</w:t>
            </w:r>
          </w:p>
        </w:tc>
        <w:tc>
          <w:tcPr>
            <w:tcW w:w="120" w:type="dxa"/>
            <w:vAlign w:val="bottom"/>
            <w:shd w:val="clear" w:color="auto" w:fill="CFF0FC"/>
          </w:tcPr>
          <w:p>
            <w:pPr>
              <w:spacing w:after="0"/>
              <w:rPr>
                <w:sz w:val="15"/>
                <w:szCs w:val="15"/>
                <w:color w:val="auto"/>
              </w:rPr>
            </w:pPr>
          </w:p>
        </w:tc>
      </w:tr>
      <w:tr>
        <w:trPr>
          <w:trHeight w:val="20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2019</w:t>
            </w:r>
          </w:p>
        </w:tc>
        <w:tc>
          <w:tcPr>
            <w:tcW w:w="20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127,437</w:t>
            </w:r>
          </w:p>
        </w:tc>
        <w:tc>
          <w:tcPr>
            <w:tcW w:w="26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bottom w:val="single" w:sz="8" w:color="CFF0FC"/>
            </w:tcBorders>
          </w:tcPr>
          <w:p>
            <w:pPr>
              <w:jc w:val="right"/>
              <w:spacing w:after="0" w:line="169" w:lineRule="exact"/>
              <w:rPr>
                <w:sz w:val="20"/>
                <w:szCs w:val="20"/>
                <w:color w:val="auto"/>
              </w:rPr>
            </w:pPr>
            <w:r>
              <w:rPr>
                <w:rFonts w:ascii="Arial" w:cs="Arial" w:eastAsia="Arial" w:hAnsi="Arial"/>
                <w:sz w:val="15"/>
                <w:szCs w:val="15"/>
                <w:color w:val="auto"/>
              </w:rPr>
              <w:t>20.23</w:t>
            </w:r>
          </w:p>
        </w:tc>
        <w:tc>
          <w:tcPr>
            <w:tcW w:w="120" w:type="dxa"/>
            <w:vAlign w:val="bottom"/>
            <w:tcBorders>
              <w:bottom w:val="single" w:sz="8" w:color="CFF0FC"/>
            </w:tcBorders>
          </w:tcPr>
          <w:p>
            <w:pPr>
              <w:spacing w:after="0"/>
              <w:rPr>
                <w:sz w:val="18"/>
                <w:szCs w:val="18"/>
                <w:color w:val="auto"/>
              </w:rPr>
            </w:pPr>
          </w:p>
        </w:tc>
      </w:tr>
      <w:tr>
        <w:trPr>
          <w:trHeight w:val="151"/>
        </w:trPr>
        <w:tc>
          <w:tcPr>
            <w:tcW w:w="6140" w:type="dxa"/>
            <w:vAlign w:val="bottom"/>
          </w:tcPr>
          <w:p>
            <w:pPr>
              <w:spacing w:after="0" w:line="151" w:lineRule="exact"/>
              <w:rPr>
                <w:sz w:val="20"/>
                <w:szCs w:val="20"/>
                <w:color w:val="auto"/>
              </w:rPr>
            </w:pPr>
            <w:r>
              <w:rPr>
                <w:rFonts w:ascii="Arial" w:cs="Arial" w:eastAsia="Arial" w:hAnsi="Arial"/>
                <w:sz w:val="15"/>
                <w:szCs w:val="15"/>
                <w:color w:val="auto"/>
              </w:rPr>
              <w:t>Granted</w:t>
            </w:r>
          </w:p>
        </w:tc>
        <w:tc>
          <w:tcPr>
            <w:tcW w:w="20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3"/>
                <w:szCs w:val="13"/>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Vested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(125,948)</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22.67</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Forfeited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(1,489)</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22.67</w:t>
            </w:r>
          </w:p>
        </w:tc>
        <w:tc>
          <w:tcPr>
            <w:tcW w:w="120" w:type="dxa"/>
            <w:vAlign w:val="bottom"/>
            <w:shd w:val="clear" w:color="auto" w:fill="CFF0FC"/>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2020</w:t>
            </w:r>
          </w:p>
        </w:tc>
        <w:tc>
          <w:tcPr>
            <w:tcW w:w="20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560" w:type="dxa"/>
            <w:vAlign w:val="bottom"/>
            <w:gridSpan w:val="2"/>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Restricted Award Units</w:t>
      </w:r>
    </w:p>
    <w:p>
      <w:pPr>
        <w:spacing w:after="0" w:line="100" w:lineRule="exact"/>
        <w:rPr>
          <w:sz w:val="20"/>
          <w:szCs w:val="20"/>
          <w:color w:val="auto"/>
        </w:rPr>
      </w:pPr>
    </w:p>
    <w:p>
      <w:pPr>
        <w:ind w:right="660" w:firstLine="591"/>
        <w:spacing w:after="0" w:line="239" w:lineRule="auto"/>
        <w:rPr>
          <w:sz w:val="20"/>
          <w:szCs w:val="20"/>
          <w:color w:val="auto"/>
        </w:rPr>
      </w:pPr>
      <w:r>
        <w:rPr>
          <w:rFonts w:ascii="Arial" w:cs="Arial" w:eastAsia="Arial" w:hAnsi="Arial"/>
          <w:sz w:val="15"/>
          <w:szCs w:val="15"/>
          <w:color w:val="auto"/>
        </w:rPr>
        <w:t>Restricted Award Units awards were issued under the Restricted Award Plan. Outstanding awards provide a cash incentive based on the fair value of the Company’s common stock on the vesting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100"/>
        <w:spacing w:after="0" w:line="235" w:lineRule="auto"/>
        <w:rPr>
          <w:sz w:val="20"/>
          <w:szCs w:val="20"/>
          <w:color w:val="auto"/>
        </w:rPr>
      </w:pPr>
      <w:r>
        <w:rPr>
          <w:rFonts w:ascii="Arial" w:cs="Arial" w:eastAsia="Arial" w:hAnsi="Arial"/>
          <w:sz w:val="15"/>
          <w:szCs w:val="15"/>
          <w:color w:val="auto"/>
        </w:rPr>
        <w:t>The grant date fair value of the award is based on the fair value of the Company’s common stock on the grant date. These awards vest and expense is recognized on an accelerated basis over the respective vesting periods. Awards are remeasured to an updated fair value at each reporting period until the award is settled. The updated fair value is based on the 60-trading day weighted average closing price of the Company’s common stock on the NYSE on the last day of the reporting period. Compensation cost is trued-up at each reporting period for changes in fair value pro-rated for the portion of the requisite service period rendered.</w:t>
      </w:r>
    </w:p>
    <w:p>
      <w:pPr>
        <w:spacing w:after="0" w:line="7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 following table presents the number of Restricted Award Units granted, vested, and forfeited for the years ended December 31, 2020, December 31, 2019, and</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2018:</w:t>
      </w:r>
    </w:p>
    <w:tbl>
      <w:tblPr>
        <w:tblLayout w:type="fixed"/>
        <w:tblInd w:w="0" w:type="dxa"/>
        <w:tblCellMar>
          <w:top w:w="0" w:type="dxa"/>
          <w:left w:w="0" w:type="dxa"/>
          <w:bottom w:w="0" w:type="dxa"/>
          <w:right w:w="0" w:type="dxa"/>
        </w:tblCellMar>
      </w:tblPr>
      <w:tr>
        <w:trPr>
          <w:trHeight w:val="128"/>
        </w:trPr>
        <w:tc>
          <w:tcPr>
            <w:tcW w:w="614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Weighted Average Grant-Date</w:t>
            </w:r>
          </w:p>
        </w:tc>
      </w:tr>
      <w:tr>
        <w:trPr>
          <w:trHeight w:val="143"/>
        </w:trPr>
        <w:tc>
          <w:tcPr>
            <w:tcW w:w="6140" w:type="dxa"/>
            <w:vAlign w:val="bottom"/>
          </w:tcPr>
          <w:p>
            <w:pPr>
              <w:spacing w:after="0"/>
              <w:rPr>
                <w:sz w:val="12"/>
                <w:szCs w:val="12"/>
                <w:color w:val="auto"/>
              </w:rPr>
            </w:pPr>
          </w:p>
        </w:tc>
        <w:tc>
          <w:tcPr>
            <w:tcW w:w="2000" w:type="dxa"/>
            <w:vAlign w:val="bottom"/>
            <w:tcBorders>
              <w:bottom w:val="single" w:sz="8" w:color="auto"/>
            </w:tcBorders>
          </w:tcPr>
          <w:p>
            <w:pPr>
              <w:ind w:left="920"/>
              <w:spacing w:after="0"/>
              <w:rPr>
                <w:sz w:val="20"/>
                <w:szCs w:val="20"/>
                <w:color w:val="auto"/>
              </w:rPr>
            </w:pPr>
            <w:r>
              <w:rPr>
                <w:rFonts w:ascii="Arial" w:cs="Arial" w:eastAsia="Arial" w:hAnsi="Arial"/>
                <w:sz w:val="12"/>
                <w:szCs w:val="12"/>
                <w:b w:val="1"/>
                <w:bCs w:val="1"/>
                <w:color w:val="auto"/>
              </w:rPr>
              <w:t>Number of Units</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567"/>
              <w:spacing w:after="0"/>
              <w:rPr>
                <w:sz w:val="20"/>
                <w:szCs w:val="20"/>
                <w:color w:val="auto"/>
              </w:rPr>
            </w:pPr>
            <w:r>
              <w:rPr>
                <w:rFonts w:ascii="Arial" w:cs="Arial" w:eastAsia="Arial" w:hAnsi="Arial"/>
                <w:sz w:val="12"/>
                <w:szCs w:val="12"/>
                <w:b w:val="1"/>
                <w:bCs w:val="1"/>
                <w:color w:val="auto"/>
              </w:rPr>
              <w:t>Fair Value</w:t>
            </w:r>
          </w:p>
        </w:tc>
        <w:tc>
          <w:tcPr>
            <w:tcW w:w="120" w:type="dxa"/>
            <w:vAlign w:val="bottom"/>
            <w:tcBorders>
              <w:bottom w:val="single" w:sz="8" w:color="CFF0FC"/>
            </w:tcBorders>
          </w:tcPr>
          <w:p>
            <w:pPr>
              <w:spacing w:after="0"/>
              <w:rPr>
                <w:sz w:val="12"/>
                <w:szCs w:val="12"/>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29, 2017</w:t>
            </w:r>
          </w:p>
        </w:tc>
        <w:tc>
          <w:tcPr>
            <w:tcW w:w="20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659,445</w:t>
            </w:r>
          </w:p>
        </w:tc>
        <w:tc>
          <w:tcPr>
            <w:tcW w:w="260" w:type="dxa"/>
            <w:vAlign w:val="bottom"/>
            <w:shd w:val="clear" w:color="auto" w:fill="CFF0FC"/>
          </w:tcPr>
          <w:p>
            <w:pPr>
              <w:spacing w:after="0"/>
              <w:rPr>
                <w:sz w:val="14"/>
                <w:szCs w:val="14"/>
                <w:color w:val="auto"/>
              </w:rPr>
            </w:pPr>
          </w:p>
        </w:tc>
        <w:tc>
          <w:tcPr>
            <w:tcW w:w="560" w:type="dxa"/>
            <w:vAlign w:val="bottom"/>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20.14</w:t>
            </w:r>
          </w:p>
        </w:tc>
        <w:tc>
          <w:tcPr>
            <w:tcW w:w="120" w:type="dxa"/>
            <w:vAlign w:val="bottom"/>
            <w:shd w:val="clear" w:color="auto" w:fill="CFF0FC"/>
          </w:tcPr>
          <w:p>
            <w:pPr>
              <w:spacing w:after="0"/>
              <w:rPr>
                <w:sz w:val="14"/>
                <w:szCs w:val="14"/>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Granted</w:t>
            </w:r>
          </w:p>
        </w:tc>
        <w:tc>
          <w:tcPr>
            <w:tcW w:w="740" w:type="dxa"/>
            <w:vAlign w:val="bottom"/>
          </w:tcPr>
          <w:p>
            <w:pPr>
              <w:jc w:val="right"/>
              <w:spacing w:after="0"/>
              <w:rPr>
                <w:sz w:val="20"/>
                <w:szCs w:val="20"/>
                <w:color w:val="auto"/>
              </w:rPr>
            </w:pPr>
            <w:r>
              <w:rPr>
                <w:rFonts w:ascii="Arial" w:cs="Arial" w:eastAsia="Arial" w:hAnsi="Arial"/>
                <w:sz w:val="15"/>
                <w:szCs w:val="15"/>
                <w:color w:val="auto"/>
              </w:rPr>
              <w:t>262,140</w:t>
            </w:r>
          </w:p>
        </w:tc>
        <w:tc>
          <w:tcPr>
            <w:tcW w:w="260" w:type="dxa"/>
            <w:vAlign w:val="bottom"/>
          </w:tcPr>
          <w:p>
            <w:pPr>
              <w:spacing w:after="0"/>
              <w:rPr>
                <w:sz w:val="15"/>
                <w:szCs w:val="15"/>
                <w:color w:val="auto"/>
              </w:rPr>
            </w:pP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22.67</w:t>
            </w:r>
          </w:p>
        </w:tc>
        <w:tc>
          <w:tcPr>
            <w:tcW w:w="120" w:type="dxa"/>
            <w:vAlign w:val="bottom"/>
          </w:tcPr>
          <w:p>
            <w:pPr>
              <w:spacing w:after="0"/>
              <w:rPr>
                <w:sz w:val="15"/>
                <w:szCs w:val="15"/>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(264,408)</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20.00</w:t>
            </w:r>
          </w:p>
        </w:tc>
        <w:tc>
          <w:tcPr>
            <w:tcW w:w="120" w:type="dxa"/>
            <w:vAlign w:val="bottom"/>
            <w:shd w:val="clear" w:color="auto" w:fill="CFF0FC"/>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(67,827)</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20.34</w:t>
            </w:r>
          </w:p>
        </w:tc>
        <w:tc>
          <w:tcPr>
            <w:tcW w:w="1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2018</w:t>
            </w:r>
          </w:p>
        </w:tc>
        <w:tc>
          <w:tcPr>
            <w:tcW w:w="20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589,350</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21.31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814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74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560" w:type="dxa"/>
            <w:vAlign w:val="bottom"/>
            <w:gridSpan w:val="2"/>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(281,805)</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20.33</w:t>
            </w:r>
          </w:p>
        </w:tc>
        <w:tc>
          <w:tcPr>
            <w:tcW w:w="120" w:type="dxa"/>
            <w:vAlign w:val="bottom"/>
            <w:shd w:val="clear" w:color="auto" w:fill="CFF0FC"/>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(58,101)</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21.31</w:t>
            </w:r>
          </w:p>
        </w:tc>
        <w:tc>
          <w:tcPr>
            <w:tcW w:w="1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2019</w:t>
            </w:r>
          </w:p>
        </w:tc>
        <w:tc>
          <w:tcPr>
            <w:tcW w:w="20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249,444</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22.40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8140" w:type="dxa"/>
            <w:vAlign w:val="bottom"/>
            <w:gridSpan w:val="2"/>
          </w:tcPr>
          <w:p>
            <w:pPr>
              <w:spacing w:after="0" w:line="151" w:lineRule="exact"/>
              <w:rPr>
                <w:sz w:val="20"/>
                <w:szCs w:val="20"/>
                <w:color w:val="auto"/>
              </w:rPr>
            </w:pPr>
            <w:r>
              <w:rPr>
                <w:rFonts w:ascii="Arial" w:cs="Arial" w:eastAsia="Arial" w:hAnsi="Arial"/>
                <w:sz w:val="15"/>
                <w:szCs w:val="15"/>
                <w:color w:val="auto"/>
              </w:rPr>
              <w:t>Granted</w:t>
            </w:r>
          </w:p>
        </w:tc>
        <w:tc>
          <w:tcPr>
            <w:tcW w:w="74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3"/>
                <w:szCs w:val="13"/>
                <w:color w:val="auto"/>
              </w:rPr>
            </w:pPr>
          </w:p>
        </w:tc>
        <w:tc>
          <w:tcPr>
            <w:tcW w:w="560" w:type="dxa"/>
            <w:vAlign w:val="bottom"/>
            <w:gridSpan w:val="2"/>
          </w:tcPr>
          <w:p>
            <w:pPr>
              <w:jc w:val="right"/>
              <w:ind w:right="201"/>
              <w:spacing w:after="0" w:line="151" w:lineRule="exact"/>
              <w:rPr>
                <w:sz w:val="20"/>
                <w:szCs w:val="20"/>
                <w:color w:val="auto"/>
              </w:rPr>
            </w:pPr>
            <w:r>
              <w:rPr>
                <w:rFonts w:ascii="Arial" w:cs="Arial" w:eastAsia="Arial" w:hAnsi="Arial"/>
                <w:sz w:val="15"/>
                <w:szCs w:val="15"/>
                <w:color w:val="auto"/>
              </w:rPr>
              <w:t>$</w:t>
            </w:r>
          </w:p>
        </w:tc>
        <w:tc>
          <w:tcPr>
            <w:tcW w:w="1460" w:type="dxa"/>
            <w:vAlign w:val="bottom"/>
          </w:tcPr>
          <w:p>
            <w:pPr>
              <w:jc w:val="right"/>
              <w:spacing w:after="0" w:line="151"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3"/>
                <w:szCs w:val="13"/>
                <w:color w:val="auto"/>
              </w:rPr>
            </w:pPr>
          </w:p>
        </w:tc>
      </w:tr>
      <w:tr>
        <w:trPr>
          <w:trHeight w:val="177"/>
        </w:trPr>
        <w:tc>
          <w:tcPr>
            <w:tcW w:w="6140" w:type="dxa"/>
            <w:vAlign w:val="bottom"/>
          </w:tcPr>
          <w:p>
            <w:pPr>
              <w:spacing w:after="0"/>
              <w:rPr>
                <w:sz w:val="20"/>
                <w:szCs w:val="20"/>
                <w:color w:val="auto"/>
              </w:rPr>
            </w:pPr>
            <w:r>
              <w:rPr>
                <w:rFonts w:ascii="Arial" w:cs="Arial" w:eastAsia="Arial" w:hAnsi="Arial"/>
                <w:sz w:val="15"/>
                <w:szCs w:val="15"/>
                <w:color w:val="auto"/>
              </w:rPr>
              <w:t>Vested</w:t>
            </w:r>
          </w:p>
        </w:tc>
        <w:tc>
          <w:tcPr>
            <w:tcW w:w="20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(234,028)</w:t>
            </w:r>
          </w:p>
        </w:tc>
        <w:tc>
          <w:tcPr>
            <w:tcW w:w="560" w:type="dxa"/>
            <w:vAlign w:val="bottom"/>
            <w:gridSpan w:val="2"/>
            <w:shd w:val="clear" w:color="auto" w:fill="CFF0FC"/>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22.38</w:t>
            </w:r>
          </w:p>
        </w:tc>
        <w:tc>
          <w:tcPr>
            <w:tcW w:w="120" w:type="dxa"/>
            <w:vAlign w:val="bottom"/>
            <w:shd w:val="clear" w:color="auto" w:fill="CFF0FC"/>
          </w:tcPr>
          <w:p>
            <w:pPr>
              <w:spacing w:after="0"/>
              <w:rPr>
                <w:sz w:val="15"/>
                <w:szCs w:val="15"/>
                <w:color w:val="auto"/>
              </w:rPr>
            </w:pPr>
          </w:p>
        </w:tc>
      </w:tr>
      <w:tr>
        <w:trPr>
          <w:trHeight w:val="177"/>
        </w:trPr>
        <w:tc>
          <w:tcPr>
            <w:tcW w:w="8140" w:type="dxa"/>
            <w:vAlign w:val="bottom"/>
            <w:gridSpan w:val="2"/>
          </w:tcPr>
          <w:p>
            <w:pPr>
              <w:spacing w:after="0"/>
              <w:rPr>
                <w:sz w:val="20"/>
                <w:szCs w:val="20"/>
                <w:color w:val="auto"/>
              </w:rPr>
            </w:pPr>
            <w:r>
              <w:rPr>
                <w:rFonts w:ascii="Arial" w:cs="Arial" w:eastAsia="Arial" w:hAnsi="Arial"/>
                <w:sz w:val="15"/>
                <w:szCs w:val="15"/>
                <w:color w:val="auto"/>
              </w:rPr>
              <w:t>Forfeited</w:t>
            </w:r>
          </w:p>
        </w:tc>
        <w:tc>
          <w:tcPr>
            <w:tcW w:w="1000" w:type="dxa"/>
            <w:vAlign w:val="bottom"/>
            <w:gridSpan w:val="2"/>
          </w:tcPr>
          <w:p>
            <w:pPr>
              <w:jc w:val="right"/>
              <w:ind w:right="200"/>
              <w:spacing w:after="0"/>
              <w:rPr>
                <w:sz w:val="20"/>
                <w:szCs w:val="20"/>
                <w:color w:val="auto"/>
              </w:rPr>
            </w:pPr>
            <w:r>
              <w:rPr>
                <w:rFonts w:ascii="Arial" w:cs="Arial" w:eastAsia="Arial" w:hAnsi="Arial"/>
                <w:sz w:val="15"/>
                <w:szCs w:val="15"/>
                <w:color w:val="auto"/>
              </w:rPr>
              <w:t>(9,017)</w:t>
            </w:r>
          </w:p>
        </w:tc>
        <w:tc>
          <w:tcPr>
            <w:tcW w:w="560" w:type="dxa"/>
            <w:vAlign w:val="bottom"/>
            <w:gridSpan w:val="2"/>
          </w:tcPr>
          <w:p>
            <w:pPr>
              <w:jc w:val="right"/>
              <w:ind w:right="201"/>
              <w:spacing w:after="0"/>
              <w:rPr>
                <w:sz w:val="20"/>
                <w:szCs w:val="20"/>
                <w:color w:val="auto"/>
              </w:rPr>
            </w:pPr>
            <w:r>
              <w:rPr>
                <w:rFonts w:ascii="Arial" w:cs="Arial" w:eastAsia="Arial" w:hAnsi="Arial"/>
                <w:sz w:val="15"/>
                <w:szCs w:val="15"/>
                <w:color w:val="auto"/>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22.67</w:t>
            </w:r>
          </w:p>
        </w:tc>
        <w:tc>
          <w:tcPr>
            <w:tcW w:w="120" w:type="dxa"/>
            <w:vAlign w:val="bottom"/>
          </w:tcPr>
          <w:p>
            <w:pPr>
              <w:spacing w:after="0"/>
              <w:rPr>
                <w:sz w:val="15"/>
                <w:szCs w:val="15"/>
                <w:color w:val="auto"/>
              </w:rPr>
            </w:pPr>
          </w:p>
        </w:tc>
      </w:tr>
      <w:tr>
        <w:trPr>
          <w:trHeight w:val="168"/>
        </w:trPr>
        <w:tc>
          <w:tcPr>
            <w:tcW w:w="6140" w:type="dxa"/>
            <w:vAlign w:val="bottom"/>
          </w:tcPr>
          <w:p>
            <w:pPr>
              <w:spacing w:after="0" w:line="169" w:lineRule="exact"/>
              <w:rPr>
                <w:sz w:val="20"/>
                <w:szCs w:val="20"/>
                <w:color w:val="auto"/>
              </w:rPr>
            </w:pPr>
            <w:r>
              <w:rPr>
                <w:rFonts w:ascii="Arial" w:cs="Arial" w:eastAsia="Arial" w:hAnsi="Arial"/>
                <w:sz w:val="15"/>
                <w:szCs w:val="15"/>
                <w:color w:val="auto"/>
              </w:rPr>
              <w:t>Unvested at December 31, 2020</w:t>
            </w:r>
          </w:p>
        </w:tc>
        <w:tc>
          <w:tcPr>
            <w:tcW w:w="20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6,399</w:t>
            </w:r>
          </w:p>
        </w:tc>
        <w:tc>
          <w:tcPr>
            <w:tcW w:w="260" w:type="dxa"/>
            <w:vAlign w:val="bottom"/>
            <w:tcBorders>
              <w:top w:val="single" w:sz="8" w:color="CFF0FC"/>
              <w:bottom w:val="single" w:sz="8" w:color="CFF0FC"/>
            </w:tcBorders>
            <w:shd w:val="clear" w:color="auto" w:fill="CFF0FC"/>
          </w:tcPr>
          <w:p>
            <w:pPr>
              <w:spacing w:after="0"/>
              <w:rPr>
                <w:sz w:val="14"/>
                <w:szCs w:val="14"/>
                <w:color w:val="auto"/>
              </w:rPr>
            </w:pPr>
          </w:p>
        </w:tc>
        <w:tc>
          <w:tcPr>
            <w:tcW w:w="560" w:type="dxa"/>
            <w:vAlign w:val="bottom"/>
            <w:tcBorders>
              <w:top w:val="single" w:sz="8" w:color="CFF0FC"/>
              <w:bottom w:val="single" w:sz="8" w:color="CFF0FC"/>
            </w:tcBorders>
            <w:gridSpan w:val="2"/>
            <w:shd w:val="clear" w:color="auto" w:fill="CFF0FC"/>
          </w:tcPr>
          <w:p>
            <w:pPr>
              <w:jc w:val="right"/>
              <w:ind w:right="201"/>
              <w:spacing w:after="0" w:line="169" w:lineRule="exact"/>
              <w:rPr>
                <w:sz w:val="20"/>
                <w:szCs w:val="20"/>
                <w:color w:val="auto"/>
              </w:rPr>
            </w:pPr>
            <w:r>
              <w:rPr>
                <w:rFonts w:ascii="Arial" w:cs="Arial" w:eastAsia="Arial" w:hAnsi="Arial"/>
                <w:sz w:val="15"/>
                <w:szCs w:val="15"/>
                <w:color w:val="auto"/>
              </w:rPr>
              <w:t>$</w:t>
            </w:r>
          </w:p>
        </w:tc>
        <w:tc>
          <w:tcPr>
            <w:tcW w:w="146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22.67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right="60" w:firstLine="591"/>
        <w:spacing w:after="0" w:line="239" w:lineRule="auto"/>
        <w:rPr>
          <w:sz w:val="20"/>
          <w:szCs w:val="20"/>
          <w:color w:val="auto"/>
        </w:rPr>
      </w:pPr>
      <w:r>
        <w:rPr>
          <w:rFonts w:ascii="Arial" w:cs="Arial" w:eastAsia="Arial" w:hAnsi="Arial"/>
          <w:sz w:val="15"/>
          <w:szCs w:val="15"/>
          <w:color w:val="auto"/>
        </w:rPr>
        <w:t>The following table presents the amount paid for cash settled awards, by award type, for the years ended December 31, 2020, December 31, 2019, and December 31, 2018 (in thousands):</w:t>
      </w:r>
    </w:p>
    <w:tbl>
      <w:tblPr>
        <w:tblLayout w:type="fixed"/>
        <w:tblInd w:w="0" w:type="dxa"/>
        <w:tblCellMar>
          <w:top w:w="0" w:type="dxa"/>
          <w:left w:w="0" w:type="dxa"/>
          <w:bottom w:w="0" w:type="dxa"/>
          <w:right w:w="0" w:type="dxa"/>
        </w:tblCellMar>
      </w:tblPr>
      <w:tr>
        <w:trPr>
          <w:trHeight w:val="124"/>
        </w:trPr>
        <w:tc>
          <w:tcPr>
            <w:tcW w:w="4820" w:type="dxa"/>
            <w:vAlign w:val="bottom"/>
          </w:tcPr>
          <w:p>
            <w:pPr>
              <w:spacing w:after="0"/>
              <w:rPr>
                <w:sz w:val="10"/>
                <w:szCs w:val="10"/>
                <w:color w:val="auto"/>
              </w:rPr>
            </w:pPr>
          </w:p>
        </w:tc>
        <w:tc>
          <w:tcPr>
            <w:tcW w:w="1360" w:type="dxa"/>
            <w:vAlign w:val="bottom"/>
          </w:tcPr>
          <w:p>
            <w:pPr>
              <w:jc w:val="right"/>
              <w:spacing w:after="0" w:line="124" w:lineRule="exact"/>
              <w:rPr>
                <w:sz w:val="20"/>
                <w:szCs w:val="20"/>
                <w:color w:val="auto"/>
              </w:rPr>
            </w:pPr>
            <w:r>
              <w:rPr>
                <w:rFonts w:ascii="Arial" w:cs="Arial" w:eastAsia="Arial" w:hAnsi="Arial"/>
                <w:sz w:val="12"/>
                <w:szCs w:val="12"/>
                <w:b w:val="1"/>
                <w:bCs w:val="1"/>
                <w:color w:val="auto"/>
              </w:rPr>
              <w:t>December 31,</w:t>
            </w:r>
          </w:p>
        </w:tc>
        <w:tc>
          <w:tcPr>
            <w:tcW w:w="5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gridSpan w:val="2"/>
          </w:tcPr>
          <w:p>
            <w:pPr>
              <w:ind w:left="200"/>
              <w:spacing w:after="0" w:line="124" w:lineRule="exact"/>
              <w:rPr>
                <w:sz w:val="20"/>
                <w:szCs w:val="20"/>
                <w:color w:val="auto"/>
              </w:rPr>
            </w:pPr>
            <w:r>
              <w:rPr>
                <w:rFonts w:ascii="Arial" w:cs="Arial" w:eastAsia="Arial" w:hAnsi="Arial"/>
                <w:sz w:val="12"/>
                <w:szCs w:val="12"/>
                <w:b w:val="1"/>
                <w:bCs w:val="1"/>
                <w:color w:val="auto"/>
              </w:rPr>
              <w:t>December 31,</w:t>
            </w:r>
          </w:p>
        </w:tc>
        <w:tc>
          <w:tcPr>
            <w:tcW w:w="320" w:type="dxa"/>
            <w:vAlign w:val="bottom"/>
          </w:tcPr>
          <w:p>
            <w:pPr>
              <w:spacing w:after="0"/>
              <w:rPr>
                <w:sz w:val="10"/>
                <w:szCs w:val="10"/>
                <w:color w:val="auto"/>
              </w:rPr>
            </w:pPr>
          </w:p>
        </w:tc>
        <w:tc>
          <w:tcPr>
            <w:tcW w:w="1700" w:type="dxa"/>
            <w:vAlign w:val="bottom"/>
            <w:gridSpan w:val="2"/>
          </w:tcPr>
          <w:p>
            <w:pPr>
              <w:ind w:left="240"/>
              <w:spacing w:after="0" w:line="124" w:lineRule="exact"/>
              <w:rPr>
                <w:sz w:val="20"/>
                <w:szCs w:val="20"/>
                <w:color w:val="auto"/>
              </w:rPr>
            </w:pPr>
            <w:r>
              <w:rPr>
                <w:rFonts w:ascii="Arial" w:cs="Arial" w:eastAsia="Arial" w:hAnsi="Arial"/>
                <w:sz w:val="12"/>
                <w:szCs w:val="12"/>
                <w:b w:val="1"/>
                <w:bCs w:val="1"/>
                <w:color w:val="auto"/>
              </w:rPr>
              <w:t>December 31,</w:t>
            </w:r>
          </w:p>
        </w:tc>
      </w:tr>
      <w:tr>
        <w:trPr>
          <w:trHeight w:val="143"/>
        </w:trPr>
        <w:tc>
          <w:tcPr>
            <w:tcW w:w="4820" w:type="dxa"/>
            <w:vAlign w:val="bottom"/>
            <w:tcBorders>
              <w:bottom w:val="single" w:sz="8" w:color="CFF0FC"/>
            </w:tcBorders>
          </w:tcPr>
          <w:p>
            <w:pPr>
              <w:spacing w:after="0"/>
              <w:rPr>
                <w:sz w:val="12"/>
                <w:szCs w:val="12"/>
                <w:color w:val="auto"/>
              </w:rPr>
            </w:pPr>
          </w:p>
        </w:tc>
        <w:tc>
          <w:tcPr>
            <w:tcW w:w="1360" w:type="dxa"/>
            <w:vAlign w:val="bottom"/>
            <w:tcBorders>
              <w:bottom w:val="single" w:sz="8" w:color="auto"/>
            </w:tcBorders>
          </w:tcPr>
          <w:p>
            <w:pPr>
              <w:jc w:val="right"/>
              <w:ind w:right="234"/>
              <w:spacing w:after="0"/>
              <w:rPr>
                <w:sz w:val="20"/>
                <w:szCs w:val="20"/>
                <w:color w:val="auto"/>
              </w:rPr>
            </w:pPr>
            <w:r>
              <w:rPr>
                <w:rFonts w:ascii="Arial" w:cs="Arial" w:eastAsia="Arial" w:hAnsi="Arial"/>
                <w:sz w:val="12"/>
                <w:szCs w:val="12"/>
                <w:b w:val="1"/>
                <w:bCs w:val="1"/>
                <w:color w:val="auto"/>
              </w:rPr>
              <w:t>2020</w:t>
            </w:r>
          </w:p>
        </w:tc>
        <w:tc>
          <w:tcPr>
            <w:tcW w:w="520" w:type="dxa"/>
            <w:vAlign w:val="bottom"/>
            <w:tcBorders>
              <w:bottom w:val="single" w:sz="8" w:color="auto"/>
            </w:tcBorders>
          </w:tcPr>
          <w:p>
            <w:pPr>
              <w:spacing w:after="0"/>
              <w:rPr>
                <w:sz w:val="12"/>
                <w:szCs w:val="12"/>
                <w:color w:val="auto"/>
              </w:rPr>
            </w:pPr>
          </w:p>
        </w:tc>
        <w:tc>
          <w:tcPr>
            <w:tcW w:w="3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2"/>
                <w:szCs w:val="12"/>
                <w:b w:val="1"/>
                <w:bCs w:val="1"/>
                <w:color w:val="auto"/>
              </w:rPr>
              <w:t>2019</w:t>
            </w:r>
          </w:p>
        </w:tc>
        <w:tc>
          <w:tcPr>
            <w:tcW w:w="4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751"/>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68"/>
        </w:trPr>
        <w:tc>
          <w:tcPr>
            <w:tcW w:w="48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Stock Appreciation Rights</w:t>
            </w:r>
          </w:p>
        </w:tc>
        <w:tc>
          <w:tcPr>
            <w:tcW w:w="1360" w:type="dxa"/>
            <w:vAlign w:val="bottom"/>
            <w:shd w:val="clear" w:color="auto" w:fill="CFF0FC"/>
          </w:tcPr>
          <w:p>
            <w:pPr>
              <w:jc w:val="right"/>
              <w:ind w:right="121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26,920</w:t>
            </w:r>
          </w:p>
        </w:tc>
        <w:tc>
          <w:tcPr>
            <w:tcW w:w="380" w:type="dxa"/>
            <w:vAlign w:val="bottom"/>
            <w:shd w:val="clear" w:color="auto" w:fill="CFF0FC"/>
          </w:tcPr>
          <w:p>
            <w:pPr>
              <w:spacing w:after="0"/>
              <w:rPr>
                <w:sz w:val="14"/>
                <w:szCs w:val="14"/>
                <w:color w:val="auto"/>
              </w:rPr>
            </w:pPr>
          </w:p>
        </w:tc>
        <w:tc>
          <w:tcPr>
            <w:tcW w:w="300" w:type="dxa"/>
            <w:vAlign w:val="bottom"/>
            <w:shd w:val="clear" w:color="auto" w:fill="CFF0FC"/>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5,261</w:t>
            </w:r>
          </w:p>
        </w:tc>
        <w:tc>
          <w:tcPr>
            <w:tcW w:w="40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6"/>
              <w:spacing w:after="0" w:line="169" w:lineRule="exact"/>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4,576</w:t>
            </w:r>
          </w:p>
        </w:tc>
        <w:tc>
          <w:tcPr>
            <w:tcW w:w="120" w:type="dxa"/>
            <w:vAlign w:val="bottom"/>
            <w:shd w:val="clear" w:color="auto" w:fill="CFF0FC"/>
          </w:tcPr>
          <w:p>
            <w:pPr>
              <w:spacing w:after="0"/>
              <w:rPr>
                <w:sz w:val="14"/>
                <w:szCs w:val="14"/>
                <w:color w:val="auto"/>
              </w:rPr>
            </w:pPr>
          </w:p>
        </w:tc>
      </w:tr>
      <w:tr>
        <w:trPr>
          <w:trHeight w:val="177"/>
        </w:trPr>
        <w:tc>
          <w:tcPr>
            <w:tcW w:w="4820" w:type="dxa"/>
            <w:vAlign w:val="bottom"/>
          </w:tcPr>
          <w:p>
            <w:pPr>
              <w:spacing w:after="0"/>
              <w:rPr>
                <w:sz w:val="20"/>
                <w:szCs w:val="20"/>
                <w:color w:val="auto"/>
              </w:rPr>
            </w:pPr>
            <w:r>
              <w:rPr>
                <w:rFonts w:ascii="Arial" w:cs="Arial" w:eastAsia="Arial" w:hAnsi="Arial"/>
                <w:sz w:val="15"/>
                <w:szCs w:val="15"/>
                <w:color w:val="auto"/>
              </w:rPr>
              <w:t>Long-Term Growth</w:t>
            </w:r>
          </w:p>
        </w:tc>
        <w:tc>
          <w:tcPr>
            <w:tcW w:w="13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3,617</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1,108</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1,095</w:t>
            </w:r>
          </w:p>
        </w:tc>
        <w:tc>
          <w:tcPr>
            <w:tcW w:w="120" w:type="dxa"/>
            <w:vAlign w:val="bottom"/>
          </w:tcPr>
          <w:p>
            <w:pPr>
              <w:spacing w:after="0"/>
              <w:rPr>
                <w:sz w:val="15"/>
                <w:szCs w:val="15"/>
                <w:color w:val="auto"/>
              </w:rPr>
            </w:pPr>
          </w:p>
        </w:tc>
      </w:tr>
      <w:tr>
        <w:trPr>
          <w:trHeight w:val="177"/>
        </w:trPr>
        <w:tc>
          <w:tcPr>
            <w:tcW w:w="4820" w:type="dxa"/>
            <w:vAlign w:val="bottom"/>
            <w:shd w:val="clear" w:color="auto" w:fill="CFF0FC"/>
          </w:tcPr>
          <w:p>
            <w:pPr>
              <w:spacing w:after="0"/>
              <w:rPr>
                <w:sz w:val="20"/>
                <w:szCs w:val="20"/>
                <w:color w:val="auto"/>
              </w:rPr>
            </w:pPr>
            <w:r>
              <w:rPr>
                <w:rFonts w:ascii="Arial" w:cs="Arial" w:eastAsia="Arial" w:hAnsi="Arial"/>
                <w:sz w:val="15"/>
                <w:szCs w:val="15"/>
                <w:color w:val="auto"/>
              </w:rPr>
              <w:t>Restricted Award Units</w:t>
            </w:r>
          </w:p>
        </w:tc>
        <w:tc>
          <w:tcPr>
            <w:tcW w:w="136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9,408</w:t>
            </w:r>
          </w:p>
        </w:tc>
        <w:tc>
          <w:tcPr>
            <w:tcW w:w="3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5,537</w:t>
            </w:r>
          </w:p>
        </w:tc>
        <w:tc>
          <w:tcPr>
            <w:tcW w:w="40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4,439</w:t>
            </w:r>
          </w:p>
        </w:tc>
        <w:tc>
          <w:tcPr>
            <w:tcW w:w="120" w:type="dxa"/>
            <w:vAlign w:val="bottom"/>
            <w:shd w:val="clear" w:color="auto" w:fill="CFF0FC"/>
          </w:tcPr>
          <w:p>
            <w:pPr>
              <w:spacing w:after="0"/>
              <w:rPr>
                <w:sz w:val="15"/>
                <w:szCs w:val="15"/>
                <w:color w:val="auto"/>
              </w:rPr>
            </w:pPr>
          </w:p>
        </w:tc>
      </w:tr>
      <w:tr>
        <w:trPr>
          <w:trHeight w:val="168"/>
        </w:trPr>
        <w:tc>
          <w:tcPr>
            <w:tcW w:w="4820" w:type="dxa"/>
            <w:vAlign w:val="bottom"/>
          </w:tcPr>
          <w:p>
            <w:pPr>
              <w:spacing w:after="0" w:line="169" w:lineRule="exact"/>
              <w:rPr>
                <w:sz w:val="20"/>
                <w:szCs w:val="20"/>
                <w:color w:val="auto"/>
              </w:rPr>
            </w:pPr>
            <w:r>
              <w:rPr>
                <w:rFonts w:ascii="Arial" w:cs="Arial" w:eastAsia="Arial" w:hAnsi="Arial"/>
                <w:sz w:val="15"/>
                <w:szCs w:val="15"/>
                <w:b w:val="1"/>
                <w:bCs w:val="1"/>
                <w:color w:val="auto"/>
              </w:rPr>
              <w:t>Total</w:t>
            </w:r>
          </w:p>
        </w:tc>
        <w:tc>
          <w:tcPr>
            <w:tcW w:w="1360" w:type="dxa"/>
            <w:vAlign w:val="bottom"/>
            <w:tcBorders>
              <w:bottom w:val="single" w:sz="8" w:color="auto"/>
            </w:tcBorders>
          </w:tcPr>
          <w:p>
            <w:pPr>
              <w:jc w:val="right"/>
              <w:ind w:right="121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39,945</w:t>
            </w:r>
          </w:p>
        </w:tc>
        <w:tc>
          <w:tcPr>
            <w:tcW w:w="380" w:type="dxa"/>
            <w:vAlign w:val="bottom"/>
          </w:tcPr>
          <w:p>
            <w:pPr>
              <w:spacing w:after="0"/>
              <w:rPr>
                <w:sz w:val="14"/>
                <w:szCs w:val="14"/>
                <w:color w:val="auto"/>
              </w:rPr>
            </w:pPr>
          </w:p>
        </w:tc>
        <w:tc>
          <w:tcPr>
            <w:tcW w:w="300" w:type="dxa"/>
            <w:vAlign w:val="bottom"/>
            <w:tcBorders>
              <w:bottom w:val="single" w:sz="8" w:color="auto"/>
            </w:tcBorders>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11,906</w:t>
            </w:r>
          </w:p>
        </w:tc>
        <w:tc>
          <w:tcPr>
            <w:tcW w:w="400" w:type="dxa"/>
            <w:vAlign w:val="bottom"/>
          </w:tcPr>
          <w:p>
            <w:pPr>
              <w:spacing w:after="0"/>
              <w:rPr>
                <w:sz w:val="14"/>
                <w:szCs w:val="14"/>
                <w:color w:val="auto"/>
              </w:rPr>
            </w:pPr>
          </w:p>
        </w:tc>
        <w:tc>
          <w:tcPr>
            <w:tcW w:w="320" w:type="dxa"/>
            <w:vAlign w:val="bottom"/>
            <w:tcBorders>
              <w:bottom w:val="single" w:sz="8" w:color="auto"/>
            </w:tcBorders>
          </w:tcPr>
          <w:p>
            <w:pPr>
              <w:jc w:val="right"/>
              <w:ind w:right="166"/>
              <w:spacing w:after="0" w:line="169" w:lineRule="exact"/>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10,110</w:t>
            </w:r>
          </w:p>
        </w:tc>
        <w:tc>
          <w:tcPr>
            <w:tcW w:w="120" w:type="dxa"/>
            <w:vAlign w:val="bottom"/>
          </w:tcPr>
          <w:p>
            <w:pPr>
              <w:spacing w:after="0"/>
              <w:rPr>
                <w:sz w:val="14"/>
                <w:szCs w:val="14"/>
                <w:color w:val="auto"/>
              </w:rPr>
            </w:pPr>
          </w:p>
        </w:tc>
      </w:tr>
      <w:tr>
        <w:trPr>
          <w:trHeight w:val="20"/>
        </w:trPr>
        <w:tc>
          <w:tcPr>
            <w:tcW w:w="48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7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Restricted Stock Units</w:t>
      </w:r>
    </w:p>
    <w:p>
      <w:pPr>
        <w:spacing w:after="0" w:line="100" w:lineRule="exact"/>
        <w:rPr>
          <w:sz w:val="20"/>
          <w:szCs w:val="20"/>
          <w:color w:val="auto"/>
        </w:rPr>
      </w:pPr>
    </w:p>
    <w:p>
      <w:pPr>
        <w:ind w:right="40" w:firstLine="591"/>
        <w:spacing w:after="0" w:line="233" w:lineRule="auto"/>
        <w:rPr>
          <w:sz w:val="20"/>
          <w:szCs w:val="20"/>
          <w:color w:val="auto"/>
        </w:rPr>
      </w:pPr>
      <w:r>
        <w:rPr>
          <w:rFonts w:ascii="Arial" w:cs="Arial" w:eastAsia="Arial" w:hAnsi="Arial"/>
          <w:sz w:val="15"/>
          <w:szCs w:val="15"/>
          <w:color w:val="auto"/>
        </w:rPr>
        <w:t>Restricted Stock Units awards are issued under the Incentive Award Plan and are settled by the issuance of the Company’s common stock. Outstanding awards have been granted based on either service or service and performance conditions. The fair value of the award is based on the closing price of the Company’s common stock on the grant date. Awards vest over three-year periods, either annually or cliff. Expense is recognized on an accelerated basis for awards with service conditions only and on a straight-line basis for awards that include performance conditions. Expense recognition of awards with performance criteria are subject to the probability of meeting the performance conditions and adjusted for the number of shares expected to be earned. Compensation cost for awards with performance conditions are trued-up at each reporting period for changes in the expected shares pro-rated for the portion of the requisite service period rendered.</w:t>
      </w:r>
    </w:p>
    <w:p>
      <w:pPr>
        <w:spacing w:after="0" w:line="7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number of shares of restricted stock units granted (at target shares for awards with performance conditions) for the years ended</w:t>
      </w:r>
    </w:p>
    <w:p>
      <w:pPr>
        <w:spacing w:after="0"/>
        <w:rPr>
          <w:sz w:val="20"/>
          <w:szCs w:val="20"/>
          <w:color w:val="auto"/>
        </w:rPr>
      </w:pPr>
      <w:r>
        <w:rPr>
          <w:rFonts w:ascii="Arial" w:cs="Arial" w:eastAsia="Arial" w:hAnsi="Arial"/>
          <w:sz w:val="15"/>
          <w:szCs w:val="15"/>
          <w:color w:val="auto"/>
        </w:rPr>
        <w:t>December 31, 2020 and December 31, 2019: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60" w:type="dxa"/>
            <w:vAlign w:val="bottom"/>
          </w:tcPr>
          <w:p>
            <w:pPr>
              <w:spacing w:after="0"/>
              <w:rPr>
                <w:sz w:val="12"/>
                <w:szCs w:val="12"/>
                <w:color w:val="auto"/>
              </w:rPr>
            </w:pPr>
          </w:p>
        </w:tc>
        <w:tc>
          <w:tcPr>
            <w:tcW w:w="1640" w:type="dxa"/>
            <w:vAlign w:val="bottom"/>
            <w:gridSpan w:val="2"/>
          </w:tcPr>
          <w:p>
            <w:pPr>
              <w:ind w:left="300"/>
              <w:spacing w:after="0"/>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2"/>
                <w:szCs w:val="12"/>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7"/>
              </w:rPr>
              <w:t>Weighted Average</w:t>
            </w:r>
          </w:p>
        </w:tc>
        <w:tc>
          <w:tcPr>
            <w:tcW w:w="1640" w:type="dxa"/>
            <w:vAlign w:val="bottom"/>
            <w:gridSpan w:val="2"/>
          </w:tcPr>
          <w:p>
            <w:pPr>
              <w:ind w:left="280"/>
              <w:spacing w:after="0"/>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Weighted Average</w:t>
            </w:r>
          </w:p>
        </w:tc>
      </w:tr>
      <w:tr>
        <w:trPr>
          <w:trHeight w:val="143"/>
        </w:trPr>
        <w:tc>
          <w:tcPr>
            <w:tcW w:w="4860" w:type="dxa"/>
            <w:vAlign w:val="bottom"/>
          </w:tcPr>
          <w:p>
            <w:pPr>
              <w:spacing w:after="0"/>
              <w:rPr>
                <w:sz w:val="12"/>
                <w:szCs w:val="12"/>
                <w:color w:val="auto"/>
              </w:rPr>
            </w:pPr>
          </w:p>
        </w:tc>
        <w:tc>
          <w:tcPr>
            <w:tcW w:w="1480" w:type="dxa"/>
            <w:vAlign w:val="bottom"/>
          </w:tcPr>
          <w:p>
            <w:pPr>
              <w:jc w:val="right"/>
              <w:ind w:right="59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Grant-Date Fair Value</w:t>
            </w:r>
          </w:p>
        </w:tc>
        <w:tc>
          <w:tcPr>
            <w:tcW w:w="1360" w:type="dxa"/>
            <w:vAlign w:val="bottom"/>
          </w:tcPr>
          <w:p>
            <w:pPr>
              <w:jc w:val="right"/>
              <w:ind w:right="494"/>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Grant-Date Fair Value</w:t>
            </w:r>
          </w:p>
        </w:tc>
      </w:tr>
      <w:tr>
        <w:trPr>
          <w:trHeight w:val="168"/>
        </w:trPr>
        <w:tc>
          <w:tcPr>
            <w:tcW w:w="48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Restricted Stock Units (service condition)</w:t>
            </w:r>
          </w:p>
        </w:tc>
        <w:tc>
          <w:tcPr>
            <w:tcW w:w="1480" w:type="dxa"/>
            <w:vAlign w:val="bottom"/>
            <w:tcBorders>
              <w:top w:val="single" w:sz="8" w:color="auto"/>
            </w:tcBorders>
            <w:shd w:val="clear" w:color="auto" w:fill="CFF0FC"/>
          </w:tcPr>
          <w:p>
            <w:pPr>
              <w:jc w:val="right"/>
              <w:ind w:right="54"/>
              <w:spacing w:after="0" w:line="169" w:lineRule="exact"/>
              <w:rPr>
                <w:sz w:val="20"/>
                <w:szCs w:val="20"/>
                <w:color w:val="auto"/>
              </w:rPr>
            </w:pPr>
            <w:r>
              <w:rPr>
                <w:rFonts w:ascii="Arial" w:cs="Arial" w:eastAsia="Arial" w:hAnsi="Arial"/>
                <w:sz w:val="15"/>
                <w:szCs w:val="15"/>
                <w:color w:val="auto"/>
              </w:rPr>
              <w:t>313,735</w:t>
            </w: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54"/>
              <w:spacing w:after="0" w:line="169" w:lineRule="exact"/>
              <w:rPr>
                <w:sz w:val="20"/>
                <w:szCs w:val="20"/>
                <w:color w:val="auto"/>
              </w:rPr>
            </w:pPr>
            <w:r>
              <w:rPr>
                <w:rFonts w:ascii="Arial" w:cs="Arial" w:eastAsia="Arial" w:hAnsi="Arial"/>
                <w:sz w:val="15"/>
                <w:szCs w:val="15"/>
                <w:color w:val="auto"/>
              </w:rPr>
              <w:t>37.50</w:t>
            </w:r>
          </w:p>
        </w:tc>
        <w:tc>
          <w:tcPr>
            <w:tcW w:w="16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270,544</w:t>
            </w:r>
          </w:p>
        </w:tc>
        <w:tc>
          <w:tcPr>
            <w:tcW w:w="2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34.11</w:t>
            </w:r>
          </w:p>
        </w:tc>
        <w:tc>
          <w:tcPr>
            <w:tcW w:w="120" w:type="dxa"/>
            <w:vAlign w:val="bottom"/>
            <w:tcBorders>
              <w:top w:val="single" w:sz="8" w:color="CFF0FC"/>
            </w:tcBorders>
            <w:shd w:val="clear" w:color="auto" w:fill="CFF0FC"/>
          </w:tcPr>
          <w:p>
            <w:pPr>
              <w:spacing w:after="0"/>
              <w:rPr>
                <w:sz w:val="14"/>
                <w:szCs w:val="14"/>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5"/>
                <w:szCs w:val="15"/>
                <w:color w:val="auto"/>
              </w:rPr>
              <w:t>Restricted Stock Units (service and performance condition)</w:t>
            </w:r>
          </w:p>
        </w:tc>
        <w:tc>
          <w:tcPr>
            <w:tcW w:w="1480" w:type="dxa"/>
            <w:vAlign w:val="bottom"/>
          </w:tcPr>
          <w:p>
            <w:pPr>
              <w:jc w:val="right"/>
              <w:ind w:right="54"/>
              <w:spacing w:after="0"/>
              <w:rPr>
                <w:sz w:val="20"/>
                <w:szCs w:val="20"/>
                <w:color w:val="auto"/>
              </w:rPr>
            </w:pPr>
            <w:r>
              <w:rPr>
                <w:rFonts w:ascii="Arial" w:cs="Arial" w:eastAsia="Arial" w:hAnsi="Arial"/>
                <w:sz w:val="15"/>
                <w:szCs w:val="15"/>
                <w:color w:val="auto"/>
              </w:rPr>
              <w:t>269,710</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54"/>
              <w:spacing w:after="0"/>
              <w:rPr>
                <w:sz w:val="20"/>
                <w:szCs w:val="20"/>
                <w:color w:val="auto"/>
              </w:rPr>
            </w:pPr>
            <w:r>
              <w:rPr>
                <w:rFonts w:ascii="Arial" w:cs="Arial" w:eastAsia="Arial" w:hAnsi="Arial"/>
                <w:sz w:val="15"/>
                <w:szCs w:val="15"/>
                <w:color w:val="auto"/>
              </w:rPr>
              <w:t>38.43</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327,675</w:t>
            </w:r>
          </w:p>
        </w:tc>
        <w:tc>
          <w:tcPr>
            <w:tcW w:w="2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34.02</w:t>
            </w:r>
          </w:p>
        </w:tc>
        <w:tc>
          <w:tcPr>
            <w:tcW w:w="120" w:type="dxa"/>
            <w:vAlign w:val="bottom"/>
          </w:tcPr>
          <w:p>
            <w:pPr>
              <w:spacing w:after="0"/>
              <w:rPr>
                <w:sz w:val="16"/>
                <w:szCs w:val="16"/>
                <w:color w:val="auto"/>
              </w:rPr>
            </w:pPr>
          </w:p>
        </w:tc>
      </w:tr>
    </w:tbl>
    <w:p>
      <w:pPr>
        <w:spacing w:after="0" w:line="77" w:lineRule="exact"/>
        <w:rPr>
          <w:sz w:val="20"/>
          <w:szCs w:val="20"/>
          <w:color w:val="auto"/>
        </w:rPr>
      </w:pPr>
    </w:p>
    <w:p>
      <w:pPr>
        <w:ind w:right="100" w:firstLine="591"/>
        <w:spacing w:after="0" w:line="239" w:lineRule="auto"/>
        <w:rPr>
          <w:sz w:val="20"/>
          <w:szCs w:val="20"/>
          <w:color w:val="auto"/>
        </w:rPr>
      </w:pPr>
      <w:r>
        <w:rPr>
          <w:rFonts w:ascii="Arial" w:cs="Arial" w:eastAsia="Arial" w:hAnsi="Arial"/>
          <w:sz w:val="15"/>
          <w:szCs w:val="15"/>
          <w:color w:val="auto"/>
        </w:rPr>
        <w:t>The number of units granted for awards with performance conditions in the above table is based on performance against the target amount. The number of shares ultimately issued, which could be greater or less than target, will be based on achieving specific performance conditions related to the awards.</w:t>
      </w:r>
    </w:p>
    <w:p>
      <w:pPr>
        <w:spacing w:after="0" w:line="78" w:lineRule="exact"/>
        <w:rPr>
          <w:sz w:val="20"/>
          <w:szCs w:val="20"/>
          <w:color w:val="auto"/>
        </w:rPr>
      </w:pPr>
    </w:p>
    <w:p>
      <w:pPr>
        <w:ind w:right="640" w:firstLine="591"/>
        <w:spacing w:after="0" w:line="239" w:lineRule="auto"/>
        <w:rPr>
          <w:sz w:val="20"/>
          <w:szCs w:val="20"/>
          <w:color w:val="auto"/>
        </w:rPr>
      </w:pPr>
      <w:r>
        <w:rPr>
          <w:rFonts w:ascii="Arial" w:cs="Arial" w:eastAsia="Arial" w:hAnsi="Arial"/>
          <w:sz w:val="15"/>
          <w:szCs w:val="15"/>
          <w:color w:val="auto"/>
        </w:rPr>
        <w:t>The following table presents the number and weighted average grant-date fair value of restricted stock units (at target shares for awards with performance conditions) for the years ended December 31, 2020 and December 31, 2019:</w:t>
      </w:r>
    </w:p>
    <w:tbl>
      <w:tblPr>
        <w:tblLayout w:type="fixed"/>
        <w:tblInd w:w="0" w:type="dxa"/>
        <w:tblCellMar>
          <w:top w:w="0" w:type="dxa"/>
          <w:left w:w="0" w:type="dxa"/>
          <w:bottom w:w="0" w:type="dxa"/>
          <w:right w:w="0" w:type="dxa"/>
        </w:tblCellMar>
      </w:tblPr>
      <w:tr>
        <w:trPr>
          <w:trHeight w:val="124"/>
        </w:trPr>
        <w:tc>
          <w:tcPr>
            <w:tcW w:w="68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2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rPr>
              <w:t>Weighted Average Grant-Date Fair</w:t>
            </w:r>
          </w:p>
        </w:tc>
      </w:tr>
      <w:tr>
        <w:trPr>
          <w:trHeight w:val="143"/>
        </w:trPr>
        <w:tc>
          <w:tcPr>
            <w:tcW w:w="6840" w:type="dxa"/>
            <w:vAlign w:val="bottom"/>
            <w:tcBorders>
              <w:bottom w:val="single" w:sz="8" w:color="CFF0FC"/>
            </w:tcBorders>
          </w:tcPr>
          <w:p>
            <w:pPr>
              <w:spacing w:after="0"/>
              <w:rPr>
                <w:sz w:val="12"/>
                <w:szCs w:val="12"/>
                <w:color w:val="auto"/>
              </w:rPr>
            </w:pPr>
          </w:p>
        </w:tc>
        <w:tc>
          <w:tcPr>
            <w:tcW w:w="200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Number of Units</w:t>
            </w:r>
          </w:p>
        </w:tc>
        <w:tc>
          <w:tcPr>
            <w:tcW w:w="180" w:type="dxa"/>
            <w:vAlign w:val="bottom"/>
            <w:tcBorders>
              <w:bottom w:val="single" w:sz="8" w:color="CFF0FC"/>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88"/>
              <w:spacing w:after="0"/>
              <w:rPr>
                <w:sz w:val="20"/>
                <w:szCs w:val="20"/>
                <w:color w:val="auto"/>
              </w:rPr>
            </w:pPr>
            <w:r>
              <w:rPr>
                <w:rFonts w:ascii="Arial" w:cs="Arial" w:eastAsia="Arial" w:hAnsi="Arial"/>
                <w:sz w:val="12"/>
                <w:szCs w:val="12"/>
                <w:b w:val="1"/>
                <w:bCs w:val="1"/>
                <w:color w:val="auto"/>
              </w:rPr>
              <w:t>Value</w:t>
            </w:r>
          </w:p>
        </w:tc>
        <w:tc>
          <w:tcPr>
            <w:tcW w:w="120" w:type="dxa"/>
            <w:vAlign w:val="bottom"/>
            <w:tcBorders>
              <w:bottom w:val="single" w:sz="8" w:color="CFF0FC"/>
            </w:tcBorders>
          </w:tcPr>
          <w:p>
            <w:pPr>
              <w:spacing w:after="0"/>
              <w:rPr>
                <w:sz w:val="12"/>
                <w:szCs w:val="12"/>
                <w:color w:val="auto"/>
              </w:rPr>
            </w:pPr>
          </w:p>
        </w:tc>
      </w:tr>
      <w:tr>
        <w:trPr>
          <w:trHeight w:val="168"/>
        </w:trPr>
        <w:tc>
          <w:tcPr>
            <w:tcW w:w="68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Outstanding at December 31, 2018</w:t>
            </w:r>
          </w:p>
        </w:tc>
        <w:tc>
          <w:tcPr>
            <w:tcW w:w="2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4"/>
                <w:szCs w:val="14"/>
                <w:color w:val="auto"/>
              </w:rPr>
            </w:pPr>
          </w:p>
        </w:tc>
        <w:tc>
          <w:tcPr>
            <w:tcW w:w="600" w:type="dxa"/>
            <w:vAlign w:val="bottom"/>
            <w:gridSpan w:val="2"/>
            <w:shd w:val="clear" w:color="auto" w:fill="CFF0FC"/>
          </w:tcPr>
          <w:p>
            <w:pPr>
              <w:jc w:val="right"/>
              <w:ind w:right="321"/>
              <w:spacing w:after="0" w:line="169" w:lineRule="exact"/>
              <w:rPr>
                <w:sz w:val="20"/>
                <w:szCs w:val="20"/>
                <w:color w:val="auto"/>
              </w:rPr>
            </w:pPr>
            <w:r>
              <w:rPr>
                <w:rFonts w:ascii="Arial" w:cs="Arial" w:eastAsia="Arial" w:hAnsi="Arial"/>
                <w:sz w:val="15"/>
                <w:szCs w:val="15"/>
                <w:color w:val="auto"/>
              </w:rPr>
              <w:t>$</w:t>
            </w:r>
          </w:p>
        </w:tc>
        <w:tc>
          <w:tcPr>
            <w:tcW w:w="15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4"/>
                <w:szCs w:val="14"/>
                <w:color w:val="auto"/>
              </w:rPr>
            </w:pPr>
          </w:p>
        </w:tc>
      </w:tr>
      <w:tr>
        <w:trPr>
          <w:trHeight w:val="177"/>
        </w:trPr>
        <w:tc>
          <w:tcPr>
            <w:tcW w:w="6840" w:type="dxa"/>
            <w:vAlign w:val="bottom"/>
          </w:tcPr>
          <w:p>
            <w:pPr>
              <w:spacing w:after="0"/>
              <w:rPr>
                <w:sz w:val="20"/>
                <w:szCs w:val="20"/>
                <w:color w:val="auto"/>
              </w:rPr>
            </w:pPr>
            <w:r>
              <w:rPr>
                <w:rFonts w:ascii="Arial" w:cs="Arial" w:eastAsia="Arial" w:hAnsi="Arial"/>
                <w:sz w:val="15"/>
                <w:szCs w:val="15"/>
                <w:color w:val="auto"/>
              </w:rPr>
              <w:t>Granted</w:t>
            </w:r>
          </w:p>
        </w:tc>
        <w:tc>
          <w:tcPr>
            <w:tcW w:w="2000" w:type="dxa"/>
            <w:vAlign w:val="bottom"/>
          </w:tcPr>
          <w:p>
            <w:pPr>
              <w:jc w:val="right"/>
              <w:spacing w:after="0"/>
              <w:rPr>
                <w:sz w:val="20"/>
                <w:szCs w:val="20"/>
                <w:color w:val="auto"/>
              </w:rPr>
            </w:pPr>
            <w:r>
              <w:rPr>
                <w:rFonts w:ascii="Arial" w:cs="Arial" w:eastAsia="Arial" w:hAnsi="Arial"/>
                <w:sz w:val="15"/>
                <w:szCs w:val="15"/>
                <w:color w:val="auto"/>
              </w:rPr>
              <w:t>598,219</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34.06</w:t>
            </w:r>
          </w:p>
        </w:tc>
        <w:tc>
          <w:tcPr>
            <w:tcW w:w="120" w:type="dxa"/>
            <w:vAlign w:val="bottom"/>
          </w:tcPr>
          <w:p>
            <w:pPr>
              <w:spacing w:after="0"/>
              <w:rPr>
                <w:sz w:val="15"/>
                <w:szCs w:val="15"/>
                <w:color w:val="auto"/>
              </w:rPr>
            </w:pPr>
          </w:p>
        </w:tc>
      </w:tr>
      <w:tr>
        <w:trPr>
          <w:trHeight w:val="177"/>
        </w:trPr>
        <w:tc>
          <w:tcPr>
            <w:tcW w:w="6840" w:type="dxa"/>
            <w:vAlign w:val="bottom"/>
            <w:shd w:val="clear" w:color="auto" w:fill="CFF0FC"/>
          </w:tcPr>
          <w:p>
            <w:pPr>
              <w:spacing w:after="0"/>
              <w:rPr>
                <w:sz w:val="20"/>
                <w:szCs w:val="20"/>
                <w:color w:val="auto"/>
              </w:rPr>
            </w:pPr>
            <w:r>
              <w:rPr>
                <w:rFonts w:ascii="Arial" w:cs="Arial" w:eastAsia="Arial" w:hAnsi="Arial"/>
                <w:sz w:val="15"/>
                <w:szCs w:val="15"/>
                <w:color w:val="auto"/>
              </w:rPr>
              <w:t>Vested</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(74,704)</w:t>
            </w: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34.02</w:t>
            </w:r>
          </w:p>
        </w:tc>
        <w:tc>
          <w:tcPr>
            <w:tcW w:w="120" w:type="dxa"/>
            <w:vAlign w:val="bottom"/>
            <w:shd w:val="clear" w:color="auto" w:fill="CFF0FC"/>
          </w:tcPr>
          <w:p>
            <w:pPr>
              <w:spacing w:after="0"/>
              <w:rPr>
                <w:sz w:val="15"/>
                <w:szCs w:val="15"/>
                <w:color w:val="auto"/>
              </w:rPr>
            </w:pPr>
          </w:p>
        </w:tc>
      </w:tr>
      <w:tr>
        <w:trPr>
          <w:trHeight w:val="177"/>
        </w:trPr>
        <w:tc>
          <w:tcPr>
            <w:tcW w:w="6840" w:type="dxa"/>
            <w:vAlign w:val="bottom"/>
          </w:tcPr>
          <w:p>
            <w:pPr>
              <w:spacing w:after="0"/>
              <w:rPr>
                <w:sz w:val="20"/>
                <w:szCs w:val="20"/>
                <w:color w:val="auto"/>
              </w:rPr>
            </w:pPr>
            <w:r>
              <w:rPr>
                <w:rFonts w:ascii="Arial" w:cs="Arial" w:eastAsia="Arial" w:hAnsi="Arial"/>
                <w:sz w:val="15"/>
                <w:szCs w:val="15"/>
                <w:color w:val="auto"/>
              </w:rPr>
              <w:t>Forfeited</w:t>
            </w:r>
          </w:p>
        </w:tc>
        <w:tc>
          <w:tcPr>
            <w:tcW w:w="2180" w:type="dxa"/>
            <w:vAlign w:val="bottom"/>
            <w:gridSpan w:val="2"/>
          </w:tcPr>
          <w:p>
            <w:pPr>
              <w:jc w:val="right"/>
              <w:ind w:right="140"/>
              <w:spacing w:after="0"/>
              <w:rPr>
                <w:sz w:val="20"/>
                <w:szCs w:val="20"/>
                <w:color w:val="auto"/>
              </w:rPr>
            </w:pPr>
            <w:r>
              <w:rPr>
                <w:rFonts w:ascii="Arial" w:cs="Arial" w:eastAsia="Arial" w:hAnsi="Arial"/>
                <w:sz w:val="15"/>
                <w:szCs w:val="15"/>
                <w:color w:val="auto"/>
              </w:rPr>
              <w:t>(16,875)</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34.02</w:t>
            </w:r>
          </w:p>
        </w:tc>
        <w:tc>
          <w:tcPr>
            <w:tcW w:w="120" w:type="dxa"/>
            <w:vAlign w:val="bottom"/>
          </w:tcPr>
          <w:p>
            <w:pPr>
              <w:spacing w:after="0"/>
              <w:rPr>
                <w:sz w:val="15"/>
                <w:szCs w:val="15"/>
                <w:color w:val="auto"/>
              </w:rPr>
            </w:pPr>
          </w:p>
        </w:tc>
      </w:tr>
      <w:tr>
        <w:trPr>
          <w:trHeight w:val="168"/>
        </w:trPr>
        <w:tc>
          <w:tcPr>
            <w:tcW w:w="684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Outstanding at December 31, 2019</w:t>
            </w:r>
          </w:p>
        </w:tc>
        <w:tc>
          <w:tcPr>
            <w:tcW w:w="20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506,640</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600" w:type="dxa"/>
            <w:vAlign w:val="bottom"/>
            <w:tcBorders>
              <w:top w:val="single" w:sz="8" w:color="CFF0FC"/>
              <w:bottom w:val="single" w:sz="8" w:color="CFF0FC"/>
            </w:tcBorders>
            <w:gridSpan w:val="2"/>
            <w:shd w:val="clear" w:color="auto" w:fill="CFF0FC"/>
          </w:tcPr>
          <w:p>
            <w:pPr>
              <w:jc w:val="right"/>
              <w:ind w:right="321"/>
              <w:spacing w:after="0" w:line="169" w:lineRule="exact"/>
              <w:rPr>
                <w:sz w:val="20"/>
                <w:szCs w:val="20"/>
                <w:color w:val="auto"/>
              </w:rPr>
            </w:pPr>
            <w:r>
              <w:rPr>
                <w:rFonts w:ascii="Arial" w:cs="Arial" w:eastAsia="Arial" w:hAnsi="Arial"/>
                <w:sz w:val="15"/>
                <w:szCs w:val="15"/>
                <w:color w:val="auto"/>
              </w:rPr>
              <w:t>$</w:t>
            </w:r>
          </w:p>
        </w:tc>
        <w:tc>
          <w:tcPr>
            <w:tcW w:w="154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34.07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8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1"/>
        </w:trPr>
        <w:tc>
          <w:tcPr>
            <w:tcW w:w="6840" w:type="dxa"/>
            <w:vAlign w:val="bottom"/>
          </w:tcPr>
          <w:p>
            <w:pPr>
              <w:spacing w:after="0" w:line="151" w:lineRule="exact"/>
              <w:rPr>
                <w:sz w:val="20"/>
                <w:szCs w:val="20"/>
                <w:color w:val="auto"/>
              </w:rPr>
            </w:pPr>
            <w:r>
              <w:rPr>
                <w:rFonts w:ascii="Arial" w:cs="Arial" w:eastAsia="Arial" w:hAnsi="Arial"/>
                <w:sz w:val="15"/>
                <w:szCs w:val="15"/>
                <w:color w:val="auto"/>
              </w:rPr>
              <w:t>Granted</w:t>
            </w:r>
          </w:p>
        </w:tc>
        <w:tc>
          <w:tcPr>
            <w:tcW w:w="2000" w:type="dxa"/>
            <w:vAlign w:val="bottom"/>
          </w:tcPr>
          <w:p>
            <w:pPr>
              <w:jc w:val="right"/>
              <w:spacing w:after="0" w:line="151" w:lineRule="exact"/>
              <w:rPr>
                <w:sz w:val="20"/>
                <w:szCs w:val="20"/>
                <w:color w:val="auto"/>
              </w:rPr>
            </w:pPr>
            <w:r>
              <w:rPr>
                <w:rFonts w:ascii="Arial" w:cs="Arial" w:eastAsia="Arial" w:hAnsi="Arial"/>
                <w:sz w:val="15"/>
                <w:szCs w:val="15"/>
                <w:color w:val="auto"/>
              </w:rPr>
              <w:t>583,445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40" w:type="dxa"/>
            <w:vAlign w:val="bottom"/>
          </w:tcPr>
          <w:p>
            <w:pPr>
              <w:jc w:val="right"/>
              <w:spacing w:after="0" w:line="151" w:lineRule="exact"/>
              <w:rPr>
                <w:sz w:val="20"/>
                <w:szCs w:val="20"/>
                <w:color w:val="auto"/>
              </w:rPr>
            </w:pPr>
            <w:r>
              <w:rPr>
                <w:rFonts w:ascii="Arial" w:cs="Arial" w:eastAsia="Arial" w:hAnsi="Arial"/>
                <w:sz w:val="15"/>
                <w:szCs w:val="15"/>
                <w:color w:val="auto"/>
              </w:rPr>
              <w:t>37.92</w:t>
            </w:r>
          </w:p>
        </w:tc>
        <w:tc>
          <w:tcPr>
            <w:tcW w:w="120" w:type="dxa"/>
            <w:vAlign w:val="bottom"/>
          </w:tcPr>
          <w:p>
            <w:pPr>
              <w:spacing w:after="0"/>
              <w:rPr>
                <w:sz w:val="13"/>
                <w:szCs w:val="13"/>
                <w:color w:val="auto"/>
              </w:rPr>
            </w:pPr>
          </w:p>
        </w:tc>
      </w:tr>
      <w:tr>
        <w:trPr>
          <w:trHeight w:val="177"/>
        </w:trPr>
        <w:tc>
          <w:tcPr>
            <w:tcW w:w="6840" w:type="dxa"/>
            <w:vAlign w:val="bottom"/>
            <w:shd w:val="clear" w:color="auto" w:fill="CFF0FC"/>
          </w:tcPr>
          <w:p>
            <w:pPr>
              <w:spacing w:after="0"/>
              <w:rPr>
                <w:sz w:val="20"/>
                <w:szCs w:val="20"/>
                <w:color w:val="auto"/>
              </w:rPr>
            </w:pPr>
            <w:r>
              <w:rPr>
                <w:rFonts w:ascii="Arial" w:cs="Arial" w:eastAsia="Arial" w:hAnsi="Arial"/>
                <w:sz w:val="15"/>
                <w:szCs w:val="15"/>
                <w:color w:val="auto"/>
              </w:rPr>
              <w:t>Vested</w:t>
            </w:r>
          </w:p>
        </w:tc>
        <w:tc>
          <w:tcPr>
            <w:tcW w:w="21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(104,016)</w:t>
            </w: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34.34</w:t>
            </w:r>
          </w:p>
        </w:tc>
        <w:tc>
          <w:tcPr>
            <w:tcW w:w="120" w:type="dxa"/>
            <w:vAlign w:val="bottom"/>
            <w:shd w:val="clear" w:color="auto" w:fill="CFF0FC"/>
          </w:tcPr>
          <w:p>
            <w:pPr>
              <w:spacing w:after="0"/>
              <w:rPr>
                <w:sz w:val="15"/>
                <w:szCs w:val="15"/>
                <w:color w:val="auto"/>
              </w:rPr>
            </w:pPr>
          </w:p>
        </w:tc>
      </w:tr>
      <w:tr>
        <w:trPr>
          <w:trHeight w:val="177"/>
        </w:trPr>
        <w:tc>
          <w:tcPr>
            <w:tcW w:w="6840" w:type="dxa"/>
            <w:vAlign w:val="bottom"/>
          </w:tcPr>
          <w:p>
            <w:pPr>
              <w:spacing w:after="0"/>
              <w:rPr>
                <w:sz w:val="20"/>
                <w:szCs w:val="20"/>
                <w:color w:val="auto"/>
              </w:rPr>
            </w:pPr>
            <w:r>
              <w:rPr>
                <w:rFonts w:ascii="Arial" w:cs="Arial" w:eastAsia="Arial" w:hAnsi="Arial"/>
                <w:sz w:val="15"/>
                <w:szCs w:val="15"/>
                <w:color w:val="auto"/>
              </w:rPr>
              <w:t>Forfeited</w:t>
            </w:r>
          </w:p>
        </w:tc>
        <w:tc>
          <w:tcPr>
            <w:tcW w:w="2180" w:type="dxa"/>
            <w:vAlign w:val="bottom"/>
            <w:gridSpan w:val="2"/>
          </w:tcPr>
          <w:p>
            <w:pPr>
              <w:jc w:val="right"/>
              <w:ind w:right="140"/>
              <w:spacing w:after="0"/>
              <w:rPr>
                <w:sz w:val="20"/>
                <w:szCs w:val="20"/>
                <w:color w:val="auto"/>
              </w:rPr>
            </w:pPr>
            <w:r>
              <w:rPr>
                <w:rFonts w:ascii="Arial" w:cs="Arial" w:eastAsia="Arial" w:hAnsi="Arial"/>
                <w:sz w:val="15"/>
                <w:szCs w:val="15"/>
                <w:color w:val="auto"/>
              </w:rPr>
              <w:t>(54,284)</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5"/>
                <w:szCs w:val="15"/>
                <w:color w:val="auto"/>
              </w:rPr>
              <w:t>35.54</w:t>
            </w:r>
          </w:p>
        </w:tc>
        <w:tc>
          <w:tcPr>
            <w:tcW w:w="120" w:type="dxa"/>
            <w:vAlign w:val="bottom"/>
          </w:tcPr>
          <w:p>
            <w:pPr>
              <w:spacing w:after="0"/>
              <w:rPr>
                <w:sz w:val="15"/>
                <w:szCs w:val="15"/>
                <w:color w:val="auto"/>
              </w:rPr>
            </w:pPr>
          </w:p>
        </w:tc>
      </w:tr>
      <w:tr>
        <w:trPr>
          <w:trHeight w:val="168"/>
        </w:trPr>
        <w:tc>
          <w:tcPr>
            <w:tcW w:w="6840" w:type="dxa"/>
            <w:vAlign w:val="bottom"/>
            <w:tcBorders>
              <w:top w:val="single" w:sz="8" w:color="CFF0FC"/>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Outstanding at December 31, 2020</w:t>
            </w:r>
          </w:p>
        </w:tc>
        <w:tc>
          <w:tcPr>
            <w:tcW w:w="20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425,145</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600" w:type="dxa"/>
            <w:vAlign w:val="bottom"/>
            <w:tcBorders>
              <w:top w:val="single" w:sz="8" w:color="CFF0FC"/>
              <w:bottom w:val="single" w:sz="8" w:color="CFF0FC"/>
            </w:tcBorders>
            <w:gridSpan w:val="2"/>
            <w:shd w:val="clear" w:color="auto" w:fill="CFF0FC"/>
          </w:tcPr>
          <w:p>
            <w:pPr>
              <w:jc w:val="right"/>
              <w:ind w:right="321"/>
              <w:spacing w:after="0" w:line="169" w:lineRule="exact"/>
              <w:rPr>
                <w:sz w:val="20"/>
                <w:szCs w:val="20"/>
                <w:color w:val="auto"/>
              </w:rPr>
            </w:pPr>
            <w:r>
              <w:rPr>
                <w:rFonts w:ascii="Arial" w:cs="Arial" w:eastAsia="Arial" w:hAnsi="Arial"/>
                <w:sz w:val="15"/>
                <w:szCs w:val="15"/>
                <w:color w:val="auto"/>
              </w:rPr>
              <w:t>$</w:t>
            </w:r>
          </w:p>
        </w:tc>
        <w:tc>
          <w:tcPr>
            <w:tcW w:w="1540" w:type="dxa"/>
            <w:vAlign w:val="bottom"/>
            <w:tcBorders>
              <w:top w:val="single" w:sz="8" w:color="CFF0FC"/>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36.32</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r>
      <w:tr>
        <w:trPr>
          <w:trHeight w:val="20"/>
        </w:trPr>
        <w:tc>
          <w:tcPr>
            <w:tcW w:w="684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8" w:lineRule="exact"/>
        <w:rPr>
          <w:sz w:val="20"/>
          <w:szCs w:val="20"/>
          <w:color w:val="auto"/>
        </w:rPr>
      </w:pPr>
    </w:p>
    <w:p>
      <w:pPr>
        <w:ind w:right="280" w:firstLine="591"/>
        <w:spacing w:after="0" w:line="236" w:lineRule="auto"/>
        <w:rPr>
          <w:sz w:val="20"/>
          <w:szCs w:val="20"/>
          <w:color w:val="auto"/>
        </w:rPr>
      </w:pPr>
      <w:r>
        <w:rPr>
          <w:rFonts w:ascii="Arial" w:cs="Arial" w:eastAsia="Arial" w:hAnsi="Arial"/>
          <w:sz w:val="15"/>
          <w:szCs w:val="15"/>
          <w:color w:val="auto"/>
        </w:rPr>
        <w:t>For the year ended December 31, 2020, 78,476 shares of restricted stock units were issued, and 36,921 shares of common stock related to employee statutory income tax withholding were retired. For the year ended December 31, 2019, 74,704 shares of restricted stock units were issued, and 27,962 shares of common stock related to employee statutory income tax withholding were retired.</w:t>
      </w:r>
    </w:p>
    <w:p>
      <w:pPr>
        <w:spacing w:after="0" w:line="79" w:lineRule="exact"/>
        <w:rPr>
          <w:sz w:val="20"/>
          <w:szCs w:val="20"/>
          <w:color w:val="auto"/>
        </w:rPr>
      </w:pPr>
    </w:p>
    <w:p>
      <w:pPr>
        <w:ind w:right="120" w:firstLine="591"/>
        <w:spacing w:after="0" w:line="239" w:lineRule="auto"/>
        <w:rPr>
          <w:sz w:val="20"/>
          <w:szCs w:val="20"/>
          <w:color w:val="auto"/>
        </w:rPr>
      </w:pPr>
      <w:r>
        <w:rPr>
          <w:rFonts w:ascii="Arial" w:cs="Arial" w:eastAsia="Arial" w:hAnsi="Arial"/>
          <w:sz w:val="15"/>
          <w:szCs w:val="15"/>
          <w:color w:val="auto"/>
        </w:rPr>
        <w:t>The following table presents the number of shares of restricted stock outstanding (at target shares for awards with performance conditions) at December 31, 2020 and December 31, 2019:</w:t>
      </w:r>
    </w:p>
    <w:tbl>
      <w:tblPr>
        <w:tblLayout w:type="fixed"/>
        <w:tblInd w:w="0" w:type="dxa"/>
        <w:tblCellMar>
          <w:top w:w="0" w:type="dxa"/>
          <w:left w:w="0" w:type="dxa"/>
          <w:bottom w:w="0" w:type="dxa"/>
          <w:right w:w="0" w:type="dxa"/>
        </w:tblCellMar>
      </w:tblPr>
      <w:tr>
        <w:trPr>
          <w:trHeight w:val="124"/>
        </w:trPr>
        <w:tc>
          <w:tcPr>
            <w:tcW w:w="4860" w:type="dxa"/>
            <w:vAlign w:val="bottom"/>
          </w:tcPr>
          <w:p>
            <w:pPr>
              <w:spacing w:after="0"/>
              <w:rPr>
                <w:sz w:val="10"/>
                <w:szCs w:val="10"/>
                <w:color w:val="auto"/>
              </w:rPr>
            </w:pPr>
          </w:p>
        </w:tc>
        <w:tc>
          <w:tcPr>
            <w:tcW w:w="1640" w:type="dxa"/>
            <w:vAlign w:val="bottom"/>
            <w:gridSpan w:val="2"/>
          </w:tcPr>
          <w:p>
            <w:pPr>
              <w:ind w:left="300"/>
              <w:spacing w:after="0" w:line="124"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1560" w:type="dxa"/>
            <w:vAlign w:val="bottom"/>
            <w:gridSpan w:val="2"/>
          </w:tcPr>
          <w:p>
            <w:pPr>
              <w:jc w:val="center"/>
              <w:ind w:right="380"/>
              <w:spacing w:after="0" w:line="124" w:lineRule="exact"/>
              <w:rPr>
                <w:sz w:val="20"/>
                <w:szCs w:val="20"/>
                <w:color w:val="auto"/>
              </w:rPr>
            </w:pPr>
            <w:r>
              <w:rPr>
                <w:rFonts w:ascii="Arial" w:cs="Arial" w:eastAsia="Arial" w:hAnsi="Arial"/>
                <w:sz w:val="12"/>
                <w:szCs w:val="12"/>
                <w:b w:val="1"/>
                <w:bCs w:val="1"/>
                <w:color w:val="auto"/>
                <w:w w:val="97"/>
              </w:rPr>
              <w:t>Weighted Average</w:t>
            </w:r>
          </w:p>
        </w:tc>
        <w:tc>
          <w:tcPr>
            <w:tcW w:w="1640" w:type="dxa"/>
            <w:vAlign w:val="bottom"/>
            <w:gridSpan w:val="2"/>
          </w:tcPr>
          <w:p>
            <w:pPr>
              <w:ind w:left="280"/>
              <w:spacing w:after="0" w:line="124" w:lineRule="exact"/>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Arial" w:cs="Arial" w:eastAsia="Arial" w:hAnsi="Arial"/>
                <w:sz w:val="12"/>
                <w:szCs w:val="12"/>
                <w:b w:val="1"/>
                <w:bCs w:val="1"/>
                <w:color w:val="auto"/>
                <w:w w:val="99"/>
              </w:rPr>
              <w:t>Weighted Average</w:t>
            </w:r>
          </w:p>
        </w:tc>
      </w:tr>
      <w:tr>
        <w:trPr>
          <w:trHeight w:val="143"/>
        </w:trPr>
        <w:tc>
          <w:tcPr>
            <w:tcW w:w="4860" w:type="dxa"/>
            <w:vAlign w:val="bottom"/>
          </w:tcPr>
          <w:p>
            <w:pPr>
              <w:spacing w:after="0"/>
              <w:rPr>
                <w:sz w:val="12"/>
                <w:szCs w:val="12"/>
                <w:color w:val="auto"/>
              </w:rPr>
            </w:pPr>
          </w:p>
        </w:tc>
        <w:tc>
          <w:tcPr>
            <w:tcW w:w="1480" w:type="dxa"/>
            <w:vAlign w:val="bottom"/>
          </w:tcPr>
          <w:p>
            <w:pPr>
              <w:jc w:val="right"/>
              <w:ind w:right="594"/>
              <w:spacing w:after="0"/>
              <w:rPr>
                <w:sz w:val="20"/>
                <w:szCs w:val="20"/>
                <w:color w:val="auto"/>
              </w:rPr>
            </w:pPr>
            <w:r>
              <w:rPr>
                <w:rFonts w:ascii="Arial" w:cs="Arial" w:eastAsia="Arial" w:hAnsi="Arial"/>
                <w:sz w:val="12"/>
                <w:szCs w:val="12"/>
                <w:b w:val="1"/>
                <w:bCs w:val="1"/>
                <w:color w:val="auto"/>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Grant-Date Fair Value</w:t>
            </w:r>
          </w:p>
        </w:tc>
        <w:tc>
          <w:tcPr>
            <w:tcW w:w="1360" w:type="dxa"/>
            <w:vAlign w:val="bottom"/>
          </w:tcPr>
          <w:p>
            <w:pPr>
              <w:jc w:val="right"/>
              <w:ind w:right="494"/>
              <w:spacing w:after="0"/>
              <w:rPr>
                <w:sz w:val="20"/>
                <w:szCs w:val="20"/>
                <w:color w:val="auto"/>
              </w:rPr>
            </w:pPr>
            <w:r>
              <w:rPr>
                <w:rFonts w:ascii="Arial" w:cs="Arial" w:eastAsia="Arial" w:hAnsi="Arial"/>
                <w:sz w:val="12"/>
                <w:szCs w:val="12"/>
                <w:b w:val="1"/>
                <w:bCs w:val="1"/>
                <w:color w:val="auto"/>
              </w:rPr>
              <w:t>2019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Grant-Date Fair Value</w:t>
            </w:r>
          </w:p>
        </w:tc>
      </w:tr>
      <w:tr>
        <w:trPr>
          <w:trHeight w:val="168"/>
        </w:trPr>
        <w:tc>
          <w:tcPr>
            <w:tcW w:w="48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Restricted Stock Units (service condition)</w:t>
            </w:r>
          </w:p>
        </w:tc>
        <w:tc>
          <w:tcPr>
            <w:tcW w:w="1480" w:type="dxa"/>
            <w:vAlign w:val="bottom"/>
            <w:tcBorders>
              <w:top w:val="single" w:sz="8" w:color="auto"/>
            </w:tcBorders>
            <w:shd w:val="clear" w:color="auto" w:fill="CFF0FC"/>
          </w:tcPr>
          <w:p>
            <w:pPr>
              <w:jc w:val="right"/>
              <w:ind w:right="54"/>
              <w:spacing w:after="0" w:line="169" w:lineRule="exact"/>
              <w:rPr>
                <w:sz w:val="20"/>
                <w:szCs w:val="20"/>
                <w:color w:val="auto"/>
              </w:rPr>
            </w:pPr>
            <w:r>
              <w:rPr>
                <w:rFonts w:ascii="Arial" w:cs="Arial" w:eastAsia="Arial" w:hAnsi="Arial"/>
                <w:sz w:val="15"/>
                <w:szCs w:val="15"/>
                <w:color w:val="auto"/>
              </w:rPr>
              <w:t>374,819</w:t>
            </w: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ind w:right="54"/>
              <w:spacing w:after="0" w:line="169" w:lineRule="exact"/>
              <w:rPr>
                <w:sz w:val="20"/>
                <w:szCs w:val="20"/>
                <w:color w:val="auto"/>
              </w:rPr>
            </w:pPr>
            <w:r>
              <w:rPr>
                <w:rFonts w:ascii="Arial" w:cs="Arial" w:eastAsia="Arial" w:hAnsi="Arial"/>
                <w:sz w:val="15"/>
                <w:szCs w:val="15"/>
                <w:color w:val="auto"/>
              </w:rPr>
              <w:t>36.68</w:t>
            </w:r>
          </w:p>
        </w:tc>
        <w:tc>
          <w:tcPr>
            <w:tcW w:w="160" w:type="dxa"/>
            <w:vAlign w:val="bottom"/>
            <w:tcBorders>
              <w:top w:val="single" w:sz="8" w:color="CFF0FC"/>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189,090</w:t>
            </w:r>
          </w:p>
        </w:tc>
        <w:tc>
          <w:tcPr>
            <w:tcW w:w="2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34.15</w:t>
            </w:r>
          </w:p>
        </w:tc>
        <w:tc>
          <w:tcPr>
            <w:tcW w:w="120" w:type="dxa"/>
            <w:vAlign w:val="bottom"/>
            <w:tcBorders>
              <w:top w:val="single" w:sz="8" w:color="CFF0FC"/>
            </w:tcBorders>
            <w:shd w:val="clear" w:color="auto" w:fill="CFF0FC"/>
          </w:tcPr>
          <w:p>
            <w:pPr>
              <w:spacing w:after="0"/>
              <w:rPr>
                <w:sz w:val="14"/>
                <w:szCs w:val="14"/>
                <w:color w:val="auto"/>
              </w:rPr>
            </w:pPr>
          </w:p>
        </w:tc>
      </w:tr>
      <w:tr>
        <w:trPr>
          <w:trHeight w:val="188"/>
        </w:trPr>
        <w:tc>
          <w:tcPr>
            <w:tcW w:w="4860" w:type="dxa"/>
            <w:vAlign w:val="bottom"/>
          </w:tcPr>
          <w:p>
            <w:pPr>
              <w:spacing w:after="0"/>
              <w:rPr>
                <w:sz w:val="20"/>
                <w:szCs w:val="20"/>
                <w:color w:val="auto"/>
              </w:rPr>
            </w:pPr>
            <w:r>
              <w:rPr>
                <w:rFonts w:ascii="Arial" w:cs="Arial" w:eastAsia="Arial" w:hAnsi="Arial"/>
                <w:sz w:val="15"/>
                <w:szCs w:val="15"/>
                <w:color w:val="auto"/>
              </w:rPr>
              <w:t>Restricted Stock Units (service and performance condition)</w:t>
            </w:r>
          </w:p>
        </w:tc>
        <w:tc>
          <w:tcPr>
            <w:tcW w:w="1480" w:type="dxa"/>
            <w:vAlign w:val="bottom"/>
          </w:tcPr>
          <w:p>
            <w:pPr>
              <w:jc w:val="right"/>
              <w:ind w:right="54"/>
              <w:spacing w:after="0"/>
              <w:rPr>
                <w:sz w:val="20"/>
                <w:szCs w:val="20"/>
                <w:color w:val="auto"/>
              </w:rPr>
            </w:pPr>
            <w:r>
              <w:rPr>
                <w:rFonts w:ascii="Arial" w:cs="Arial" w:eastAsia="Arial" w:hAnsi="Arial"/>
                <w:sz w:val="15"/>
                <w:szCs w:val="15"/>
                <w:color w:val="auto"/>
              </w:rPr>
              <w:t>556,966</w:t>
            </w:r>
          </w:p>
        </w:tc>
        <w:tc>
          <w:tcPr>
            <w:tcW w:w="1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54"/>
              <w:spacing w:after="0"/>
              <w:rPr>
                <w:sz w:val="20"/>
                <w:szCs w:val="20"/>
                <w:color w:val="auto"/>
              </w:rPr>
            </w:pPr>
            <w:r>
              <w:rPr>
                <w:rFonts w:ascii="Arial" w:cs="Arial" w:eastAsia="Arial" w:hAnsi="Arial"/>
                <w:sz w:val="15"/>
                <w:szCs w:val="15"/>
                <w:color w:val="auto"/>
              </w:rPr>
              <w:t>36.07</w:t>
            </w:r>
          </w:p>
        </w:tc>
        <w:tc>
          <w:tcPr>
            <w:tcW w:w="1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317,550</w:t>
            </w:r>
          </w:p>
        </w:tc>
        <w:tc>
          <w:tcPr>
            <w:tcW w:w="2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34.02</w:t>
            </w:r>
          </w:p>
        </w:tc>
        <w:tc>
          <w:tcPr>
            <w:tcW w:w="120" w:type="dxa"/>
            <w:vAlign w:val="bottom"/>
          </w:tcPr>
          <w:p>
            <w:pPr>
              <w:spacing w:after="0"/>
              <w:rPr>
                <w:sz w:val="16"/>
                <w:szCs w:val="16"/>
                <w:color w:val="auto"/>
              </w:rPr>
            </w:pPr>
          </w:p>
        </w:tc>
      </w:tr>
    </w:tbl>
    <w:p>
      <w:pPr>
        <w:spacing w:after="0" w:line="200" w:lineRule="exact"/>
        <w:rPr>
          <w:sz w:val="20"/>
          <w:szCs w:val="20"/>
          <w:color w:val="auto"/>
        </w:rPr>
      </w:pPr>
    </w:p>
    <w:p>
      <w:pPr>
        <w:spacing w:after="0" w:line="236" w:lineRule="exact"/>
        <w:rPr>
          <w:sz w:val="20"/>
          <w:szCs w:val="20"/>
          <w:color w:val="auto"/>
        </w:rPr>
      </w:pPr>
    </w:p>
    <w:p>
      <w:pPr>
        <w:ind w:left="600" w:hanging="591"/>
        <w:spacing w:after="0"/>
        <w:tabs>
          <w:tab w:leader="none" w:pos="600" w:val="left"/>
        </w:tabs>
        <w:numPr>
          <w:ilvl w:val="0"/>
          <w:numId w:val="54"/>
        </w:numPr>
        <w:rPr>
          <w:rFonts w:ascii="Arial" w:cs="Arial" w:eastAsia="Arial" w:hAnsi="Arial"/>
          <w:sz w:val="15"/>
          <w:szCs w:val="15"/>
          <w:b w:val="1"/>
          <w:bCs w:val="1"/>
          <w:color w:val="auto"/>
        </w:rPr>
      </w:pPr>
      <w:r>
        <w:rPr>
          <w:rFonts w:ascii="Arial" w:cs="Arial" w:eastAsia="Arial" w:hAnsi="Arial"/>
          <w:sz w:val="15"/>
          <w:szCs w:val="15"/>
          <w:b w:val="1"/>
          <w:bCs w:val="1"/>
          <w:color w:val="auto"/>
        </w:rPr>
        <w:t>Goodwill</w:t>
      </w:r>
    </w:p>
    <w:p>
      <w:pPr>
        <w:spacing w:after="0" w:line="100" w:lineRule="exact"/>
        <w:rPr>
          <w:sz w:val="20"/>
          <w:szCs w:val="20"/>
          <w:color w:val="auto"/>
        </w:rPr>
      </w:pPr>
    </w:p>
    <w:p>
      <w:pPr>
        <w:ind w:right="320" w:firstLine="591"/>
        <w:spacing w:after="0" w:line="239" w:lineRule="auto"/>
        <w:rPr>
          <w:sz w:val="20"/>
          <w:szCs w:val="20"/>
          <w:color w:val="auto"/>
        </w:rPr>
      </w:pPr>
      <w:r>
        <w:rPr>
          <w:rFonts w:ascii="Arial" w:cs="Arial" w:eastAsia="Arial" w:hAnsi="Arial"/>
          <w:sz w:val="15"/>
          <w:szCs w:val="15"/>
          <w:color w:val="auto"/>
        </w:rPr>
        <w:t>The following table summarizes the changes in the carrying value of goodwill by reporting segment for the years ended December 31, 2020 and December 31, 2019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ind w:left="140"/>
              <w:spacing w:after="0"/>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Foreign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r>
      <w:tr>
        <w:trPr>
          <w:trHeight w:val="143"/>
        </w:trPr>
        <w:tc>
          <w:tcPr>
            <w:tcW w:w="3360" w:type="dxa"/>
            <w:vAlign w:val="bottom"/>
            <w:tcBorders>
              <w:bottom w:val="single" w:sz="8" w:color="CFF0FC"/>
            </w:tcBorders>
          </w:tcPr>
          <w:p>
            <w:pPr>
              <w:spacing w:after="0"/>
              <w:rPr>
                <w:sz w:val="12"/>
                <w:szCs w:val="12"/>
                <w:color w:val="auto"/>
              </w:rPr>
            </w:pPr>
          </w:p>
        </w:tc>
        <w:tc>
          <w:tcPr>
            <w:tcW w:w="20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Acquisitions</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Exchange</w:t>
            </w:r>
          </w:p>
        </w:tc>
        <w:tc>
          <w:tcPr>
            <w:tcW w:w="100" w:type="dxa"/>
            <w:vAlign w:val="bottom"/>
            <w:tcBorders>
              <w:bottom w:val="single" w:sz="8" w:color="CFF0FC"/>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2"/>
                <w:szCs w:val="12"/>
                <w:color w:val="auto"/>
              </w:rPr>
            </w:pPr>
          </w:p>
        </w:tc>
      </w:tr>
      <w:tr>
        <w:trPr>
          <w:trHeight w:val="168"/>
        </w:trPr>
        <w:tc>
          <w:tcPr>
            <w:tcW w:w="33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1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975,405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213,477</w:t>
            </w:r>
          </w:p>
        </w:tc>
        <w:tc>
          <w:tcPr>
            <w:tcW w:w="4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1,188,882</w:t>
            </w:r>
          </w:p>
        </w:tc>
        <w:tc>
          <w:tcPr>
            <w:tcW w:w="120" w:type="dxa"/>
            <w:vAlign w:val="bottom"/>
            <w:shd w:val="clear" w:color="auto" w:fill="CFF0FC"/>
          </w:tcPr>
          <w:p>
            <w:pPr>
              <w:spacing w:after="0"/>
              <w:rPr>
                <w:sz w:val="14"/>
                <w:szCs w:val="14"/>
                <w:color w:val="auto"/>
              </w:rPr>
            </w:pPr>
          </w:p>
        </w:tc>
      </w:tr>
      <w:tr>
        <w:trPr>
          <w:trHeight w:val="177"/>
        </w:trPr>
        <w:tc>
          <w:tcPr>
            <w:tcW w:w="33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200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72,020</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1,076</w:t>
            </w:r>
          </w:p>
        </w:tc>
        <w:tc>
          <w:tcPr>
            <w:tcW w:w="100" w:type="dxa"/>
            <w:vAlign w:val="bottom"/>
            <w:tcBorders>
              <w:bottom w:val="single" w:sz="8" w:color="CFF0FC"/>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73,096</w:t>
            </w:r>
          </w:p>
        </w:tc>
        <w:tc>
          <w:tcPr>
            <w:tcW w:w="120" w:type="dxa"/>
            <w:vAlign w:val="bottom"/>
            <w:tcBorders>
              <w:bottom w:val="single" w:sz="8" w:color="CFF0FC"/>
            </w:tcBorders>
          </w:tcPr>
          <w:p>
            <w:pPr>
              <w:spacing w:after="0"/>
              <w:rPr>
                <w:sz w:val="15"/>
                <w:szCs w:val="15"/>
                <w:color w:val="auto"/>
              </w:rPr>
            </w:pPr>
          </w:p>
        </w:tc>
      </w:tr>
      <w:tr>
        <w:trPr>
          <w:trHeight w:val="168"/>
        </w:trPr>
        <w:tc>
          <w:tcPr>
            <w:tcW w:w="33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w:t>
            </w:r>
          </w:p>
        </w:tc>
        <w:tc>
          <w:tcPr>
            <w:tcW w:w="210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1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1,047,425</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213,477</w:t>
            </w:r>
          </w:p>
        </w:tc>
        <w:tc>
          <w:tcPr>
            <w:tcW w:w="4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1,076</w:t>
            </w:r>
          </w:p>
        </w:tc>
        <w:tc>
          <w:tcPr>
            <w:tcW w:w="10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1,261,978</w:t>
            </w:r>
          </w:p>
        </w:tc>
        <w:tc>
          <w:tcPr>
            <w:tcW w:w="120" w:type="dxa"/>
            <w:vAlign w:val="bottom"/>
            <w:shd w:val="clear" w:color="auto" w:fill="CFF0FC"/>
          </w:tcPr>
          <w:p>
            <w:pPr>
              <w:spacing w:after="0"/>
              <w:rPr>
                <w:sz w:val="14"/>
                <w:szCs w:val="14"/>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727"/>
        </w:trPr>
        <w:tc>
          <w:tcPr>
            <w:tcW w:w="3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5"/>
                <w:szCs w:val="15"/>
                <w:color w:val="auto"/>
              </w:rPr>
              <w:t>F-35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3360" w:type="dxa"/>
            <w:vAlign w:val="bottom"/>
            <w:tcBorders>
              <w:bottom w:val="single" w:sz="8" w:color="9A9A9A"/>
            </w:tcBorders>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ind w:left="200"/>
              <w:spacing w:after="0"/>
              <w:rPr>
                <w:sz w:val="20"/>
                <w:szCs w:val="20"/>
                <w:color w:val="auto"/>
              </w:rPr>
            </w:pPr>
            <w:r>
              <w:rPr>
                <w:rFonts w:ascii="Arial" w:cs="Arial" w:eastAsia="Arial" w:hAnsi="Arial"/>
                <w:sz w:val="12"/>
                <w:szCs w:val="12"/>
                <w:b w:val="1"/>
                <w:bCs w:val="1"/>
                <w:color w:val="auto"/>
              </w:rPr>
              <w:t>Foreign</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December 31,</w:t>
            </w:r>
          </w:p>
        </w:tc>
      </w:tr>
      <w:tr>
        <w:trPr>
          <w:trHeight w:val="143"/>
        </w:trPr>
        <w:tc>
          <w:tcPr>
            <w:tcW w:w="3360" w:type="dxa"/>
            <w:vAlign w:val="bottom"/>
            <w:tcBorders>
              <w:bottom w:val="single" w:sz="8" w:color="CFF0FC"/>
            </w:tcBorders>
          </w:tcPr>
          <w:p>
            <w:pPr>
              <w:spacing w:after="0"/>
              <w:rPr>
                <w:sz w:val="12"/>
                <w:szCs w:val="12"/>
                <w:color w:val="auto"/>
              </w:rPr>
            </w:pPr>
          </w:p>
        </w:tc>
        <w:tc>
          <w:tcPr>
            <w:tcW w:w="20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2018</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Acquisitions</w:t>
            </w: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92"/>
              <w:spacing w:after="0"/>
              <w:rPr>
                <w:sz w:val="20"/>
                <w:szCs w:val="20"/>
                <w:color w:val="auto"/>
              </w:rPr>
            </w:pPr>
            <w:r>
              <w:rPr>
                <w:rFonts w:ascii="Arial" w:cs="Arial" w:eastAsia="Arial" w:hAnsi="Arial"/>
                <w:sz w:val="12"/>
                <w:szCs w:val="12"/>
                <w:b w:val="1"/>
                <w:bCs w:val="1"/>
                <w:color w:val="auto"/>
              </w:rPr>
              <w:t>Exchange</w:t>
            </w:r>
          </w:p>
        </w:tc>
        <w:tc>
          <w:tcPr>
            <w:tcW w:w="100" w:type="dxa"/>
            <w:vAlign w:val="bottom"/>
            <w:tcBorders>
              <w:bottom w:val="single" w:sz="8" w:color="CFF0FC"/>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33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Federal Solutions</w:t>
            </w:r>
          </w:p>
        </w:tc>
        <w:tc>
          <w:tcPr>
            <w:tcW w:w="2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666,841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308,564</w:t>
            </w:r>
          </w:p>
        </w:tc>
        <w:tc>
          <w:tcPr>
            <w:tcW w:w="4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975,405</w:t>
            </w:r>
          </w:p>
        </w:tc>
        <w:tc>
          <w:tcPr>
            <w:tcW w:w="120" w:type="dxa"/>
            <w:vAlign w:val="bottom"/>
            <w:shd w:val="clear" w:color="auto" w:fill="CFF0FC"/>
          </w:tcPr>
          <w:p>
            <w:pPr>
              <w:spacing w:after="0"/>
              <w:rPr>
                <w:sz w:val="14"/>
                <w:szCs w:val="14"/>
                <w:color w:val="auto"/>
              </w:rPr>
            </w:pPr>
          </w:p>
        </w:tc>
      </w:tr>
      <w:tr>
        <w:trPr>
          <w:trHeight w:val="177"/>
        </w:trPr>
        <w:tc>
          <w:tcPr>
            <w:tcW w:w="33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Critical Infrastructure</w:t>
            </w:r>
          </w:p>
        </w:tc>
        <w:tc>
          <w:tcPr>
            <w:tcW w:w="200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70,097</w:t>
            </w:r>
          </w:p>
        </w:tc>
        <w:tc>
          <w:tcPr>
            <w:tcW w:w="26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1,923</w:t>
            </w:r>
          </w:p>
        </w:tc>
        <w:tc>
          <w:tcPr>
            <w:tcW w:w="100" w:type="dxa"/>
            <w:vAlign w:val="bottom"/>
            <w:tcBorders>
              <w:bottom w:val="single" w:sz="8" w:color="CFF0FC"/>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72,020</w:t>
            </w:r>
          </w:p>
        </w:tc>
        <w:tc>
          <w:tcPr>
            <w:tcW w:w="120" w:type="dxa"/>
            <w:vAlign w:val="bottom"/>
            <w:tcBorders>
              <w:bottom w:val="single" w:sz="8" w:color="CFF0FC"/>
            </w:tcBorders>
          </w:tcPr>
          <w:p>
            <w:pPr>
              <w:spacing w:after="0"/>
              <w:rPr>
                <w:sz w:val="15"/>
                <w:szCs w:val="15"/>
                <w:color w:val="auto"/>
              </w:rPr>
            </w:pPr>
          </w:p>
        </w:tc>
      </w:tr>
      <w:tr>
        <w:trPr>
          <w:trHeight w:val="168"/>
        </w:trPr>
        <w:tc>
          <w:tcPr>
            <w:tcW w:w="33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Total</w:t>
            </w:r>
          </w:p>
        </w:tc>
        <w:tc>
          <w:tcPr>
            <w:tcW w:w="21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736,938</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95"/>
              </w:rPr>
              <w:t>$</w:t>
            </w:r>
          </w:p>
        </w:tc>
        <w:tc>
          <w:tcPr>
            <w:tcW w:w="10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308,564</w:t>
            </w:r>
          </w:p>
        </w:tc>
        <w:tc>
          <w:tcPr>
            <w:tcW w:w="4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1,923</w:t>
            </w:r>
          </w:p>
        </w:tc>
        <w:tc>
          <w:tcPr>
            <w:tcW w:w="100" w:type="dxa"/>
            <w:vAlign w:val="bottom"/>
            <w:shd w:val="clear" w:color="auto" w:fill="CFF0FC"/>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1,047,425</w:t>
            </w:r>
          </w:p>
        </w:tc>
        <w:tc>
          <w:tcPr>
            <w:tcW w:w="120" w:type="dxa"/>
            <w:vAlign w:val="bottom"/>
            <w:shd w:val="clear" w:color="auto" w:fill="CFF0FC"/>
          </w:tcPr>
          <w:p>
            <w:pPr>
              <w:spacing w:after="0"/>
              <w:rPr>
                <w:sz w:val="14"/>
                <w:szCs w:val="14"/>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560" w:firstLine="632"/>
        <w:spacing w:after="0" w:line="239" w:lineRule="auto"/>
        <w:rPr>
          <w:sz w:val="20"/>
          <w:szCs w:val="20"/>
          <w:color w:val="auto"/>
        </w:rPr>
      </w:pPr>
      <w:r>
        <w:rPr>
          <w:rFonts w:ascii="Arial" w:cs="Arial" w:eastAsia="Arial" w:hAnsi="Arial"/>
          <w:sz w:val="15"/>
          <w:szCs w:val="15"/>
          <w:color w:val="auto"/>
        </w:rPr>
        <w:t>For the years ended December 31, 2020 and December 31, 2019, the Company performed a quantitative impairment analysis for all reporting units. It was determined that the fair value of all reporting units exceeded their carrying values. As a result, no goodwill impairments were identified for those periods.</w:t>
      </w:r>
    </w:p>
    <w:p>
      <w:pPr>
        <w:spacing w:after="0" w:line="148" w:lineRule="exact"/>
        <w:rPr>
          <w:sz w:val="20"/>
          <w:szCs w:val="20"/>
          <w:color w:val="auto"/>
        </w:rPr>
      </w:pPr>
    </w:p>
    <w:p>
      <w:pPr>
        <w:ind w:left="600" w:hanging="591"/>
        <w:spacing w:after="0"/>
        <w:tabs>
          <w:tab w:leader="none" w:pos="600"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Intangible Assets</w:t>
      </w:r>
    </w:p>
    <w:p>
      <w:pPr>
        <w:spacing w:after="0" w:line="100" w:lineRule="exact"/>
        <w:rPr>
          <w:sz w:val="20"/>
          <w:szCs w:val="20"/>
          <w:color w:val="auto"/>
        </w:rPr>
      </w:pPr>
    </w:p>
    <w:p>
      <w:pPr>
        <w:ind w:right="180" w:firstLine="591"/>
        <w:spacing w:after="0" w:line="239" w:lineRule="auto"/>
        <w:rPr>
          <w:sz w:val="20"/>
          <w:szCs w:val="20"/>
          <w:color w:val="auto"/>
        </w:rPr>
      </w:pPr>
      <w:r>
        <w:rPr>
          <w:rFonts w:ascii="Arial" w:cs="Arial" w:eastAsia="Arial" w:hAnsi="Arial"/>
          <w:sz w:val="15"/>
          <w:szCs w:val="15"/>
          <w:color w:val="auto"/>
        </w:rPr>
        <w:t>The gross amount and accumulated amortization of acquired identifiable intangible assets included in “Intangible assets, net” on the consolidated balance sheets were as follows (in thousands except for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Weighted</w:t>
            </w:r>
          </w:p>
        </w:tc>
      </w:tr>
      <w:tr>
        <w:trPr>
          <w:trHeight w:val="143"/>
        </w:trPr>
        <w:tc>
          <w:tcPr>
            <w:tcW w:w="39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December 31, 2020</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2"/>
                <w:szCs w:val="12"/>
                <w:b w:val="1"/>
                <w:bCs w:val="1"/>
                <w:color w:val="auto"/>
              </w:rPr>
              <w:t>December 31, 2019</w:t>
            </w: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7"/>
              </w:rPr>
              <w:t>Average</w:t>
            </w:r>
          </w:p>
        </w:tc>
      </w:tr>
      <w:tr>
        <w:trPr>
          <w:trHeight w:val="125"/>
        </w:trPr>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jc w:val="center"/>
              <w:ind w:right="110"/>
              <w:spacing w:after="0" w:line="125" w:lineRule="exact"/>
              <w:rPr>
                <w:sz w:val="20"/>
                <w:szCs w:val="20"/>
                <w:color w:val="auto"/>
              </w:rPr>
            </w:pPr>
            <w:r>
              <w:rPr>
                <w:rFonts w:ascii="Arial" w:cs="Arial" w:eastAsia="Arial" w:hAnsi="Arial"/>
                <w:sz w:val="12"/>
                <w:szCs w:val="12"/>
                <w:b w:val="1"/>
                <w:bCs w:val="1"/>
                <w:color w:val="auto"/>
                <w:w w:val="97"/>
              </w:rPr>
              <w:t>Gross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92"/>
              </w:rPr>
              <w:t>Net</w:t>
            </w:r>
          </w:p>
        </w:tc>
        <w:tc>
          <w:tcPr>
            <w:tcW w:w="140" w:type="dxa"/>
            <w:vAlign w:val="bottom"/>
          </w:tcPr>
          <w:p>
            <w:pPr>
              <w:spacing w:after="0"/>
              <w:rPr>
                <w:sz w:val="10"/>
                <w:szCs w:val="10"/>
                <w:color w:val="auto"/>
              </w:rPr>
            </w:pPr>
          </w:p>
        </w:tc>
        <w:tc>
          <w:tcPr>
            <w:tcW w:w="980" w:type="dxa"/>
            <w:vAlign w:val="bottom"/>
            <w:gridSpan w:val="2"/>
          </w:tcPr>
          <w:p>
            <w:pPr>
              <w:jc w:val="center"/>
              <w:ind w:right="360"/>
              <w:spacing w:after="0" w:line="125" w:lineRule="exact"/>
              <w:rPr>
                <w:sz w:val="20"/>
                <w:szCs w:val="20"/>
                <w:color w:val="auto"/>
              </w:rPr>
            </w:pPr>
            <w:r>
              <w:rPr>
                <w:rFonts w:ascii="Arial" w:cs="Arial" w:eastAsia="Arial" w:hAnsi="Arial"/>
                <w:sz w:val="12"/>
                <w:szCs w:val="12"/>
                <w:b w:val="1"/>
                <w:bCs w:val="1"/>
                <w:color w:val="auto"/>
                <w:w w:val="97"/>
              </w:rPr>
              <w:t>Gross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center"/>
              <w:ind w:right="30"/>
              <w:spacing w:after="0" w:line="125" w:lineRule="exact"/>
              <w:rPr>
                <w:sz w:val="20"/>
                <w:szCs w:val="20"/>
                <w:color w:val="auto"/>
              </w:rPr>
            </w:pPr>
            <w:r>
              <w:rPr>
                <w:rFonts w:ascii="Arial" w:cs="Arial" w:eastAsia="Arial" w:hAnsi="Arial"/>
                <w:sz w:val="12"/>
                <w:szCs w:val="12"/>
                <w:b w:val="1"/>
                <w:bCs w:val="1"/>
                <w:color w:val="auto"/>
                <w:w w:val="92"/>
              </w:rPr>
              <w:t>Net</w:t>
            </w:r>
          </w:p>
        </w:tc>
        <w:tc>
          <w:tcPr>
            <w:tcW w:w="200" w:type="dxa"/>
            <w:vAlign w:val="bottom"/>
          </w:tcPr>
          <w:p>
            <w:pPr>
              <w:spacing w:after="0"/>
              <w:rPr>
                <w:sz w:val="10"/>
                <w:szCs w:val="10"/>
                <w:color w:val="auto"/>
              </w:rPr>
            </w:pPr>
          </w:p>
        </w:tc>
        <w:tc>
          <w:tcPr>
            <w:tcW w:w="880" w:type="dxa"/>
            <w:vAlign w:val="bottom"/>
            <w:gridSpan w:val="2"/>
          </w:tcPr>
          <w:p>
            <w:pPr>
              <w:jc w:val="center"/>
              <w:ind w:right="120"/>
              <w:spacing w:after="0" w:line="125" w:lineRule="exact"/>
              <w:rPr>
                <w:sz w:val="20"/>
                <w:szCs w:val="20"/>
                <w:color w:val="auto"/>
              </w:rPr>
            </w:pPr>
            <w:r>
              <w:rPr>
                <w:rFonts w:ascii="Arial" w:cs="Arial" w:eastAsia="Arial" w:hAnsi="Arial"/>
                <w:sz w:val="12"/>
                <w:szCs w:val="12"/>
                <w:b w:val="1"/>
                <w:bCs w:val="1"/>
                <w:color w:val="auto"/>
                <w:w w:val="98"/>
              </w:rPr>
              <w:t>Amortization</w:t>
            </w:r>
          </w:p>
        </w:tc>
      </w:tr>
      <w:tr>
        <w:trPr>
          <w:trHeight w:val="133"/>
        </w:trPr>
        <w:tc>
          <w:tcPr>
            <w:tcW w:w="3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110"/>
              <w:spacing w:after="0" w:line="133" w:lineRule="exact"/>
              <w:rPr>
                <w:sz w:val="20"/>
                <w:szCs w:val="20"/>
                <w:color w:val="auto"/>
              </w:rPr>
            </w:pPr>
            <w:r>
              <w:rPr>
                <w:rFonts w:ascii="Arial" w:cs="Arial" w:eastAsia="Arial" w:hAnsi="Arial"/>
                <w:sz w:val="12"/>
                <w:szCs w:val="12"/>
                <w:b w:val="1"/>
                <w:bCs w:val="1"/>
                <w:color w:val="auto"/>
              </w:rPr>
              <w:t>Carrying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20"/>
              <w:spacing w:after="0" w:line="133" w:lineRule="exact"/>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2"/>
                <w:szCs w:val="12"/>
                <w:b w:val="1"/>
                <w:bCs w:val="1"/>
                <w:color w:val="auto"/>
                <w:w w:val="97"/>
              </w:rPr>
              <w:t>Carrying</w:t>
            </w:r>
          </w:p>
        </w:tc>
        <w:tc>
          <w:tcPr>
            <w:tcW w:w="140" w:type="dxa"/>
            <w:vAlign w:val="bottom"/>
          </w:tcPr>
          <w:p>
            <w:pPr>
              <w:spacing w:after="0"/>
              <w:rPr>
                <w:sz w:val="11"/>
                <w:szCs w:val="11"/>
                <w:color w:val="auto"/>
              </w:rPr>
            </w:pPr>
          </w:p>
        </w:tc>
        <w:tc>
          <w:tcPr>
            <w:tcW w:w="980" w:type="dxa"/>
            <w:vAlign w:val="bottom"/>
            <w:gridSpan w:val="2"/>
          </w:tcPr>
          <w:p>
            <w:pPr>
              <w:jc w:val="center"/>
              <w:ind w:right="340"/>
              <w:spacing w:after="0" w:line="133" w:lineRule="exact"/>
              <w:rPr>
                <w:sz w:val="20"/>
                <w:szCs w:val="20"/>
                <w:color w:val="auto"/>
              </w:rPr>
            </w:pPr>
            <w:r>
              <w:rPr>
                <w:rFonts w:ascii="Arial" w:cs="Arial" w:eastAsia="Arial" w:hAnsi="Arial"/>
                <w:sz w:val="12"/>
                <w:szCs w:val="12"/>
                <w:b w:val="1"/>
                <w:bCs w:val="1"/>
                <w:color w:val="auto"/>
                <w:w w:val="97"/>
              </w:rPr>
              <w:t>Carrying</w:t>
            </w:r>
          </w:p>
        </w:tc>
        <w:tc>
          <w:tcPr>
            <w:tcW w:w="8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30"/>
              <w:spacing w:after="0" w:line="133" w:lineRule="exact"/>
              <w:rPr>
                <w:sz w:val="20"/>
                <w:szCs w:val="20"/>
                <w:color w:val="auto"/>
              </w:rPr>
            </w:pPr>
            <w:r>
              <w:rPr>
                <w:rFonts w:ascii="Arial" w:cs="Arial" w:eastAsia="Arial" w:hAnsi="Arial"/>
                <w:sz w:val="12"/>
                <w:szCs w:val="12"/>
                <w:b w:val="1"/>
                <w:bCs w:val="1"/>
                <w:color w:val="auto"/>
              </w:rPr>
              <w:t>Carrying</w:t>
            </w:r>
          </w:p>
        </w:tc>
        <w:tc>
          <w:tcPr>
            <w:tcW w:w="200" w:type="dxa"/>
            <w:vAlign w:val="bottom"/>
          </w:tcPr>
          <w:p>
            <w:pPr>
              <w:spacing w:after="0"/>
              <w:rPr>
                <w:sz w:val="11"/>
                <w:szCs w:val="11"/>
                <w:color w:val="auto"/>
              </w:rPr>
            </w:pPr>
          </w:p>
        </w:tc>
        <w:tc>
          <w:tcPr>
            <w:tcW w:w="88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6"/>
              </w:rPr>
              <w:t>Period</w:t>
            </w:r>
          </w:p>
        </w:tc>
      </w:tr>
      <w:tr>
        <w:trPr>
          <w:trHeight w:val="143"/>
        </w:trPr>
        <w:tc>
          <w:tcPr>
            <w:tcW w:w="39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10"/>
              <w:spacing w:after="0"/>
              <w:rPr>
                <w:sz w:val="20"/>
                <w:szCs w:val="20"/>
                <w:color w:val="auto"/>
              </w:rPr>
            </w:pPr>
            <w:r>
              <w:rPr>
                <w:rFonts w:ascii="Arial" w:cs="Arial" w:eastAsia="Arial" w:hAnsi="Arial"/>
                <w:sz w:val="12"/>
                <w:szCs w:val="12"/>
                <w:b w:val="1"/>
                <w:bCs w:val="1"/>
                <w:color w:val="auto"/>
              </w:rPr>
              <w:t>Amount</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2"/>
                <w:szCs w:val="12"/>
                <w:b w:val="1"/>
                <w:bCs w:val="1"/>
                <w:color w:val="auto"/>
                <w:w w:val="98"/>
              </w:rPr>
              <w:t>Amortization</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6"/>
              </w:rPr>
              <w:t>Amount</w:t>
            </w: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8"/>
              </w:rPr>
              <w:t>Amortization</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center"/>
              <w:ind w:right="30"/>
              <w:spacing w:after="0"/>
              <w:rPr>
                <w:sz w:val="20"/>
                <w:szCs w:val="20"/>
                <w:color w:val="auto"/>
              </w:rPr>
            </w:pPr>
            <w:r>
              <w:rPr>
                <w:rFonts w:ascii="Arial" w:cs="Arial" w:eastAsia="Arial" w:hAnsi="Arial"/>
                <w:sz w:val="12"/>
                <w:szCs w:val="12"/>
                <w:b w:val="1"/>
                <w:bCs w:val="1"/>
                <w:color w:val="auto"/>
              </w:rPr>
              <w:t>Amount</w:t>
            </w:r>
          </w:p>
        </w:tc>
        <w:tc>
          <w:tcPr>
            <w:tcW w:w="200" w:type="dxa"/>
            <w:vAlign w:val="bottom"/>
            <w:tcBorders>
              <w:bottom w:val="single" w:sz="8" w:color="CFF0FC"/>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i w:val="1"/>
                <w:iCs w:val="1"/>
                <w:color w:val="auto"/>
                <w:w w:val="97"/>
              </w:rPr>
              <w:t>(in years)</w:t>
            </w:r>
          </w:p>
        </w:tc>
        <w:tc>
          <w:tcPr>
            <w:tcW w:w="120" w:type="dxa"/>
            <w:vAlign w:val="bottom"/>
            <w:tcBorders>
              <w:bottom w:val="single" w:sz="8" w:color="CFF0FC"/>
            </w:tcBorders>
          </w:tcPr>
          <w:p>
            <w:pPr>
              <w:spacing w:after="0"/>
              <w:rPr>
                <w:sz w:val="12"/>
                <w:szCs w:val="12"/>
                <w:color w:val="auto"/>
              </w:rPr>
            </w:pPr>
          </w:p>
        </w:tc>
      </w:tr>
      <w:tr>
        <w:trPr>
          <w:trHeight w:val="168"/>
        </w:trPr>
        <w:tc>
          <w:tcPr>
            <w:tcW w:w="39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Backlog</w:t>
            </w: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145,855</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(101,038)</w:t>
            </w:r>
          </w:p>
        </w:tc>
        <w:tc>
          <w:tcPr>
            <w:tcW w:w="2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44,817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109,255</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(87,510)</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21,745</w:t>
            </w:r>
          </w:p>
        </w:tc>
        <w:tc>
          <w:tcPr>
            <w:tcW w:w="96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3</w:t>
            </w:r>
          </w:p>
        </w:tc>
        <w:tc>
          <w:tcPr>
            <w:tcW w:w="120" w:type="dxa"/>
            <w:vAlign w:val="bottom"/>
            <w:shd w:val="clear" w:color="auto" w:fill="CFF0FC"/>
          </w:tcPr>
          <w:p>
            <w:pPr>
              <w:spacing w:after="0"/>
              <w:rPr>
                <w:sz w:val="14"/>
                <w:szCs w:val="14"/>
                <w:color w:val="auto"/>
              </w:rPr>
            </w:pPr>
          </w:p>
        </w:tc>
      </w:tr>
      <w:tr>
        <w:trPr>
          <w:trHeight w:val="177"/>
        </w:trPr>
        <w:tc>
          <w:tcPr>
            <w:tcW w:w="3980" w:type="dxa"/>
            <w:vAlign w:val="bottom"/>
          </w:tcPr>
          <w:p>
            <w:pPr>
              <w:spacing w:after="0"/>
              <w:rPr>
                <w:sz w:val="20"/>
                <w:szCs w:val="20"/>
                <w:color w:val="auto"/>
              </w:rPr>
            </w:pPr>
            <w:r>
              <w:rPr>
                <w:rFonts w:ascii="Arial" w:cs="Arial" w:eastAsia="Arial" w:hAnsi="Arial"/>
                <w:sz w:val="15"/>
                <w:szCs w:val="15"/>
                <w:color w:val="auto"/>
              </w:rPr>
              <w:t>Customer relationships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264,129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(110,450)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153,679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228,529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(67,809)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160,720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120" w:type="dxa"/>
            <w:vAlign w:val="bottom"/>
          </w:tcPr>
          <w:p>
            <w:pPr>
              <w:spacing w:after="0"/>
              <w:rPr>
                <w:sz w:val="15"/>
                <w:szCs w:val="15"/>
                <w:color w:val="auto"/>
              </w:rPr>
            </w:pPr>
          </w:p>
        </w:tc>
      </w:tr>
      <w:tr>
        <w:trPr>
          <w:trHeight w:val="177"/>
        </w:trPr>
        <w:tc>
          <w:tcPr>
            <w:tcW w:w="3980" w:type="dxa"/>
            <w:vAlign w:val="bottom"/>
            <w:shd w:val="clear" w:color="auto" w:fill="CFF0FC"/>
          </w:tcPr>
          <w:p>
            <w:pPr>
              <w:spacing w:after="0"/>
              <w:rPr>
                <w:sz w:val="20"/>
                <w:szCs w:val="20"/>
                <w:color w:val="auto"/>
              </w:rPr>
            </w:pPr>
            <w:r>
              <w:rPr>
                <w:rFonts w:ascii="Arial" w:cs="Arial" w:eastAsia="Arial" w:hAnsi="Arial"/>
                <w:sz w:val="15"/>
                <w:szCs w:val="15"/>
                <w:color w:val="auto"/>
              </w:rPr>
              <w:t>Leases</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(599)</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(580)</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5</w:t>
            </w:r>
          </w:p>
        </w:tc>
        <w:tc>
          <w:tcPr>
            <w:tcW w:w="120" w:type="dxa"/>
            <w:vAlign w:val="bottom"/>
            <w:shd w:val="clear" w:color="auto" w:fill="CFF0FC"/>
          </w:tcPr>
          <w:p>
            <w:pPr>
              <w:spacing w:after="0"/>
              <w:rPr>
                <w:sz w:val="15"/>
                <w:szCs w:val="15"/>
                <w:color w:val="auto"/>
              </w:rPr>
            </w:pPr>
          </w:p>
        </w:tc>
      </w:tr>
      <w:tr>
        <w:trPr>
          <w:trHeight w:val="177"/>
        </w:trPr>
        <w:tc>
          <w:tcPr>
            <w:tcW w:w="3980" w:type="dxa"/>
            <w:vAlign w:val="bottom"/>
          </w:tcPr>
          <w:p>
            <w:pPr>
              <w:spacing w:after="0"/>
              <w:rPr>
                <w:sz w:val="20"/>
                <w:szCs w:val="20"/>
                <w:color w:val="auto"/>
              </w:rPr>
            </w:pPr>
            <w:r>
              <w:rPr>
                <w:rFonts w:ascii="Arial" w:cs="Arial" w:eastAsia="Arial" w:hAnsi="Arial"/>
                <w:sz w:val="15"/>
                <w:szCs w:val="15"/>
                <w:color w:val="auto"/>
              </w:rPr>
              <w:t>Developed technology</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112,039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(68,968)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43,071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110,939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(40,749)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70,190</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5"/>
                <w:szCs w:val="15"/>
                <w:color w:val="auto"/>
              </w:rPr>
            </w:pPr>
          </w:p>
        </w:tc>
      </w:tr>
      <w:tr>
        <w:trPr>
          <w:trHeight w:val="177"/>
        </w:trPr>
        <w:tc>
          <w:tcPr>
            <w:tcW w:w="3980" w:type="dxa"/>
            <w:vAlign w:val="bottom"/>
            <w:shd w:val="clear" w:color="auto" w:fill="CFF0FC"/>
          </w:tcPr>
          <w:p>
            <w:pPr>
              <w:spacing w:after="0"/>
              <w:rPr>
                <w:sz w:val="20"/>
                <w:szCs w:val="20"/>
                <w:color w:val="auto"/>
              </w:rPr>
            </w:pPr>
            <w:r>
              <w:rPr>
                <w:rFonts w:ascii="Arial" w:cs="Arial" w:eastAsia="Arial" w:hAnsi="Arial"/>
                <w:sz w:val="15"/>
                <w:szCs w:val="15"/>
                <w:color w:val="auto"/>
              </w:rPr>
              <w:t>Trade name</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(7,967)</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8,200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(5,667)</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2,533</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120" w:type="dxa"/>
            <w:vAlign w:val="bottom"/>
            <w:shd w:val="clear" w:color="auto" w:fill="CFF0FC"/>
          </w:tcPr>
          <w:p>
            <w:pPr>
              <w:spacing w:after="0"/>
              <w:rPr>
                <w:sz w:val="15"/>
                <w:szCs w:val="15"/>
                <w:color w:val="auto"/>
              </w:rPr>
            </w:pPr>
          </w:p>
        </w:tc>
      </w:tr>
      <w:tr>
        <w:trPr>
          <w:trHeight w:val="177"/>
        </w:trPr>
        <w:tc>
          <w:tcPr>
            <w:tcW w:w="3980" w:type="dxa"/>
            <w:vAlign w:val="bottom"/>
          </w:tcPr>
          <w:p>
            <w:pPr>
              <w:spacing w:after="0"/>
              <w:rPr>
                <w:sz w:val="20"/>
                <w:szCs w:val="20"/>
                <w:color w:val="auto"/>
              </w:rPr>
            </w:pPr>
            <w:r>
              <w:rPr>
                <w:rFonts w:ascii="Arial" w:cs="Arial" w:eastAsia="Arial" w:hAnsi="Arial"/>
                <w:sz w:val="15"/>
                <w:szCs w:val="15"/>
                <w:color w:val="auto"/>
              </w:rPr>
              <w:t>Non-compete agreements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4,250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(2,043)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2,207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3,600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2,675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3</w:t>
            </w:r>
          </w:p>
        </w:tc>
        <w:tc>
          <w:tcPr>
            <w:tcW w:w="120" w:type="dxa"/>
            <w:vAlign w:val="bottom"/>
          </w:tcPr>
          <w:p>
            <w:pPr>
              <w:spacing w:after="0"/>
              <w:rPr>
                <w:sz w:val="15"/>
                <w:szCs w:val="15"/>
                <w:color w:val="auto"/>
              </w:rPr>
            </w:pPr>
          </w:p>
        </w:tc>
      </w:tr>
      <w:tr>
        <w:trPr>
          <w:trHeight w:val="177"/>
        </w:trPr>
        <w:tc>
          <w:tcPr>
            <w:tcW w:w="3980" w:type="dxa"/>
            <w:vAlign w:val="bottom"/>
            <w:shd w:val="clear" w:color="auto" w:fill="CFF0FC"/>
          </w:tcPr>
          <w:p>
            <w:pPr>
              <w:spacing w:after="0"/>
              <w:rPr>
                <w:sz w:val="20"/>
                <w:szCs w:val="20"/>
                <w:color w:val="auto"/>
              </w:rPr>
            </w:pPr>
            <w:r>
              <w:rPr>
                <w:rFonts w:ascii="Arial" w:cs="Arial" w:eastAsia="Arial" w:hAnsi="Arial"/>
                <w:sz w:val="15"/>
                <w:szCs w:val="15"/>
                <w:color w:val="auto"/>
              </w:rPr>
              <w:t>In process research and development</w:t>
            </w: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n/a</w:t>
            </w:r>
          </w:p>
        </w:tc>
      </w:tr>
      <w:tr>
        <w:trPr>
          <w:trHeight w:val="177"/>
        </w:trPr>
        <w:tc>
          <w:tcPr>
            <w:tcW w:w="3980" w:type="dxa"/>
            <w:vAlign w:val="bottom"/>
          </w:tcPr>
          <w:p>
            <w:pPr>
              <w:spacing w:after="0"/>
              <w:rPr>
                <w:sz w:val="20"/>
                <w:szCs w:val="20"/>
                <w:color w:val="auto"/>
              </w:rPr>
            </w:pPr>
            <w:r>
              <w:rPr>
                <w:rFonts w:ascii="Arial" w:cs="Arial" w:eastAsia="Arial" w:hAnsi="Arial"/>
                <w:sz w:val="15"/>
                <w:szCs w:val="15"/>
                <w:color w:val="auto"/>
              </w:rPr>
              <w:t>Other intangibles</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80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275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(170)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105</w:t>
            </w:r>
          </w:p>
        </w:tc>
        <w:tc>
          <w:tcPr>
            <w:tcW w:w="96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20" w:type="dxa"/>
            <w:vAlign w:val="bottom"/>
          </w:tcPr>
          <w:p>
            <w:pPr>
              <w:spacing w:after="0"/>
              <w:rPr>
                <w:sz w:val="15"/>
                <w:szCs w:val="15"/>
                <w:color w:val="auto"/>
              </w:rPr>
            </w:pPr>
          </w:p>
        </w:tc>
      </w:tr>
      <w:tr>
        <w:trPr>
          <w:trHeight w:val="20"/>
        </w:trPr>
        <w:tc>
          <w:tcPr>
            <w:tcW w:w="3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398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intangible assets</w:t>
            </w:r>
          </w:p>
        </w:tc>
        <w:tc>
          <w:tcPr>
            <w:tcW w:w="160" w:type="dxa"/>
            <w:vAlign w:val="bottom"/>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537,218</w:t>
            </w:r>
          </w:p>
        </w:tc>
        <w:tc>
          <w:tcPr>
            <w:tcW w:w="2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96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5"/>
                <w:szCs w:val="15"/>
                <w:color w:val="auto"/>
              </w:rPr>
              <w:t>(291,260)</w:t>
            </w:r>
          </w:p>
        </w:tc>
        <w:tc>
          <w:tcPr>
            <w:tcW w:w="2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245,958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463,268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w:t>
            </w:r>
          </w:p>
        </w:tc>
        <w:tc>
          <w:tcPr>
            <w:tcW w:w="76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5"/>
                <w:szCs w:val="15"/>
                <w:color w:val="auto"/>
              </w:rPr>
              <w:t>(203,410)</w:t>
            </w:r>
          </w:p>
        </w:tc>
        <w:tc>
          <w:tcPr>
            <w:tcW w:w="18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259,858</w:t>
            </w: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20"/>
        </w:trPr>
        <w:tc>
          <w:tcPr>
            <w:tcW w:w="3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5" w:lineRule="exact"/>
        <w:rPr>
          <w:sz w:val="20"/>
          <w:szCs w:val="20"/>
          <w:color w:val="auto"/>
        </w:rPr>
      </w:pPr>
    </w:p>
    <w:p>
      <w:pPr>
        <w:ind w:right="240" w:firstLine="369"/>
        <w:spacing w:after="0" w:line="239" w:lineRule="auto"/>
        <w:rPr>
          <w:sz w:val="20"/>
          <w:szCs w:val="20"/>
          <w:color w:val="auto"/>
        </w:rPr>
      </w:pPr>
      <w:r>
        <w:rPr>
          <w:rFonts w:ascii="Arial" w:cs="Arial" w:eastAsia="Arial" w:hAnsi="Arial"/>
          <w:sz w:val="15"/>
          <w:szCs w:val="15"/>
          <w:color w:val="auto"/>
        </w:rPr>
        <w:t>The aggregate amortization expense of intangible assets was $87.8 million, $88.3 million, and $37.4 million for the years ended December 31, 2020, December 31, 2019 and December 31, 2018,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60" w:type="dxa"/>
            <w:vAlign w:val="bottom"/>
          </w:tcPr>
          <w:p>
            <w:pPr>
              <w:ind w:left="600"/>
              <w:spacing w:after="0"/>
              <w:rPr>
                <w:sz w:val="20"/>
                <w:szCs w:val="20"/>
                <w:color w:val="auto"/>
              </w:rPr>
            </w:pPr>
            <w:r>
              <w:rPr>
                <w:rFonts w:ascii="Arial" w:cs="Arial" w:eastAsia="Arial" w:hAnsi="Arial"/>
                <w:sz w:val="15"/>
                <w:szCs w:val="15"/>
                <w:color w:val="auto"/>
              </w:rPr>
              <w:t>Estimated amortization expense in each of the next five years and beyond is as follows (in thousands):</w:t>
            </w: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1"/>
        </w:trPr>
        <w:tc>
          <w:tcPr>
            <w:tcW w:w="8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2"/>
          </w:tcPr>
          <w:p>
            <w:pPr>
              <w:ind w:left="260"/>
              <w:spacing w:after="0"/>
              <w:rPr>
                <w:sz w:val="20"/>
                <w:szCs w:val="20"/>
                <w:color w:val="auto"/>
              </w:rPr>
            </w:pPr>
            <w:r>
              <w:rPr>
                <w:rFonts w:ascii="Arial" w:cs="Arial" w:eastAsia="Arial" w:hAnsi="Arial"/>
                <w:sz w:val="12"/>
                <w:szCs w:val="12"/>
                <w:b w:val="1"/>
                <w:bCs w:val="1"/>
                <w:color w:val="auto"/>
              </w:rPr>
              <w:t>December 31, 2020</w:t>
            </w:r>
          </w:p>
        </w:tc>
      </w:tr>
      <w:tr>
        <w:trPr>
          <w:trHeight w:val="174"/>
        </w:trPr>
        <w:tc>
          <w:tcPr>
            <w:tcW w:w="8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2021</w:t>
            </w:r>
          </w:p>
        </w:tc>
        <w:tc>
          <w:tcPr>
            <w:tcW w:w="340" w:type="dxa"/>
            <w:vAlign w:val="bottom"/>
            <w:tcBorders>
              <w:top w:val="single" w:sz="8" w:color="auto"/>
            </w:tcBorders>
            <w:shd w:val="clear" w:color="auto" w:fill="CFF0FC"/>
          </w:tcPr>
          <w:p>
            <w:pPr>
              <w:jc w:val="right"/>
              <w:ind w:right="186"/>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97,178</w:t>
            </w:r>
          </w:p>
        </w:tc>
        <w:tc>
          <w:tcPr>
            <w:tcW w:w="120" w:type="dxa"/>
            <w:vAlign w:val="bottom"/>
            <w:tcBorders>
              <w:top w:val="single" w:sz="8" w:color="CFF0FC"/>
            </w:tcBorders>
            <w:shd w:val="clear" w:color="auto" w:fill="CFF0FC"/>
          </w:tcPr>
          <w:p>
            <w:pPr>
              <w:spacing w:after="0"/>
              <w:rPr>
                <w:sz w:val="15"/>
                <w:szCs w:val="15"/>
                <w:color w:val="auto"/>
              </w:rPr>
            </w:pPr>
          </w:p>
        </w:tc>
      </w:tr>
      <w:tr>
        <w:trPr>
          <w:trHeight w:val="177"/>
        </w:trPr>
        <w:tc>
          <w:tcPr>
            <w:tcW w:w="8860" w:type="dxa"/>
            <w:vAlign w:val="bottom"/>
          </w:tcPr>
          <w:p>
            <w:pPr>
              <w:spacing w:after="0"/>
              <w:rPr>
                <w:sz w:val="20"/>
                <w:szCs w:val="20"/>
                <w:color w:val="auto"/>
              </w:rPr>
            </w:pPr>
            <w:r>
              <w:rPr>
                <w:rFonts w:ascii="Arial" w:cs="Arial" w:eastAsia="Arial" w:hAnsi="Arial"/>
                <w:sz w:val="15"/>
                <w:szCs w:val="15"/>
                <w:color w:val="auto"/>
              </w:rPr>
              <w:t>2022</w:t>
            </w: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51,668</w:t>
            </w:r>
          </w:p>
        </w:tc>
        <w:tc>
          <w:tcPr>
            <w:tcW w:w="120" w:type="dxa"/>
            <w:vAlign w:val="bottom"/>
          </w:tcPr>
          <w:p>
            <w:pPr>
              <w:spacing w:after="0"/>
              <w:rPr>
                <w:sz w:val="15"/>
                <w:szCs w:val="15"/>
                <w:color w:val="auto"/>
              </w:rPr>
            </w:pPr>
          </w:p>
        </w:tc>
      </w:tr>
      <w:tr>
        <w:trPr>
          <w:trHeight w:val="177"/>
        </w:trPr>
        <w:tc>
          <w:tcPr>
            <w:tcW w:w="8860" w:type="dxa"/>
            <w:vAlign w:val="bottom"/>
            <w:shd w:val="clear" w:color="auto" w:fill="CFF0FC"/>
          </w:tcPr>
          <w:p>
            <w:pPr>
              <w:spacing w:after="0"/>
              <w:rPr>
                <w:sz w:val="20"/>
                <w:szCs w:val="20"/>
                <w:color w:val="auto"/>
              </w:rPr>
            </w:pPr>
            <w:r>
              <w:rPr>
                <w:rFonts w:ascii="Arial" w:cs="Arial" w:eastAsia="Arial" w:hAnsi="Arial"/>
                <w:sz w:val="15"/>
                <w:szCs w:val="15"/>
                <w:color w:val="auto"/>
              </w:rPr>
              <w:t>2023</w:t>
            </w:r>
          </w:p>
        </w:tc>
        <w:tc>
          <w:tcPr>
            <w:tcW w:w="34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38,081</w:t>
            </w:r>
          </w:p>
        </w:tc>
        <w:tc>
          <w:tcPr>
            <w:tcW w:w="120" w:type="dxa"/>
            <w:vAlign w:val="bottom"/>
            <w:shd w:val="clear" w:color="auto" w:fill="CFF0FC"/>
          </w:tcPr>
          <w:p>
            <w:pPr>
              <w:spacing w:after="0"/>
              <w:rPr>
                <w:sz w:val="15"/>
                <w:szCs w:val="15"/>
                <w:color w:val="auto"/>
              </w:rPr>
            </w:pPr>
          </w:p>
        </w:tc>
      </w:tr>
      <w:tr>
        <w:trPr>
          <w:trHeight w:val="177"/>
        </w:trPr>
        <w:tc>
          <w:tcPr>
            <w:tcW w:w="8860" w:type="dxa"/>
            <w:vAlign w:val="bottom"/>
          </w:tcPr>
          <w:p>
            <w:pPr>
              <w:spacing w:after="0"/>
              <w:rPr>
                <w:sz w:val="20"/>
                <w:szCs w:val="20"/>
                <w:color w:val="auto"/>
              </w:rPr>
            </w:pPr>
            <w:r>
              <w:rPr>
                <w:rFonts w:ascii="Arial" w:cs="Arial" w:eastAsia="Arial" w:hAnsi="Arial"/>
                <w:sz w:val="15"/>
                <w:szCs w:val="15"/>
                <w:color w:val="auto"/>
              </w:rPr>
              <w:t>2024</w:t>
            </w:r>
          </w:p>
        </w:tc>
        <w:tc>
          <w:tcPr>
            <w:tcW w:w="340" w:type="dxa"/>
            <w:vAlign w:val="bottom"/>
          </w:tcPr>
          <w:p>
            <w:pPr>
              <w:spacing w:after="0"/>
              <w:rPr>
                <w:sz w:val="15"/>
                <w:szCs w:val="15"/>
                <w:color w:val="auto"/>
              </w:rPr>
            </w:pPr>
          </w:p>
        </w:tc>
        <w:tc>
          <w:tcPr>
            <w:tcW w:w="1960" w:type="dxa"/>
            <w:vAlign w:val="bottom"/>
          </w:tcPr>
          <w:p>
            <w:pPr>
              <w:jc w:val="right"/>
              <w:spacing w:after="0"/>
              <w:rPr>
                <w:sz w:val="20"/>
                <w:szCs w:val="20"/>
                <w:color w:val="auto"/>
              </w:rPr>
            </w:pPr>
            <w:r>
              <w:rPr>
                <w:rFonts w:ascii="Arial" w:cs="Arial" w:eastAsia="Arial" w:hAnsi="Arial"/>
                <w:sz w:val="15"/>
                <w:szCs w:val="15"/>
                <w:color w:val="auto"/>
              </w:rPr>
              <w:t>12,248</w:t>
            </w:r>
          </w:p>
        </w:tc>
        <w:tc>
          <w:tcPr>
            <w:tcW w:w="120" w:type="dxa"/>
            <w:vAlign w:val="bottom"/>
          </w:tcPr>
          <w:p>
            <w:pPr>
              <w:spacing w:after="0"/>
              <w:rPr>
                <w:sz w:val="15"/>
                <w:szCs w:val="15"/>
                <w:color w:val="auto"/>
              </w:rPr>
            </w:pPr>
          </w:p>
        </w:tc>
      </w:tr>
      <w:tr>
        <w:trPr>
          <w:trHeight w:val="177"/>
        </w:trPr>
        <w:tc>
          <w:tcPr>
            <w:tcW w:w="8860" w:type="dxa"/>
            <w:vAlign w:val="bottom"/>
            <w:shd w:val="clear" w:color="auto" w:fill="CFF0FC"/>
          </w:tcPr>
          <w:p>
            <w:pPr>
              <w:spacing w:after="0"/>
              <w:rPr>
                <w:sz w:val="20"/>
                <w:szCs w:val="20"/>
                <w:color w:val="auto"/>
              </w:rPr>
            </w:pPr>
            <w:r>
              <w:rPr>
                <w:rFonts w:ascii="Arial" w:cs="Arial" w:eastAsia="Arial" w:hAnsi="Arial"/>
                <w:sz w:val="15"/>
                <w:szCs w:val="15"/>
                <w:color w:val="auto"/>
              </w:rPr>
              <w:t>2025</w:t>
            </w:r>
          </w:p>
        </w:tc>
        <w:tc>
          <w:tcPr>
            <w:tcW w:w="340" w:type="dxa"/>
            <w:vAlign w:val="bottom"/>
            <w:shd w:val="clear" w:color="auto" w:fill="CFF0FC"/>
          </w:tcPr>
          <w:p>
            <w:pPr>
              <w:spacing w:after="0"/>
              <w:rPr>
                <w:sz w:val="15"/>
                <w:szCs w:val="15"/>
                <w:color w:val="auto"/>
              </w:rPr>
            </w:pPr>
          </w:p>
        </w:tc>
        <w:tc>
          <w:tcPr>
            <w:tcW w:w="19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9,688</w:t>
            </w:r>
          </w:p>
        </w:tc>
        <w:tc>
          <w:tcPr>
            <w:tcW w:w="120" w:type="dxa"/>
            <w:vAlign w:val="bottom"/>
            <w:shd w:val="clear" w:color="auto" w:fill="CFF0FC"/>
          </w:tcPr>
          <w:p>
            <w:pPr>
              <w:spacing w:after="0"/>
              <w:rPr>
                <w:sz w:val="15"/>
                <w:szCs w:val="15"/>
                <w:color w:val="auto"/>
              </w:rPr>
            </w:pPr>
          </w:p>
        </w:tc>
      </w:tr>
      <w:tr>
        <w:trPr>
          <w:trHeight w:val="177"/>
        </w:trPr>
        <w:tc>
          <w:tcPr>
            <w:tcW w:w="88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Thereafter</w:t>
            </w: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35,295</w:t>
            </w:r>
          </w:p>
        </w:tc>
        <w:tc>
          <w:tcPr>
            <w:tcW w:w="120" w:type="dxa"/>
            <w:vAlign w:val="bottom"/>
            <w:tcBorders>
              <w:bottom w:val="single" w:sz="8" w:color="CFF0FC"/>
            </w:tcBorders>
          </w:tcPr>
          <w:p>
            <w:pPr>
              <w:spacing w:after="0"/>
              <w:rPr>
                <w:sz w:val="15"/>
                <w:szCs w:val="15"/>
                <w:color w:val="auto"/>
              </w:rPr>
            </w:pPr>
          </w:p>
        </w:tc>
      </w:tr>
      <w:tr>
        <w:trPr>
          <w:trHeight w:val="168"/>
        </w:trPr>
        <w:tc>
          <w:tcPr>
            <w:tcW w:w="886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shd w:val="clear" w:color="auto" w:fill="CFF0FC"/>
          </w:tcPr>
          <w:p>
            <w:pPr>
              <w:jc w:val="right"/>
              <w:ind w:right="186"/>
              <w:spacing w:after="0" w:line="169" w:lineRule="exact"/>
              <w:rPr>
                <w:sz w:val="20"/>
                <w:szCs w:val="20"/>
                <w:color w:val="auto"/>
              </w:rPr>
            </w:pPr>
            <w:r>
              <w:rPr>
                <w:rFonts w:ascii="Arial" w:cs="Arial" w:eastAsia="Arial" w:hAnsi="Arial"/>
                <w:sz w:val="15"/>
                <w:szCs w:val="15"/>
                <w:color w:val="auto"/>
                <w:w w:val="71"/>
              </w:rPr>
              <w:t>$</w:t>
            </w:r>
          </w:p>
        </w:tc>
        <w:tc>
          <w:tcPr>
            <w:tcW w:w="19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244,158</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20"/>
        </w:trPr>
        <w:tc>
          <w:tcPr>
            <w:tcW w:w="8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88" w:lineRule="exact"/>
        <w:rPr>
          <w:sz w:val="20"/>
          <w:szCs w:val="20"/>
          <w:color w:val="auto"/>
        </w:rPr>
      </w:pPr>
    </w:p>
    <w:p>
      <w:pPr>
        <w:ind w:left="600" w:hanging="591"/>
        <w:spacing w:after="0"/>
        <w:tabs>
          <w:tab w:leader="none" w:pos="600" w:val="left"/>
        </w:tabs>
        <w:numPr>
          <w:ilvl w:val="0"/>
          <w:numId w:val="56"/>
        </w:numPr>
        <w:rPr>
          <w:rFonts w:ascii="Arial" w:cs="Arial" w:eastAsia="Arial" w:hAnsi="Arial"/>
          <w:sz w:val="15"/>
          <w:szCs w:val="15"/>
          <w:b w:val="1"/>
          <w:bCs w:val="1"/>
          <w:color w:val="auto"/>
        </w:rPr>
      </w:pPr>
      <w:r>
        <w:rPr>
          <w:rFonts w:ascii="Arial" w:cs="Arial" w:eastAsia="Arial" w:hAnsi="Arial"/>
          <w:sz w:val="15"/>
          <w:szCs w:val="15"/>
          <w:b w:val="1"/>
          <w:bCs w:val="1"/>
          <w:color w:val="auto"/>
        </w:rPr>
        <w:t>Property and Equipment, Net</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Property and equipment consisted of the following at December 31, 2020 and December 31, 2019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jc w:val="right"/>
              <w:ind w:right="491"/>
              <w:spacing w:after="0"/>
              <w:rPr>
                <w:sz w:val="20"/>
                <w:szCs w:val="20"/>
                <w:color w:val="auto"/>
              </w:rPr>
            </w:pPr>
            <w:r>
              <w:rPr>
                <w:rFonts w:ascii="Arial" w:cs="Arial" w:eastAsia="Arial" w:hAnsi="Arial"/>
                <w:sz w:val="12"/>
                <w:szCs w:val="12"/>
                <w:b w:val="1"/>
                <w:bCs w:val="1"/>
                <w:color w:val="auto"/>
              </w:rPr>
              <w:t>Useful life</w:t>
            </w:r>
          </w:p>
        </w:tc>
      </w:tr>
      <w:tr>
        <w:trPr>
          <w:trHeight w:val="143"/>
        </w:trPr>
        <w:tc>
          <w:tcPr>
            <w:tcW w:w="6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December 31, 2020</w:t>
            </w:r>
          </w:p>
        </w:tc>
        <w:tc>
          <w:tcPr>
            <w:tcW w:w="160" w:type="dxa"/>
            <w:vAlign w:val="bottom"/>
          </w:tcPr>
          <w:p>
            <w:pPr>
              <w:spacing w:after="0"/>
              <w:rPr>
                <w:sz w:val="12"/>
                <w:szCs w:val="12"/>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2"/>
                <w:szCs w:val="12"/>
                <w:b w:val="1"/>
                <w:bCs w:val="1"/>
                <w:color w:val="auto"/>
              </w:rPr>
              <w:t>December 31, 2019</w:t>
            </w:r>
          </w:p>
        </w:tc>
        <w:tc>
          <w:tcPr>
            <w:tcW w:w="1660" w:type="dxa"/>
            <w:vAlign w:val="bottom"/>
          </w:tcPr>
          <w:p>
            <w:pPr>
              <w:jc w:val="right"/>
              <w:ind w:right="571"/>
              <w:spacing w:after="0"/>
              <w:rPr>
                <w:sz w:val="20"/>
                <w:szCs w:val="20"/>
                <w:color w:val="auto"/>
              </w:rPr>
            </w:pPr>
            <w:r>
              <w:rPr>
                <w:rFonts w:ascii="Arial" w:cs="Arial" w:eastAsia="Arial" w:hAnsi="Arial"/>
                <w:sz w:val="12"/>
                <w:szCs w:val="12"/>
                <w:b w:val="1"/>
                <w:bCs w:val="1"/>
                <w:color w:val="auto"/>
              </w:rPr>
              <w:t>(years)</w:t>
            </w:r>
          </w:p>
        </w:tc>
      </w:tr>
      <w:tr>
        <w:trPr>
          <w:trHeight w:val="168"/>
        </w:trPr>
        <w:tc>
          <w:tcPr>
            <w:tcW w:w="606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color w:val="auto"/>
              </w:rPr>
              <w:t>Buildings and leasehold improvements</w:t>
            </w:r>
          </w:p>
        </w:tc>
        <w:tc>
          <w:tcPr>
            <w:tcW w:w="160" w:type="dxa"/>
            <w:vAlign w:val="bottom"/>
            <w:tcBorders>
              <w:top w:val="single" w:sz="8" w:color="auto"/>
            </w:tcBorders>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98,151</w:t>
            </w:r>
          </w:p>
        </w:tc>
        <w:tc>
          <w:tcPr>
            <w:tcW w:w="26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81,065</w:t>
            </w:r>
          </w:p>
        </w:tc>
        <w:tc>
          <w:tcPr>
            <w:tcW w:w="240" w:type="dxa"/>
            <w:vAlign w:val="bottom"/>
            <w:tcBorders>
              <w:top w:val="single" w:sz="8" w:color="CFF0FC"/>
            </w:tcBorders>
            <w:shd w:val="clear" w:color="auto" w:fill="CFF0FC"/>
          </w:tcPr>
          <w:p>
            <w:pPr>
              <w:spacing w:after="0"/>
              <w:rPr>
                <w:sz w:val="14"/>
                <w:szCs w:val="14"/>
                <w:color w:val="auto"/>
              </w:rPr>
            </w:pPr>
          </w:p>
        </w:tc>
        <w:tc>
          <w:tcPr>
            <w:tcW w:w="1660" w:type="dxa"/>
            <w:vAlign w:val="bottom"/>
            <w:tcBorders>
              <w:top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1-15</w:t>
            </w:r>
          </w:p>
        </w:tc>
      </w:tr>
      <w:tr>
        <w:trPr>
          <w:trHeight w:val="177"/>
        </w:trPr>
        <w:tc>
          <w:tcPr>
            <w:tcW w:w="6060" w:type="dxa"/>
            <w:vAlign w:val="bottom"/>
          </w:tcPr>
          <w:p>
            <w:pPr>
              <w:spacing w:after="0"/>
              <w:rPr>
                <w:sz w:val="20"/>
                <w:szCs w:val="20"/>
                <w:color w:val="auto"/>
              </w:rPr>
            </w:pPr>
            <w:r>
              <w:rPr>
                <w:rFonts w:ascii="Arial" w:cs="Arial" w:eastAsia="Arial" w:hAnsi="Arial"/>
                <w:sz w:val="15"/>
                <w:szCs w:val="15"/>
                <w:color w:val="auto"/>
              </w:rPr>
              <w:t>Furniture and equipment</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91,036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91,720</w:t>
            </w: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3-10</w:t>
            </w:r>
          </w:p>
        </w:tc>
      </w:tr>
      <w:tr>
        <w:trPr>
          <w:trHeight w:val="177"/>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Computer systems and equipment</w:t>
            </w: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160,305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149,221</w:t>
            </w:r>
          </w:p>
        </w:tc>
        <w:tc>
          <w:tcPr>
            <w:tcW w:w="240" w:type="dxa"/>
            <w:vAlign w:val="bottom"/>
            <w:shd w:val="clear" w:color="auto" w:fill="CFF0FC"/>
          </w:tcPr>
          <w:p>
            <w:pPr>
              <w:spacing w:after="0"/>
              <w:rPr>
                <w:sz w:val="15"/>
                <w:szCs w:val="15"/>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3-10</w:t>
            </w:r>
          </w:p>
        </w:tc>
      </w:tr>
      <w:tr>
        <w:trPr>
          <w:trHeight w:val="177"/>
        </w:trPr>
        <w:tc>
          <w:tcPr>
            <w:tcW w:w="6060" w:type="dxa"/>
            <w:vAlign w:val="bottom"/>
          </w:tcPr>
          <w:p>
            <w:pPr>
              <w:spacing w:after="0"/>
              <w:rPr>
                <w:sz w:val="20"/>
                <w:szCs w:val="20"/>
                <w:color w:val="auto"/>
              </w:rPr>
            </w:pPr>
            <w:r>
              <w:rPr>
                <w:rFonts w:ascii="Arial" w:cs="Arial" w:eastAsia="Arial" w:hAnsi="Arial"/>
                <w:sz w:val="15"/>
                <w:szCs w:val="15"/>
                <w:color w:val="auto"/>
              </w:rPr>
              <w:t>Construction equipment</w:t>
            </w: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8,920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11,765</w:t>
            </w:r>
          </w:p>
        </w:tc>
        <w:tc>
          <w:tcPr>
            <w:tcW w:w="2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5-7</w:t>
            </w:r>
          </w:p>
        </w:tc>
      </w:tr>
      <w:tr>
        <w:trPr>
          <w:trHeight w:val="177"/>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Construction in progress</w:t>
            </w:r>
          </w:p>
        </w:tc>
        <w:tc>
          <w:tcPr>
            <w:tcW w:w="1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9,202</w:t>
            </w:r>
          </w:p>
        </w:tc>
        <w:tc>
          <w:tcPr>
            <w:tcW w:w="26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14,740</w:t>
            </w:r>
          </w:p>
        </w:tc>
        <w:tc>
          <w:tcPr>
            <w:tcW w:w="240" w:type="dxa"/>
            <w:vAlign w:val="bottom"/>
            <w:shd w:val="clear" w:color="auto" w:fill="CFF0FC"/>
          </w:tcPr>
          <w:p>
            <w:pPr>
              <w:spacing w:after="0"/>
              <w:rPr>
                <w:sz w:val="15"/>
                <w:szCs w:val="15"/>
                <w:color w:val="auto"/>
              </w:rPr>
            </w:pPr>
          </w:p>
        </w:tc>
        <w:tc>
          <w:tcPr>
            <w:tcW w:w="1660" w:type="dxa"/>
            <w:vAlign w:val="bottom"/>
            <w:shd w:val="clear" w:color="auto" w:fill="CFF0FC"/>
          </w:tcPr>
          <w:p>
            <w:pPr>
              <w:spacing w:after="0"/>
              <w:rPr>
                <w:sz w:val="15"/>
                <w:szCs w:val="15"/>
                <w:color w:val="auto"/>
              </w:rPr>
            </w:pPr>
          </w:p>
        </w:tc>
      </w:tr>
      <w:tr>
        <w:trPr>
          <w:trHeight w:val="168"/>
        </w:trPr>
        <w:tc>
          <w:tcPr>
            <w:tcW w:w="6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right"/>
              <w:spacing w:after="0" w:line="169" w:lineRule="exact"/>
              <w:rPr>
                <w:sz w:val="20"/>
                <w:szCs w:val="20"/>
                <w:color w:val="auto"/>
              </w:rPr>
            </w:pPr>
            <w:r>
              <w:rPr>
                <w:rFonts w:ascii="Arial" w:cs="Arial" w:eastAsia="Arial" w:hAnsi="Arial"/>
                <w:sz w:val="15"/>
                <w:szCs w:val="15"/>
                <w:color w:val="auto"/>
              </w:rPr>
              <w:t>367,614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right"/>
              <w:spacing w:after="0" w:line="169" w:lineRule="exact"/>
              <w:rPr>
                <w:sz w:val="20"/>
                <w:szCs w:val="20"/>
                <w:color w:val="auto"/>
              </w:rPr>
            </w:pPr>
            <w:r>
              <w:rPr>
                <w:rFonts w:ascii="Arial" w:cs="Arial" w:eastAsia="Arial" w:hAnsi="Arial"/>
                <w:sz w:val="15"/>
                <w:szCs w:val="15"/>
                <w:color w:val="auto"/>
              </w:rPr>
              <w:t>348,511</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7"/>
        </w:trPr>
        <w:tc>
          <w:tcPr>
            <w:tcW w:w="6060" w:type="dxa"/>
            <w:vAlign w:val="bottom"/>
            <w:shd w:val="clear" w:color="auto" w:fill="CFF0FC"/>
          </w:tcPr>
          <w:p>
            <w:pPr>
              <w:spacing w:after="0"/>
              <w:rPr>
                <w:sz w:val="20"/>
                <w:szCs w:val="20"/>
                <w:color w:val="auto"/>
              </w:rPr>
            </w:pPr>
            <w:r>
              <w:rPr>
                <w:rFonts w:ascii="Arial" w:cs="Arial" w:eastAsia="Arial" w:hAnsi="Arial"/>
                <w:sz w:val="15"/>
                <w:szCs w:val="15"/>
                <w:color w:val="auto"/>
              </w:rPr>
              <w:t>Accumulated depreciation</w:t>
            </w:r>
          </w:p>
        </w:tc>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(246,587)</w:t>
            </w:r>
          </w:p>
        </w:tc>
        <w:tc>
          <w:tcPr>
            <w:tcW w:w="160" w:type="dxa"/>
            <w:vAlign w:val="bottom"/>
            <w:shd w:val="clear" w:color="auto" w:fill="CFF0FC"/>
          </w:tcPr>
          <w:p>
            <w:pPr>
              <w:spacing w:after="0"/>
              <w:rPr>
                <w:sz w:val="15"/>
                <w:szCs w:val="15"/>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(225,760)</w:t>
            </w:r>
          </w:p>
        </w:tc>
        <w:tc>
          <w:tcPr>
            <w:tcW w:w="1660" w:type="dxa"/>
            <w:vAlign w:val="bottom"/>
            <w:shd w:val="clear" w:color="auto" w:fill="CFF0FC"/>
          </w:tcPr>
          <w:p>
            <w:pPr>
              <w:spacing w:after="0"/>
              <w:rPr>
                <w:sz w:val="15"/>
                <w:szCs w:val="15"/>
                <w:color w:val="auto"/>
              </w:rPr>
            </w:pPr>
          </w:p>
        </w:tc>
      </w:tr>
      <w:tr>
        <w:trPr>
          <w:trHeight w:val="168"/>
        </w:trPr>
        <w:tc>
          <w:tcPr>
            <w:tcW w:w="6060" w:type="dxa"/>
            <w:vAlign w:val="bottom"/>
          </w:tcPr>
          <w:p>
            <w:pPr>
              <w:ind w:left="220"/>
              <w:spacing w:after="0" w:line="169" w:lineRule="exact"/>
              <w:rPr>
                <w:sz w:val="20"/>
                <w:szCs w:val="20"/>
                <w:color w:val="auto"/>
              </w:rPr>
            </w:pPr>
            <w:r>
              <w:rPr>
                <w:rFonts w:ascii="Arial" w:cs="Arial" w:eastAsia="Arial" w:hAnsi="Arial"/>
                <w:sz w:val="15"/>
                <w:szCs w:val="15"/>
                <w:color w:val="auto"/>
              </w:rPr>
              <w:t>Property and equipment, net</w:t>
            </w:r>
          </w:p>
        </w:tc>
        <w:tc>
          <w:tcPr>
            <w:tcW w:w="160" w:type="dxa"/>
            <w:vAlign w:val="bottom"/>
            <w:tcBorders>
              <w:top w:val="single" w:sz="8" w:color="auto"/>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121,027</w:t>
            </w:r>
          </w:p>
        </w:tc>
        <w:tc>
          <w:tcPr>
            <w:tcW w:w="26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6"/>
              <w:spacing w:after="0" w:line="169" w:lineRule="exact"/>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122,751</w:t>
            </w:r>
          </w:p>
        </w:tc>
        <w:tc>
          <w:tcPr>
            <w:tcW w:w="2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398" w:lineRule="exact"/>
        <w:rPr>
          <w:sz w:val="20"/>
          <w:szCs w:val="20"/>
          <w:color w:val="auto"/>
        </w:rPr>
      </w:pPr>
    </w:p>
    <w:p>
      <w:pPr>
        <w:ind w:right="860" w:firstLine="591"/>
        <w:spacing w:after="0" w:line="239" w:lineRule="auto"/>
        <w:rPr>
          <w:sz w:val="20"/>
          <w:szCs w:val="20"/>
          <w:color w:val="auto"/>
        </w:rPr>
      </w:pPr>
      <w:r>
        <w:rPr>
          <w:rFonts w:ascii="Arial" w:cs="Arial" w:eastAsia="Arial" w:hAnsi="Arial"/>
          <w:sz w:val="15"/>
          <w:szCs w:val="15"/>
          <w:color w:val="auto"/>
        </w:rPr>
        <w:t>Depreciation expense of $39.0 million, $37.3 million, and $32.4 million was recorded for the years ended December 31, 2020, December 31, 2019 and December 31, 2018, respectively.</w:t>
      </w:r>
    </w:p>
    <w:p>
      <w:pPr>
        <w:spacing w:after="0" w:line="237" w:lineRule="exact"/>
        <w:rPr>
          <w:sz w:val="20"/>
          <w:szCs w:val="20"/>
          <w:color w:val="auto"/>
        </w:rPr>
      </w:pPr>
    </w:p>
    <w:p>
      <w:pPr>
        <w:ind w:left="600" w:hanging="591"/>
        <w:spacing w:after="0"/>
        <w:tabs>
          <w:tab w:leader="none" w:pos="600" w:val="left"/>
        </w:tabs>
        <w:numPr>
          <w:ilvl w:val="0"/>
          <w:numId w:val="57"/>
        </w:numPr>
        <w:rPr>
          <w:rFonts w:ascii="Arial" w:cs="Arial" w:eastAsia="Arial" w:hAnsi="Arial"/>
          <w:sz w:val="15"/>
          <w:szCs w:val="15"/>
          <w:b w:val="1"/>
          <w:bCs w:val="1"/>
          <w:color w:val="auto"/>
        </w:rPr>
      </w:pPr>
      <w:r>
        <w:rPr>
          <w:rFonts w:ascii="Arial" w:cs="Arial" w:eastAsia="Arial" w:hAnsi="Arial"/>
          <w:sz w:val="15"/>
          <w:szCs w:val="15"/>
          <w:b w:val="1"/>
          <w:bCs w:val="1"/>
          <w:color w:val="auto"/>
        </w:rPr>
        <w:t>Sale-Leasebacks</w:t>
      </w:r>
    </w:p>
    <w:p>
      <w:pPr>
        <w:spacing w:after="0" w:line="100" w:lineRule="exact"/>
        <w:rPr>
          <w:sz w:val="20"/>
          <w:szCs w:val="20"/>
          <w:color w:val="auto"/>
        </w:rPr>
      </w:pPr>
    </w:p>
    <w:p>
      <w:pPr>
        <w:ind w:right="20" w:firstLine="591"/>
        <w:spacing w:after="0" w:line="233" w:lineRule="auto"/>
        <w:rPr>
          <w:sz w:val="20"/>
          <w:szCs w:val="20"/>
          <w:color w:val="auto"/>
        </w:rPr>
      </w:pPr>
      <w:r>
        <w:rPr>
          <w:rFonts w:ascii="Arial" w:cs="Arial" w:eastAsia="Arial" w:hAnsi="Arial"/>
          <w:sz w:val="15"/>
          <w:szCs w:val="15"/>
          <w:color w:val="auto"/>
        </w:rPr>
        <w:t>During fiscal 2011, the Company consummated two sale-leaseback transactions associated with the sale of two office buildings from which the Company recognized a total gain in the consolidated statements of income of $106.7 million and a total deferred gain of $107.8 million. The current and long-term portion of the deferred gain had been recorded in “Accrued expenses and other current liabilities” and “Deferred gain resulting from sale-leaseback transactions” on the consolidated balance sheet as of December 31, 2018, respectively, and was being recognized ratably over the minimum lease terms to which they relate, as an offset to rental expense in “Indirect, general and administrative expenses” in the consolidated statements of income. Amortization of the deferred gain was $7.3 million for the year ended December 31, 2018.</w:t>
      </w:r>
    </w:p>
    <w:p>
      <w:pPr>
        <w:spacing w:after="0" w:line="81"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The deferred gain balance of $53.3 million as of December 31, 2018 was recognized as an adjustment to beginning accumulated deficit, net of a deferred tax asset adjustment of $0.7 million, during January 2019 in connection with the adoption of the new leasing standard. See “Note 5—</w:t>
      </w:r>
      <w:r>
        <w:rPr>
          <w:rFonts w:ascii="Arial" w:cs="Arial" w:eastAsia="Arial" w:hAnsi="Arial"/>
          <w:sz w:val="15"/>
          <w:szCs w:val="15"/>
          <w:i w:val="1"/>
          <w:iCs w:val="1"/>
          <w:color w:val="auto"/>
        </w:rPr>
        <w:t>Leases</w:t>
      </w:r>
      <w:r>
        <w:rPr>
          <w:rFonts w:ascii="Arial" w:cs="Arial" w:eastAsia="Arial" w:hAnsi="Arial"/>
          <w:sz w:val="15"/>
          <w:szCs w:val="15"/>
          <w:color w:val="auto"/>
        </w:rPr>
        <w:t>”.</w:t>
      </w:r>
    </w:p>
    <w:p>
      <w:pPr>
        <w:spacing w:after="0" w:line="237" w:lineRule="exact"/>
        <w:rPr>
          <w:sz w:val="20"/>
          <w:szCs w:val="20"/>
          <w:color w:val="auto"/>
        </w:rPr>
      </w:pPr>
    </w:p>
    <w:p>
      <w:pPr>
        <w:ind w:left="600" w:hanging="591"/>
        <w:spacing w:after="0"/>
        <w:tabs>
          <w:tab w:leader="none" w:pos="600"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 and Other Current Liabilities</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Accrued expenses and other current liabilities consisted of the following at December 31, 2020 and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520" w:type="dxa"/>
            <w:vAlign w:val="bottom"/>
            <w:tcBorders>
              <w:bottom w:val="single" w:sz="8" w:color="CFF0FC"/>
            </w:tcBorders>
          </w:tcPr>
          <w:p>
            <w:pPr>
              <w:spacing w:after="0"/>
              <w:rPr>
                <w:sz w:val="12"/>
                <w:szCs w:val="12"/>
                <w:color w:val="auto"/>
              </w:rPr>
            </w:pPr>
          </w:p>
        </w:tc>
        <w:tc>
          <w:tcPr>
            <w:tcW w:w="324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4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Salaries and wages</w:t>
            </w:r>
          </w:p>
        </w:tc>
        <w:tc>
          <w:tcPr>
            <w:tcW w:w="4180" w:type="dxa"/>
            <w:vAlign w:val="bottom"/>
            <w:gridSpan w:val="2"/>
            <w:shd w:val="clear" w:color="auto" w:fill="CFF0FC"/>
          </w:tcPr>
          <w:p>
            <w:pPr>
              <w:jc w:val="right"/>
              <w:ind w:right="801"/>
              <w:spacing w:after="0" w:line="169" w:lineRule="exact"/>
              <w:rPr>
                <w:sz w:val="20"/>
                <w:szCs w:val="20"/>
                <w:color w:val="auto"/>
              </w:rPr>
            </w:pPr>
            <w:r>
              <w:rPr>
                <w:rFonts w:ascii="Arial" w:cs="Arial" w:eastAsia="Arial" w:hAnsi="Arial"/>
                <w:sz w:val="15"/>
                <w:szCs w:val="15"/>
                <w:color w:val="auto"/>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72,498</w:t>
            </w:r>
          </w:p>
        </w:tc>
        <w:tc>
          <w:tcPr>
            <w:tcW w:w="66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46,685</w:t>
            </w:r>
          </w:p>
        </w:tc>
        <w:tc>
          <w:tcPr>
            <w:tcW w:w="120" w:type="dxa"/>
            <w:vAlign w:val="bottom"/>
            <w:shd w:val="clear" w:color="auto" w:fill="CFF0FC"/>
          </w:tcPr>
          <w:p>
            <w:pPr>
              <w:spacing w:after="0"/>
              <w:rPr>
                <w:sz w:val="14"/>
                <w:szCs w:val="14"/>
                <w:color w:val="auto"/>
              </w:rPr>
            </w:pPr>
          </w:p>
        </w:tc>
      </w:tr>
      <w:tr>
        <w:trPr>
          <w:trHeight w:val="177"/>
        </w:trPr>
        <w:tc>
          <w:tcPr>
            <w:tcW w:w="4520" w:type="dxa"/>
            <w:vAlign w:val="bottom"/>
          </w:tcPr>
          <w:p>
            <w:pPr>
              <w:spacing w:after="0"/>
              <w:rPr>
                <w:sz w:val="20"/>
                <w:szCs w:val="20"/>
                <w:color w:val="auto"/>
              </w:rPr>
            </w:pPr>
            <w:r>
              <w:rPr>
                <w:rFonts w:ascii="Arial" w:cs="Arial" w:eastAsia="Arial" w:hAnsi="Arial"/>
                <w:sz w:val="15"/>
                <w:szCs w:val="15"/>
                <w:color w:val="auto"/>
              </w:rPr>
              <w:t>Employee benefits</w:t>
            </w:r>
          </w:p>
        </w:tc>
        <w:tc>
          <w:tcPr>
            <w:tcW w:w="3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293,768</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259,081</w:t>
            </w:r>
          </w:p>
        </w:tc>
        <w:tc>
          <w:tcPr>
            <w:tcW w:w="120" w:type="dxa"/>
            <w:vAlign w:val="bottom"/>
          </w:tcPr>
          <w:p>
            <w:pPr>
              <w:spacing w:after="0"/>
              <w:rPr>
                <w:sz w:val="15"/>
                <w:szCs w:val="15"/>
                <w:color w:val="auto"/>
              </w:rPr>
            </w:pPr>
          </w:p>
        </w:tc>
      </w:tr>
      <w:tr>
        <w:trPr>
          <w:trHeight w:val="177"/>
        </w:trPr>
        <w:tc>
          <w:tcPr>
            <w:tcW w:w="4520" w:type="dxa"/>
            <w:vAlign w:val="bottom"/>
            <w:shd w:val="clear" w:color="auto" w:fill="CFF0FC"/>
          </w:tcPr>
          <w:p>
            <w:pPr>
              <w:spacing w:after="0"/>
              <w:rPr>
                <w:sz w:val="20"/>
                <w:szCs w:val="20"/>
                <w:color w:val="auto"/>
              </w:rPr>
            </w:pPr>
            <w:r>
              <w:rPr>
                <w:rFonts w:ascii="Arial" w:cs="Arial" w:eastAsia="Arial" w:hAnsi="Arial"/>
                <w:sz w:val="15"/>
                <w:szCs w:val="15"/>
                <w:color w:val="auto"/>
              </w:rPr>
              <w:t>Self-insurance liability</w:t>
            </w:r>
          </w:p>
        </w:tc>
        <w:tc>
          <w:tcPr>
            <w:tcW w:w="32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32,447</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29,997</w:t>
            </w:r>
          </w:p>
        </w:tc>
        <w:tc>
          <w:tcPr>
            <w:tcW w:w="120" w:type="dxa"/>
            <w:vAlign w:val="bottom"/>
            <w:shd w:val="clear" w:color="auto" w:fill="CFF0FC"/>
          </w:tcPr>
          <w:p>
            <w:pPr>
              <w:spacing w:after="0"/>
              <w:rPr>
                <w:sz w:val="15"/>
                <w:szCs w:val="15"/>
                <w:color w:val="auto"/>
              </w:rPr>
            </w:pPr>
          </w:p>
        </w:tc>
      </w:tr>
      <w:tr>
        <w:trPr>
          <w:trHeight w:val="177"/>
        </w:trPr>
        <w:tc>
          <w:tcPr>
            <w:tcW w:w="4520" w:type="dxa"/>
            <w:vAlign w:val="bottom"/>
          </w:tcPr>
          <w:p>
            <w:pPr>
              <w:spacing w:after="0"/>
              <w:rPr>
                <w:sz w:val="20"/>
                <w:szCs w:val="20"/>
                <w:color w:val="auto"/>
              </w:rPr>
            </w:pPr>
            <w:r>
              <w:rPr>
                <w:rFonts w:ascii="Arial" w:cs="Arial" w:eastAsia="Arial" w:hAnsi="Arial"/>
                <w:sz w:val="15"/>
                <w:szCs w:val="15"/>
                <w:color w:val="auto"/>
              </w:rPr>
              <w:t>Project cost accruals</w:t>
            </w:r>
          </w:p>
        </w:tc>
        <w:tc>
          <w:tcPr>
            <w:tcW w:w="3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164,243</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217,729</w:t>
            </w:r>
          </w:p>
        </w:tc>
        <w:tc>
          <w:tcPr>
            <w:tcW w:w="120" w:type="dxa"/>
            <w:vAlign w:val="bottom"/>
          </w:tcPr>
          <w:p>
            <w:pPr>
              <w:spacing w:after="0"/>
              <w:rPr>
                <w:sz w:val="15"/>
                <w:szCs w:val="15"/>
                <w:color w:val="auto"/>
              </w:rPr>
            </w:pPr>
          </w:p>
        </w:tc>
      </w:tr>
      <w:tr>
        <w:trPr>
          <w:trHeight w:val="177"/>
        </w:trPr>
        <w:tc>
          <w:tcPr>
            <w:tcW w:w="4520" w:type="dxa"/>
            <w:vAlign w:val="bottom"/>
            <w:shd w:val="clear" w:color="auto" w:fill="CFF0FC"/>
          </w:tcPr>
          <w:p>
            <w:pPr>
              <w:spacing w:after="0"/>
              <w:rPr>
                <w:sz w:val="20"/>
                <w:szCs w:val="20"/>
                <w:color w:val="auto"/>
              </w:rPr>
            </w:pPr>
            <w:r>
              <w:rPr>
                <w:rFonts w:ascii="Arial" w:cs="Arial" w:eastAsia="Arial" w:hAnsi="Arial"/>
                <w:sz w:val="15"/>
                <w:szCs w:val="15"/>
                <w:color w:val="auto"/>
              </w:rPr>
              <w:t>Other accrued expenses</w:t>
            </w:r>
          </w:p>
        </w:tc>
        <w:tc>
          <w:tcPr>
            <w:tcW w:w="3240" w:type="dxa"/>
            <w:vAlign w:val="bottom"/>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87,797</w:t>
            </w:r>
          </w:p>
        </w:tc>
        <w:tc>
          <w:tcPr>
            <w:tcW w:w="30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86,371</w:t>
            </w:r>
          </w:p>
        </w:tc>
        <w:tc>
          <w:tcPr>
            <w:tcW w:w="120" w:type="dxa"/>
            <w:vAlign w:val="bottom"/>
            <w:shd w:val="clear" w:color="auto" w:fill="CFF0FC"/>
          </w:tcPr>
          <w:p>
            <w:pPr>
              <w:spacing w:after="0"/>
              <w:rPr>
                <w:sz w:val="15"/>
                <w:szCs w:val="15"/>
                <w:color w:val="auto"/>
              </w:rPr>
            </w:pPr>
          </w:p>
        </w:tc>
      </w:tr>
      <w:tr>
        <w:trPr>
          <w:trHeight w:val="168"/>
        </w:trPr>
        <w:tc>
          <w:tcPr>
            <w:tcW w:w="4520" w:type="dxa"/>
            <w:vAlign w:val="bottom"/>
          </w:tcPr>
          <w:p>
            <w:pPr>
              <w:ind w:left="220"/>
              <w:spacing w:after="0" w:line="169" w:lineRule="exact"/>
              <w:rPr>
                <w:sz w:val="20"/>
                <w:szCs w:val="20"/>
                <w:color w:val="auto"/>
              </w:rPr>
            </w:pPr>
            <w:r>
              <w:rPr>
                <w:rFonts w:ascii="Arial" w:cs="Arial" w:eastAsia="Arial" w:hAnsi="Arial"/>
                <w:sz w:val="15"/>
                <w:szCs w:val="15"/>
                <w:color w:val="auto"/>
              </w:rPr>
              <w:t>Total accrued expenses and other current liabilities</w:t>
            </w:r>
          </w:p>
        </w:tc>
        <w:tc>
          <w:tcPr>
            <w:tcW w:w="4180" w:type="dxa"/>
            <w:vAlign w:val="bottom"/>
            <w:gridSpan w:val="2"/>
          </w:tcPr>
          <w:p>
            <w:pPr>
              <w:jc w:val="right"/>
              <w:ind w:right="801"/>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jc w:val="right"/>
              <w:spacing w:after="0" w:line="169" w:lineRule="exact"/>
              <w:rPr>
                <w:sz w:val="20"/>
                <w:szCs w:val="20"/>
                <w:color w:val="auto"/>
              </w:rPr>
            </w:pPr>
            <w:r>
              <w:rPr>
                <w:rFonts w:ascii="Arial" w:cs="Arial" w:eastAsia="Arial" w:hAnsi="Arial"/>
                <w:sz w:val="15"/>
                <w:szCs w:val="15"/>
                <w:color w:val="auto"/>
              </w:rPr>
              <w:t>650,753</w:t>
            </w:r>
          </w:p>
        </w:tc>
        <w:tc>
          <w:tcPr>
            <w:tcW w:w="6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tcPr>
          <w:p>
            <w:pPr>
              <w:jc w:val="right"/>
              <w:spacing w:after="0" w:line="169" w:lineRule="exact"/>
              <w:rPr>
                <w:sz w:val="20"/>
                <w:szCs w:val="20"/>
                <w:color w:val="auto"/>
              </w:rPr>
            </w:pPr>
            <w:r>
              <w:rPr>
                <w:rFonts w:ascii="Arial" w:cs="Arial" w:eastAsia="Arial" w:hAnsi="Arial"/>
                <w:sz w:val="15"/>
                <w:szCs w:val="15"/>
                <w:color w:val="auto"/>
              </w:rPr>
              <w:t>639,863</w:t>
            </w:r>
          </w:p>
        </w:tc>
        <w:tc>
          <w:tcPr>
            <w:tcW w:w="12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27"/>
        </w:trPr>
        <w:tc>
          <w:tcPr>
            <w:tcW w:w="4520" w:type="dxa"/>
            <w:vAlign w:val="bottom"/>
          </w:tcPr>
          <w:p>
            <w:pPr>
              <w:spacing w:after="0"/>
              <w:rPr>
                <w:sz w:val="24"/>
                <w:szCs w:val="24"/>
                <w:color w:val="auto"/>
              </w:rPr>
            </w:pPr>
          </w:p>
        </w:tc>
        <w:tc>
          <w:tcPr>
            <w:tcW w:w="4180" w:type="dxa"/>
            <w:vAlign w:val="bottom"/>
            <w:gridSpan w:val="2"/>
          </w:tcPr>
          <w:p>
            <w:pPr>
              <w:jc w:val="right"/>
              <w:ind w:right="2841"/>
              <w:spacing w:after="0"/>
              <w:rPr>
                <w:sz w:val="20"/>
                <w:szCs w:val="20"/>
                <w:color w:val="auto"/>
              </w:rPr>
            </w:pPr>
            <w:r>
              <w:rPr>
                <w:rFonts w:ascii="Arial" w:cs="Arial" w:eastAsia="Arial" w:hAnsi="Arial"/>
                <w:sz w:val="15"/>
                <w:szCs w:val="15"/>
                <w:color w:val="auto"/>
              </w:rPr>
              <w:t>F-37</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4520" w:type="dxa"/>
            <w:vAlign w:val="bottom"/>
            <w:tcBorders>
              <w:bottom w:val="single" w:sz="8" w:color="9A9A9A"/>
            </w:tcBorders>
          </w:tcPr>
          <w:p>
            <w:pPr>
              <w:spacing w:after="0"/>
              <w:rPr>
                <w:sz w:val="6"/>
                <w:szCs w:val="6"/>
                <w:color w:val="auto"/>
              </w:rPr>
            </w:pPr>
          </w:p>
        </w:tc>
        <w:tc>
          <w:tcPr>
            <w:tcW w:w="3240" w:type="dxa"/>
            <w:vAlign w:val="bottom"/>
            <w:tcBorders>
              <w:bottom w:val="single" w:sz="8" w:color="9A9A9A"/>
            </w:tcBorders>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88" w:lineRule="exact"/>
        <w:rPr>
          <w:sz w:val="20"/>
          <w:szCs w:val="20"/>
          <w:color w:val="auto"/>
        </w:rPr>
      </w:pPr>
    </w:p>
    <w:p>
      <w:pPr>
        <w:ind w:left="600" w:hanging="591"/>
        <w:spacing w:after="0"/>
        <w:tabs>
          <w:tab w:leader="none" w:pos="600" w:val="left"/>
        </w:tabs>
        <w:numPr>
          <w:ilvl w:val="0"/>
          <w:numId w:val="59"/>
        </w:numPr>
        <w:rPr>
          <w:rFonts w:ascii="Arial" w:cs="Arial" w:eastAsia="Arial" w:hAnsi="Arial"/>
          <w:sz w:val="15"/>
          <w:szCs w:val="15"/>
          <w:b w:val="1"/>
          <w:bCs w:val="1"/>
          <w:color w:val="auto"/>
        </w:rPr>
      </w:pPr>
      <w:r>
        <w:rPr>
          <w:rFonts w:ascii="Arial" w:cs="Arial" w:eastAsia="Arial" w:hAnsi="Arial"/>
          <w:sz w:val="15"/>
          <w:szCs w:val="15"/>
          <w:b w:val="1"/>
          <w:bCs w:val="1"/>
          <w:color w:val="auto"/>
        </w:rPr>
        <w:t>Debt and Credit Facilities</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Debt consisted of the following at December 31, 2020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4382770</wp:posOffset>
            </wp:positionH>
            <wp:positionV relativeFrom="paragraph">
              <wp:posOffset>123190</wp:posOffset>
            </wp:positionV>
            <wp:extent cx="2709545"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2709545" cy="698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300" w:type="dxa"/>
            <w:vAlign w:val="bottom"/>
          </w:tcPr>
          <w:p>
            <w:pPr>
              <w:spacing w:after="0"/>
              <w:rPr>
                <w:sz w:val="12"/>
                <w:szCs w:val="12"/>
                <w:color w:val="auto"/>
              </w:rPr>
            </w:pPr>
          </w:p>
        </w:tc>
        <w:tc>
          <w:tcPr>
            <w:tcW w:w="392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2020</w:t>
            </w: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tcPr>
          <w:p>
            <w:pPr>
              <w:jc w:val="right"/>
              <w:ind w:right="76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85"/>
        </w:trPr>
        <w:tc>
          <w:tcPr>
            <w:tcW w:w="4300" w:type="dxa"/>
            <w:vAlign w:val="bottom"/>
          </w:tcPr>
          <w:p>
            <w:pPr>
              <w:spacing w:after="0"/>
              <w:rPr>
                <w:sz w:val="20"/>
                <w:szCs w:val="20"/>
                <w:color w:val="auto"/>
              </w:rPr>
            </w:pPr>
            <w:r>
              <w:rPr>
                <w:rFonts w:ascii="Arial" w:cs="Arial" w:eastAsia="Arial" w:hAnsi="Arial"/>
                <w:sz w:val="15"/>
                <w:szCs w:val="15"/>
                <w:color w:val="auto"/>
              </w:rPr>
              <w:t>Short-Term:</w:t>
            </w:r>
          </w:p>
        </w:tc>
        <w:tc>
          <w:tcPr>
            <w:tcW w:w="260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43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Senior notes</w:t>
            </w:r>
          </w:p>
        </w:tc>
        <w:tc>
          <w:tcPr>
            <w:tcW w:w="3920" w:type="dxa"/>
            <w:vAlign w:val="bottom"/>
            <w:gridSpan w:val="2"/>
            <w:shd w:val="clear" w:color="auto" w:fill="CFF0FC"/>
          </w:tcPr>
          <w:p>
            <w:pPr>
              <w:jc w:val="right"/>
              <w:ind w:right="1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50,000</w:t>
            </w:r>
          </w:p>
        </w:tc>
        <w:tc>
          <w:tcPr>
            <w:tcW w:w="2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7"/>
                <w:szCs w:val="17"/>
                <w:color w:val="auto"/>
              </w:rPr>
            </w:pPr>
          </w:p>
        </w:tc>
      </w:tr>
      <w:tr>
        <w:trPr>
          <w:trHeight w:val="191"/>
        </w:trPr>
        <w:tc>
          <w:tcPr>
            <w:tcW w:w="43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Total Short-Term</w:t>
            </w:r>
          </w:p>
        </w:tc>
        <w:tc>
          <w:tcPr>
            <w:tcW w:w="2600" w:type="dxa"/>
            <w:vAlign w:val="bottom"/>
            <w:tcBorders>
              <w:bottom w:val="single" w:sz="8" w:color="CFF0FC"/>
            </w:tcBorders>
          </w:tcPr>
          <w:p>
            <w:pPr>
              <w:spacing w:after="0"/>
              <w:rPr>
                <w:sz w:val="16"/>
                <w:szCs w:val="16"/>
                <w:color w:val="auto"/>
              </w:rPr>
            </w:pPr>
          </w:p>
        </w:tc>
        <w:tc>
          <w:tcPr>
            <w:tcW w:w="13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50,000</w:t>
            </w:r>
          </w:p>
        </w:tc>
        <w:tc>
          <w:tcPr>
            <w:tcW w:w="280" w:type="dxa"/>
            <w:vAlign w:val="bottom"/>
            <w:tcBorders>
              <w:bottom w:val="single" w:sz="8" w:color="CFF0FC"/>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6"/>
                <w:szCs w:val="16"/>
                <w:color w:val="auto"/>
              </w:rPr>
            </w:pPr>
          </w:p>
        </w:tc>
      </w:tr>
      <w:tr>
        <w:trPr>
          <w:trHeight w:val="191"/>
        </w:trPr>
        <w:tc>
          <w:tcPr>
            <w:tcW w:w="4300" w:type="dxa"/>
            <w:vAlign w:val="bottom"/>
            <w:shd w:val="clear" w:color="auto" w:fill="CFF0FC"/>
          </w:tcPr>
          <w:p>
            <w:pPr>
              <w:spacing w:after="0"/>
              <w:rPr>
                <w:sz w:val="20"/>
                <w:szCs w:val="20"/>
                <w:color w:val="auto"/>
              </w:rPr>
            </w:pPr>
            <w:r>
              <w:rPr>
                <w:rFonts w:ascii="Arial" w:cs="Arial" w:eastAsia="Arial" w:hAnsi="Arial"/>
                <w:sz w:val="15"/>
                <w:szCs w:val="15"/>
                <w:color w:val="auto"/>
              </w:rPr>
              <w:t>Long-Term:</w:t>
            </w:r>
          </w:p>
        </w:tc>
        <w:tc>
          <w:tcPr>
            <w:tcW w:w="26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77"/>
        </w:trPr>
        <w:tc>
          <w:tcPr>
            <w:tcW w:w="4300" w:type="dxa"/>
            <w:vAlign w:val="bottom"/>
          </w:tcPr>
          <w:p>
            <w:pPr>
              <w:ind w:left="100"/>
              <w:spacing w:after="0"/>
              <w:rPr>
                <w:sz w:val="20"/>
                <w:szCs w:val="20"/>
                <w:color w:val="auto"/>
              </w:rPr>
            </w:pPr>
            <w:r>
              <w:rPr>
                <w:rFonts w:ascii="Arial" w:cs="Arial" w:eastAsia="Arial" w:hAnsi="Arial"/>
                <w:sz w:val="15"/>
                <w:szCs w:val="15"/>
                <w:color w:val="auto"/>
              </w:rPr>
              <w:t>Senior notes</w:t>
            </w:r>
          </w:p>
        </w:tc>
        <w:tc>
          <w:tcPr>
            <w:tcW w:w="2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200,000</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250,000</w:t>
            </w:r>
          </w:p>
        </w:tc>
        <w:tc>
          <w:tcPr>
            <w:tcW w:w="120" w:type="dxa"/>
            <w:vAlign w:val="bottom"/>
          </w:tcPr>
          <w:p>
            <w:pPr>
              <w:spacing w:after="0"/>
              <w:rPr>
                <w:sz w:val="15"/>
                <w:szCs w:val="15"/>
                <w:color w:val="auto"/>
              </w:rPr>
            </w:pPr>
          </w:p>
        </w:tc>
      </w:tr>
      <w:tr>
        <w:trPr>
          <w:trHeight w:val="177"/>
        </w:trPr>
        <w:tc>
          <w:tcPr>
            <w:tcW w:w="43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Convertible senior notes</w:t>
            </w:r>
          </w:p>
        </w:tc>
        <w:tc>
          <w:tcPr>
            <w:tcW w:w="26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400,000</w:t>
            </w:r>
          </w:p>
        </w:tc>
        <w:tc>
          <w:tcPr>
            <w:tcW w:w="2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r>
      <w:tr>
        <w:trPr>
          <w:trHeight w:val="177"/>
        </w:trPr>
        <w:tc>
          <w:tcPr>
            <w:tcW w:w="4300" w:type="dxa"/>
            <w:vAlign w:val="bottom"/>
          </w:tcPr>
          <w:p>
            <w:pPr>
              <w:ind w:left="100"/>
              <w:spacing w:after="0"/>
              <w:rPr>
                <w:sz w:val="20"/>
                <w:szCs w:val="20"/>
                <w:color w:val="auto"/>
              </w:rPr>
            </w:pPr>
            <w:r>
              <w:rPr>
                <w:rFonts w:ascii="Arial" w:cs="Arial" w:eastAsia="Arial" w:hAnsi="Arial"/>
                <w:sz w:val="15"/>
                <w:szCs w:val="15"/>
                <w:color w:val="auto"/>
              </w:rPr>
              <w:t>Debt discount</w:t>
            </w:r>
          </w:p>
        </w:tc>
        <w:tc>
          <w:tcPr>
            <w:tcW w:w="2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(51,138)</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7"/>
        </w:trPr>
        <w:tc>
          <w:tcPr>
            <w:tcW w:w="43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Debt issuance costs</w:t>
            </w:r>
          </w:p>
        </w:tc>
        <w:tc>
          <w:tcPr>
            <w:tcW w:w="26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(8,864)</w:t>
            </w:r>
          </w:p>
        </w:tc>
        <w:tc>
          <w:tcPr>
            <w:tcW w:w="4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(647)</w:t>
            </w:r>
          </w:p>
        </w:tc>
      </w:tr>
      <w:tr>
        <w:trPr>
          <w:trHeight w:val="168"/>
        </w:trPr>
        <w:tc>
          <w:tcPr>
            <w:tcW w:w="43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Total long-term</w:t>
            </w:r>
          </w:p>
        </w:tc>
        <w:tc>
          <w:tcPr>
            <w:tcW w:w="2600" w:type="dxa"/>
            <w:vAlign w:val="bottom"/>
            <w:tcBorders>
              <w:bottom w:val="single" w:sz="8" w:color="CFF0FC"/>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539,998</w:t>
            </w:r>
          </w:p>
        </w:tc>
        <w:tc>
          <w:tcPr>
            <w:tcW w:w="280" w:type="dxa"/>
            <w:vAlign w:val="bottom"/>
            <w:tcBorders>
              <w:bottom w:val="single" w:sz="8" w:color="CFF0FC"/>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249,353</w:t>
            </w:r>
          </w:p>
        </w:tc>
        <w:tc>
          <w:tcPr>
            <w:tcW w:w="120" w:type="dxa"/>
            <w:vAlign w:val="bottom"/>
            <w:tcBorders>
              <w:bottom w:val="single" w:sz="8" w:color="CFF0FC"/>
            </w:tcBorders>
          </w:tcPr>
          <w:p>
            <w:pPr>
              <w:spacing w:after="0"/>
              <w:rPr>
                <w:sz w:val="14"/>
                <w:szCs w:val="14"/>
                <w:color w:val="auto"/>
              </w:rPr>
            </w:pPr>
          </w:p>
        </w:tc>
      </w:tr>
      <w:tr>
        <w:trPr>
          <w:trHeight w:val="191"/>
        </w:trPr>
        <w:tc>
          <w:tcPr>
            <w:tcW w:w="4300" w:type="dxa"/>
            <w:vAlign w:val="bottom"/>
            <w:shd w:val="clear" w:color="auto" w:fill="CFF0FC"/>
          </w:tcPr>
          <w:p>
            <w:pPr>
              <w:spacing w:after="0"/>
              <w:rPr>
                <w:sz w:val="20"/>
                <w:szCs w:val="20"/>
                <w:color w:val="auto"/>
              </w:rPr>
            </w:pPr>
            <w:r>
              <w:rPr>
                <w:rFonts w:ascii="Arial" w:cs="Arial" w:eastAsia="Arial" w:hAnsi="Arial"/>
                <w:sz w:val="15"/>
                <w:szCs w:val="15"/>
                <w:color w:val="auto"/>
              </w:rPr>
              <w:t>Total Debt</w:t>
            </w:r>
          </w:p>
        </w:tc>
        <w:tc>
          <w:tcPr>
            <w:tcW w:w="3920" w:type="dxa"/>
            <w:vAlign w:val="bottom"/>
            <w:gridSpan w:val="2"/>
            <w:shd w:val="clear" w:color="auto" w:fill="CFF0FC"/>
          </w:tcPr>
          <w:p>
            <w:pPr>
              <w:jc w:val="right"/>
              <w:ind w:right="12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589,998</w:t>
            </w:r>
          </w:p>
        </w:tc>
        <w:tc>
          <w:tcPr>
            <w:tcW w:w="28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86"/>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249,353</w:t>
            </w:r>
          </w:p>
        </w:tc>
        <w:tc>
          <w:tcPr>
            <w:tcW w:w="120" w:type="dxa"/>
            <w:vAlign w:val="bottom"/>
            <w:shd w:val="clear" w:color="auto" w:fill="CFF0FC"/>
          </w:tcPr>
          <w:p>
            <w:pPr>
              <w:spacing w:after="0"/>
              <w:rPr>
                <w:sz w:val="16"/>
                <w:szCs w:val="16"/>
                <w:color w:val="auto"/>
              </w:rPr>
            </w:pPr>
          </w:p>
        </w:tc>
      </w:tr>
      <w:tr>
        <w:trPr>
          <w:trHeight w:val="20"/>
        </w:trPr>
        <w:tc>
          <w:tcPr>
            <w:tcW w:w="4300" w:type="dxa"/>
            <w:vAlign w:val="bottom"/>
            <w:tcBorders>
              <w:top w:val="single" w:sz="8" w:color="CFF0FC"/>
            </w:tcBorders>
          </w:tcPr>
          <w:p>
            <w:pPr>
              <w:spacing w:after="0" w:line="20" w:lineRule="exact"/>
              <w:rPr>
                <w:sz w:val="1"/>
                <w:szCs w:val="1"/>
                <w:color w:val="auto"/>
              </w:rPr>
            </w:pPr>
          </w:p>
        </w:tc>
        <w:tc>
          <w:tcPr>
            <w:tcW w:w="26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4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211" w:lineRule="exact"/>
        <w:rPr>
          <w:sz w:val="20"/>
          <w:szCs w:val="20"/>
          <w:color w:val="auto"/>
        </w:rPr>
      </w:pPr>
    </w:p>
    <w:p>
      <w:pPr>
        <w:ind w:firstLine="591"/>
        <w:spacing w:after="0" w:line="232" w:lineRule="auto"/>
        <w:rPr>
          <w:sz w:val="20"/>
          <w:szCs w:val="20"/>
          <w:color w:val="auto"/>
        </w:rPr>
      </w:pPr>
      <w:r>
        <w:rPr>
          <w:rFonts w:ascii="Arial" w:cs="Arial" w:eastAsia="Arial" w:hAnsi="Arial"/>
          <w:sz w:val="15"/>
          <w:szCs w:val="15"/>
          <w:color w:val="auto"/>
        </w:rPr>
        <w:t>In November 2017, the Company entered into an amended and restated Credit Agreement. The Company incurred approximately $2.0 million of costs in connection with this amendment. Under the agreement, the Company’s revolving credit facility was increased from $ 500 million to $550 million and the term of the agreement was extended through November 2022. The borrowings under the Credit Agreement bear interest, at the Company’s option, at either the Base Rate (as defined in the Credit Agreement), plus an applicable margin, or LIBOR plus an applicable margin. The applicable margin for Base Rate loans is a range of 0.125% to 1.00% and the applicable margin for LIBOR loans is a range of 1.125% to 2.00%, both based on the leverage ratio of the Company at the end of each fiscal quarter. The rates at December 31, 2020 and December 31, 2019 were 1.87% and 3.02%, respectively. Borrowings under this Credit Agreement are guaranteed by certain of the Company’s operating subsidiaries. Letters of credit commitments outstanding under this agreement aggregated approximately $44.9 million and $43.7 million at December 31, 2020 and December 31, 2019, respectively, which reduced borrowing limits available to the Company. Interest expense related to the Credit Agreement was $1.0 million, $6.3 million and $6.1 million, for the years ended December 31, 2020, December 31, 2019 and December 31, 2018, respectively. There were no loan amounts outstanding under the Credit agreement at December 31, 2020.</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Term Loan</w:t>
      </w:r>
    </w:p>
    <w:p>
      <w:pPr>
        <w:spacing w:after="0" w:line="189" w:lineRule="exact"/>
        <w:rPr>
          <w:sz w:val="20"/>
          <w:szCs w:val="20"/>
          <w:color w:val="auto"/>
        </w:rPr>
      </w:pPr>
    </w:p>
    <w:p>
      <w:pPr>
        <w:ind w:right="280" w:firstLine="591"/>
        <w:spacing w:after="0" w:line="236" w:lineRule="auto"/>
        <w:rPr>
          <w:sz w:val="20"/>
          <w:szCs w:val="20"/>
          <w:color w:val="auto"/>
        </w:rPr>
      </w:pPr>
      <w:r>
        <w:rPr>
          <w:rFonts w:ascii="Arial" w:cs="Arial" w:eastAsia="Arial" w:hAnsi="Arial"/>
          <w:sz w:val="15"/>
          <w:szCs w:val="15"/>
          <w:color w:val="auto"/>
        </w:rPr>
        <w:t>In January 2019, the Company borrowed $150.0 million under our Term Loan Agreement to partially finance the OGSystems acquisition. On May 10, 2019, the Company used proceeds from its May 8, 2019 IPO to repay the $150.0 million outstanding balance under the Term Loan and this loan is now closed. Interest expense related to the Term Loan was $2.3 million for the year ended December 31, 2019. There were no amounts outstanding in 2020.</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Private Placement</w:t>
      </w:r>
    </w:p>
    <w:p>
      <w:pPr>
        <w:spacing w:after="0" w:line="189" w:lineRule="exact"/>
        <w:rPr>
          <w:sz w:val="20"/>
          <w:szCs w:val="20"/>
          <w:color w:val="auto"/>
        </w:rPr>
      </w:pPr>
    </w:p>
    <w:p>
      <w:pPr>
        <w:ind w:right="180" w:firstLine="591"/>
        <w:spacing w:after="0" w:line="239" w:lineRule="auto"/>
        <w:rPr>
          <w:sz w:val="20"/>
          <w:szCs w:val="20"/>
          <w:color w:val="auto"/>
        </w:rPr>
      </w:pPr>
      <w:r>
        <w:rPr>
          <w:rFonts w:ascii="Arial" w:cs="Arial" w:eastAsia="Arial" w:hAnsi="Arial"/>
          <w:sz w:val="15"/>
          <w:szCs w:val="15"/>
          <w:color w:val="auto"/>
        </w:rPr>
        <w:t>On July 1, 2014, the Company finalized a private placement whereby the Company raised an aggregate amount of $250.0 million in debt repayable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Tranche</w:t>
            </w:r>
          </w:p>
        </w:tc>
        <w:tc>
          <w:tcPr>
            <w:tcW w:w="30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29"/>
              <w:spacing w:after="0"/>
              <w:rPr>
                <w:sz w:val="20"/>
                <w:szCs w:val="20"/>
                <w:color w:val="auto"/>
              </w:rPr>
            </w:pPr>
            <w:r>
              <w:rPr>
                <w:rFonts w:ascii="Arial" w:cs="Arial" w:eastAsia="Arial" w:hAnsi="Arial"/>
                <w:sz w:val="12"/>
                <w:szCs w:val="12"/>
                <w:b w:val="1"/>
                <w:bCs w:val="1"/>
                <w:color w:val="auto"/>
              </w:rPr>
              <w:t>Debt Amount</w:t>
            </w:r>
          </w:p>
        </w:tc>
        <w:tc>
          <w:tcPr>
            <w:tcW w:w="280" w:type="dxa"/>
            <w:vAlign w:val="bottom"/>
            <w:tcBorders>
              <w:bottom w:val="single" w:sz="8" w:color="CFF0FC"/>
            </w:tcBorders>
          </w:tcPr>
          <w:p>
            <w:pPr>
              <w:spacing w:after="0"/>
              <w:rPr>
                <w:sz w:val="12"/>
                <w:szCs w:val="12"/>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Maturity Date</w:t>
            </w:r>
          </w:p>
        </w:tc>
        <w:tc>
          <w:tcPr>
            <w:tcW w:w="1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Interest Rate</w:t>
            </w:r>
          </w:p>
        </w:tc>
        <w:tc>
          <w:tcPr>
            <w:tcW w:w="140" w:type="dxa"/>
            <w:vAlign w:val="bottom"/>
            <w:tcBorders>
              <w:bottom w:val="single" w:sz="8" w:color="CFF0FC"/>
            </w:tcBorders>
          </w:tcPr>
          <w:p>
            <w:pPr>
              <w:spacing w:after="0"/>
              <w:rPr>
                <w:sz w:val="12"/>
                <w:szCs w:val="12"/>
                <w:color w:val="auto"/>
              </w:rPr>
            </w:pPr>
          </w:p>
        </w:tc>
      </w:tr>
      <w:tr>
        <w:trPr>
          <w:trHeight w:val="168"/>
        </w:trPr>
        <w:tc>
          <w:tcPr>
            <w:tcW w:w="34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Senior Note, Series A</w:t>
            </w:r>
          </w:p>
        </w:tc>
        <w:tc>
          <w:tcPr>
            <w:tcW w:w="3380" w:type="dxa"/>
            <w:vAlign w:val="bottom"/>
            <w:gridSpan w:val="3"/>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11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50,000</w:t>
            </w:r>
          </w:p>
        </w:tc>
        <w:tc>
          <w:tcPr>
            <w:tcW w:w="28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ind w:left="540"/>
              <w:spacing w:after="0" w:line="169" w:lineRule="exact"/>
              <w:rPr>
                <w:sz w:val="20"/>
                <w:szCs w:val="20"/>
                <w:color w:val="auto"/>
              </w:rPr>
            </w:pPr>
            <w:r>
              <w:rPr>
                <w:rFonts w:ascii="Arial" w:cs="Arial" w:eastAsia="Arial" w:hAnsi="Arial"/>
                <w:sz w:val="15"/>
                <w:szCs w:val="15"/>
                <w:color w:val="auto"/>
              </w:rPr>
              <w:t>July 15, 2021</w:t>
            </w:r>
          </w:p>
        </w:tc>
        <w:tc>
          <w:tcPr>
            <w:tcW w:w="14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4.44%</w:t>
            </w:r>
          </w:p>
        </w:tc>
      </w:tr>
      <w:tr>
        <w:trPr>
          <w:trHeight w:val="177"/>
        </w:trPr>
        <w:tc>
          <w:tcPr>
            <w:tcW w:w="3460" w:type="dxa"/>
            <w:vAlign w:val="bottom"/>
          </w:tcPr>
          <w:p>
            <w:pPr>
              <w:spacing w:after="0"/>
              <w:rPr>
                <w:sz w:val="20"/>
                <w:szCs w:val="20"/>
                <w:color w:val="auto"/>
              </w:rPr>
            </w:pPr>
            <w:r>
              <w:rPr>
                <w:rFonts w:ascii="Arial" w:cs="Arial" w:eastAsia="Arial" w:hAnsi="Arial"/>
                <w:sz w:val="15"/>
                <w:szCs w:val="15"/>
                <w:color w:val="auto"/>
              </w:rPr>
              <w:t>Senior Note, Series B</w:t>
            </w:r>
          </w:p>
        </w:tc>
        <w:tc>
          <w:tcPr>
            <w:tcW w:w="3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100,000</w:t>
            </w:r>
          </w:p>
        </w:tc>
        <w:tc>
          <w:tcPr>
            <w:tcW w:w="280" w:type="dxa"/>
            <w:vAlign w:val="bottom"/>
          </w:tcPr>
          <w:p>
            <w:pPr>
              <w:spacing w:after="0"/>
              <w:rPr>
                <w:sz w:val="15"/>
                <w:szCs w:val="15"/>
                <w:color w:val="auto"/>
              </w:rPr>
            </w:pPr>
          </w:p>
        </w:tc>
        <w:tc>
          <w:tcPr>
            <w:tcW w:w="1580" w:type="dxa"/>
            <w:vAlign w:val="bottom"/>
            <w:gridSpan w:val="2"/>
          </w:tcPr>
          <w:p>
            <w:pPr>
              <w:ind w:left="540"/>
              <w:spacing w:after="0"/>
              <w:rPr>
                <w:sz w:val="20"/>
                <w:szCs w:val="20"/>
                <w:color w:val="auto"/>
              </w:rPr>
            </w:pPr>
            <w:r>
              <w:rPr>
                <w:rFonts w:ascii="Arial" w:cs="Arial" w:eastAsia="Arial" w:hAnsi="Arial"/>
                <w:sz w:val="15"/>
                <w:szCs w:val="15"/>
                <w:color w:val="auto"/>
              </w:rPr>
              <w:t>July 15, 2024</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4.98%</w:t>
            </w:r>
          </w:p>
        </w:tc>
      </w:tr>
      <w:tr>
        <w:trPr>
          <w:trHeight w:val="177"/>
        </w:trPr>
        <w:tc>
          <w:tcPr>
            <w:tcW w:w="3460" w:type="dxa"/>
            <w:vAlign w:val="bottom"/>
            <w:shd w:val="clear" w:color="auto" w:fill="CFF0FC"/>
          </w:tcPr>
          <w:p>
            <w:pPr>
              <w:spacing w:after="0"/>
              <w:rPr>
                <w:sz w:val="20"/>
                <w:szCs w:val="20"/>
                <w:color w:val="auto"/>
              </w:rPr>
            </w:pPr>
            <w:r>
              <w:rPr>
                <w:rFonts w:ascii="Arial" w:cs="Arial" w:eastAsia="Arial" w:hAnsi="Arial"/>
                <w:sz w:val="15"/>
                <w:szCs w:val="15"/>
                <w:color w:val="auto"/>
              </w:rPr>
              <w:t>Senior Note, Series C</w:t>
            </w:r>
          </w:p>
        </w:tc>
        <w:tc>
          <w:tcPr>
            <w:tcW w:w="3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60,000</w:t>
            </w:r>
          </w:p>
        </w:tc>
        <w:tc>
          <w:tcPr>
            <w:tcW w:w="28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ind w:left="540"/>
              <w:spacing w:after="0"/>
              <w:rPr>
                <w:sz w:val="20"/>
                <w:szCs w:val="20"/>
                <w:color w:val="auto"/>
              </w:rPr>
            </w:pPr>
            <w:r>
              <w:rPr>
                <w:rFonts w:ascii="Arial" w:cs="Arial" w:eastAsia="Arial" w:hAnsi="Arial"/>
                <w:sz w:val="15"/>
                <w:szCs w:val="15"/>
                <w:color w:val="auto"/>
              </w:rPr>
              <w:t>July 15, 2026</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5.13%</w:t>
            </w:r>
          </w:p>
        </w:tc>
      </w:tr>
      <w:tr>
        <w:trPr>
          <w:trHeight w:val="188"/>
        </w:trPr>
        <w:tc>
          <w:tcPr>
            <w:tcW w:w="3460" w:type="dxa"/>
            <w:vAlign w:val="bottom"/>
          </w:tcPr>
          <w:p>
            <w:pPr>
              <w:spacing w:after="0"/>
              <w:rPr>
                <w:sz w:val="20"/>
                <w:szCs w:val="20"/>
                <w:color w:val="auto"/>
              </w:rPr>
            </w:pPr>
            <w:r>
              <w:rPr>
                <w:rFonts w:ascii="Arial" w:cs="Arial" w:eastAsia="Arial" w:hAnsi="Arial"/>
                <w:sz w:val="15"/>
                <w:szCs w:val="15"/>
                <w:color w:val="auto"/>
              </w:rPr>
              <w:t>Senior Note, Series D</w:t>
            </w:r>
          </w:p>
        </w:tc>
        <w:tc>
          <w:tcPr>
            <w:tcW w:w="3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40,000</w:t>
            </w:r>
          </w:p>
        </w:tc>
        <w:tc>
          <w:tcPr>
            <w:tcW w:w="28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Arial" w:cs="Arial" w:eastAsia="Arial" w:hAnsi="Arial"/>
                <w:sz w:val="15"/>
                <w:szCs w:val="15"/>
                <w:color w:val="auto"/>
              </w:rPr>
              <w:t>July 15, 2029</w:t>
            </w: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5.38%</w:t>
            </w:r>
          </w:p>
        </w:tc>
      </w:tr>
      <w:tr>
        <w:trPr>
          <w:trHeight w:val="344"/>
        </w:trPr>
        <w:tc>
          <w:tcPr>
            <w:tcW w:w="3460" w:type="dxa"/>
            <w:vAlign w:val="bottom"/>
          </w:tcPr>
          <w:p>
            <w:pPr>
              <w:spacing w:after="0"/>
              <w:rPr>
                <w:sz w:val="24"/>
                <w:szCs w:val="24"/>
                <w:color w:val="auto"/>
              </w:rPr>
            </w:pPr>
          </w:p>
        </w:tc>
        <w:tc>
          <w:tcPr>
            <w:tcW w:w="3380" w:type="dxa"/>
            <w:vAlign w:val="bottom"/>
            <w:gridSpan w:val="3"/>
          </w:tcPr>
          <w:p>
            <w:pPr>
              <w:jc w:val="right"/>
              <w:ind w:right="1040"/>
              <w:spacing w:after="0"/>
              <w:rPr>
                <w:sz w:val="20"/>
                <w:szCs w:val="20"/>
                <w:color w:val="auto"/>
              </w:rPr>
            </w:pPr>
            <w:r>
              <w:rPr>
                <w:rFonts w:ascii="Arial" w:cs="Arial" w:eastAsia="Arial" w:hAnsi="Arial"/>
                <w:sz w:val="15"/>
                <w:szCs w:val="15"/>
                <w:color w:val="auto"/>
              </w:rPr>
              <w:t>F-38</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0"/>
        </w:trPr>
        <w:tc>
          <w:tcPr>
            <w:tcW w:w="3460" w:type="dxa"/>
            <w:vAlign w:val="bottom"/>
            <w:tcBorders>
              <w:bottom w:val="single" w:sz="8" w:color="9A9A9A"/>
            </w:tcBorders>
          </w:tcPr>
          <w:p>
            <w:pPr>
              <w:spacing w:after="0"/>
              <w:rPr>
                <w:sz w:val="6"/>
                <w:szCs w:val="6"/>
                <w:color w:val="auto"/>
              </w:rPr>
            </w:pPr>
          </w:p>
        </w:tc>
        <w:tc>
          <w:tcPr>
            <w:tcW w:w="30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3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3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100" w:firstLine="591"/>
        <w:spacing w:after="0" w:line="233" w:lineRule="auto"/>
        <w:rPr>
          <w:sz w:val="20"/>
          <w:szCs w:val="20"/>
          <w:color w:val="auto"/>
        </w:rPr>
      </w:pPr>
      <w:r>
        <w:rPr>
          <w:rFonts w:ascii="Arial" w:cs="Arial" w:eastAsia="Arial" w:hAnsi="Arial"/>
          <w:sz w:val="15"/>
          <w:szCs w:val="15"/>
          <w:color w:val="auto"/>
        </w:rPr>
        <w:t>The Company incurred approximately $1.1 million of debt issuance costs in connection with the private placement. On August 10, 2018, the Company finalized an amended and restated intercreditor agreement related to this private placement to more closely align certain covenants and definitions with the terms under the 2017 amended and restated Credit Agreement and incurred approximately $0.5 million of additional issuance costs. These costs are presented as a direct deduction from the debt on the face of the balance sheet. Interest expense related to the Senior Notes approximated $12.4 million for the years ended December 31, 2020, December 31, 2019 and December 31, 2018. The amortization of debt issuance costs and interest expense is recorded in “Interest expense” on the consolidated statements of income. The Company made interest payments related to the Senior Notes of approximately $12.4 million during the years ended December 31, 2020, December 31, 2019 and December 31, 2018. Interest payable of approximately $5.5 million and $5.7 million was recorded in “Accrued expenses and other current liabilities” on the consolidated balance sheets at December 31, 2020 and December 31, 2019, respectively, related to the Senior Notes.</w:t>
      </w:r>
    </w:p>
    <w:p>
      <w:pPr>
        <w:spacing w:after="0" w:line="168" w:lineRule="exact"/>
        <w:rPr>
          <w:sz w:val="20"/>
          <w:szCs w:val="20"/>
          <w:color w:val="auto"/>
        </w:rPr>
      </w:pPr>
    </w:p>
    <w:p>
      <w:pPr>
        <w:ind w:right="220" w:firstLine="591"/>
        <w:spacing w:after="0" w:line="236" w:lineRule="auto"/>
        <w:rPr>
          <w:sz w:val="20"/>
          <w:szCs w:val="20"/>
          <w:color w:val="auto"/>
        </w:rPr>
      </w:pPr>
      <w:r>
        <w:rPr>
          <w:rFonts w:ascii="Arial" w:cs="Arial" w:eastAsia="Arial" w:hAnsi="Arial"/>
          <w:sz w:val="15"/>
          <w:szCs w:val="15"/>
          <w:color w:val="auto"/>
        </w:rPr>
        <w:t>The Credit Agreement and private placement includes various covenants, including restrictions on indebtedness, liens, acquisitions, investments or dispositions, payment of dividends and maintenance of certain financial ratios and conditions. The Company was in compliance with these covenants at December 31, 2020 and December 31, 2019.</w:t>
      </w:r>
    </w:p>
    <w:p>
      <w:pPr>
        <w:spacing w:after="0" w:line="167" w:lineRule="exact"/>
        <w:rPr>
          <w:sz w:val="20"/>
          <w:szCs w:val="20"/>
          <w:color w:val="auto"/>
        </w:rPr>
      </w:pPr>
    </w:p>
    <w:p>
      <w:pPr>
        <w:ind w:right="340" w:firstLine="591"/>
        <w:spacing w:after="0" w:line="236" w:lineRule="auto"/>
        <w:rPr>
          <w:sz w:val="20"/>
          <w:szCs w:val="20"/>
          <w:color w:val="auto"/>
        </w:rPr>
      </w:pPr>
      <w:r>
        <w:rPr>
          <w:rFonts w:ascii="Arial" w:cs="Arial" w:eastAsia="Arial" w:hAnsi="Arial"/>
          <w:sz w:val="15"/>
          <w:szCs w:val="15"/>
          <w:color w:val="auto"/>
        </w:rPr>
        <w:t>The Company also has in place several secondary bank credit lines for issuing letters of credit, principally for foreign contracts, to support performance and completion guarantees. Letters of credit commitments outstanding under these bank lines aggregated approximately $193.1 million and $197.3 million at December 31, 2020 and December 31, 2019, respectively.</w:t>
      </w:r>
    </w:p>
    <w:p>
      <w:pPr>
        <w:spacing w:after="0" w:line="167" w:lineRule="exact"/>
        <w:rPr>
          <w:sz w:val="20"/>
          <w:szCs w:val="20"/>
          <w:color w:val="auto"/>
        </w:rPr>
      </w:pPr>
    </w:p>
    <w:p>
      <w:pPr>
        <w:ind w:firstLine="591"/>
        <w:spacing w:after="0" w:line="236" w:lineRule="auto"/>
        <w:rPr>
          <w:sz w:val="20"/>
          <w:szCs w:val="20"/>
          <w:color w:val="auto"/>
        </w:rPr>
      </w:pPr>
      <w:r>
        <w:rPr>
          <w:rFonts w:ascii="Arial" w:cs="Arial" w:eastAsia="Arial" w:hAnsi="Arial"/>
          <w:sz w:val="15"/>
          <w:szCs w:val="15"/>
          <w:color w:val="auto"/>
        </w:rPr>
        <w:t>Using a discounted cash flow technique that incorporates a market interest yield curve with adjustments for duration, optionality, and risk profile, the Company estimated the fair value (Level 2) of its senior notes at December 31, 2020 approximates $275.0 million. See “Note 19—</w:t>
      </w:r>
      <w:r>
        <w:rPr>
          <w:rFonts w:ascii="Arial" w:cs="Arial" w:eastAsia="Arial" w:hAnsi="Arial"/>
          <w:sz w:val="15"/>
          <w:szCs w:val="15"/>
          <w:i w:val="1"/>
          <w:iCs w:val="1"/>
          <w:color w:val="auto"/>
        </w:rPr>
        <w:t>Fair Value of Financial Instruments</w:t>
      </w:r>
      <w:r>
        <w:rPr>
          <w:rFonts w:ascii="Arial" w:cs="Arial" w:eastAsia="Arial" w:hAnsi="Arial"/>
          <w:sz w:val="15"/>
          <w:szCs w:val="15"/>
          <w:color w:val="auto"/>
        </w:rPr>
        <w:t>” for the definition of level 2 of the fair value hierarchy below.</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4" w:lineRule="exact"/>
        <w:rPr>
          <w:sz w:val="20"/>
          <w:szCs w:val="20"/>
          <w:color w:val="auto"/>
        </w:rPr>
      </w:pPr>
    </w:p>
    <w:p>
      <w:pPr>
        <w:ind w:left="760"/>
        <w:spacing w:after="0"/>
        <w:rPr>
          <w:sz w:val="20"/>
          <w:szCs w:val="20"/>
          <w:color w:val="auto"/>
        </w:rPr>
      </w:pPr>
      <w:r>
        <w:rPr>
          <w:rFonts w:ascii="Arial" w:cs="Arial" w:eastAsia="Arial" w:hAnsi="Arial"/>
          <w:sz w:val="15"/>
          <w:szCs w:val="15"/>
          <w:b w:val="1"/>
          <w:bCs w:val="1"/>
          <w:i w:val="1"/>
          <w:iCs w:val="1"/>
          <w:color w:val="auto"/>
        </w:rPr>
        <w:t>Convertible Senior Notes</w:t>
      </w:r>
    </w:p>
    <w:p>
      <w:pPr>
        <w:spacing w:after="0" w:line="189" w:lineRule="exact"/>
        <w:rPr>
          <w:sz w:val="20"/>
          <w:szCs w:val="20"/>
          <w:color w:val="auto"/>
        </w:rPr>
      </w:pPr>
    </w:p>
    <w:p>
      <w:pPr>
        <w:ind w:firstLine="745"/>
        <w:spacing w:after="0" w:line="235" w:lineRule="auto"/>
        <w:rPr>
          <w:sz w:val="20"/>
          <w:szCs w:val="20"/>
          <w:color w:val="auto"/>
        </w:rPr>
      </w:pPr>
      <w:r>
        <w:rPr>
          <w:rFonts w:ascii="Arial" w:cs="Arial" w:eastAsia="Arial" w:hAnsi="Arial"/>
          <w:sz w:val="15"/>
          <w:szCs w:val="15"/>
          <w:color w:val="auto"/>
        </w:rPr>
        <w:t>In August 2020, the Company issued an aggregate $400.0 million of 0.25% Convertible Senior Notes due 2025, including the exercise of a $50.0 million initial purchasers’ option. The Company received proceeds from the issuance and sale of the Convertible Senior Notes of $389.7 million, net of $10.3 million of transaction fees and other third-party offering expenses. The Convertible Senior Notes accrue interest at a rate of 0.25% per annum, payable semi-annually on February 15 and August 15 of each year beginning on February 15, 2021, and will mature on August 15, 2025, unless earlier repurchased, redeemed or converted.</w:t>
      </w:r>
    </w:p>
    <w:p>
      <w:pPr>
        <w:spacing w:after="0" w:line="167" w:lineRule="exact"/>
        <w:rPr>
          <w:sz w:val="20"/>
          <w:szCs w:val="20"/>
          <w:color w:val="auto"/>
        </w:rPr>
      </w:pPr>
    </w:p>
    <w:p>
      <w:pPr>
        <w:ind w:right="280" w:firstLine="745"/>
        <w:spacing w:after="0" w:line="235" w:lineRule="auto"/>
        <w:rPr>
          <w:sz w:val="20"/>
          <w:szCs w:val="20"/>
          <w:color w:val="auto"/>
        </w:rPr>
      </w:pPr>
      <w:r>
        <w:rPr>
          <w:rFonts w:ascii="Arial" w:cs="Arial" w:eastAsia="Arial" w:hAnsi="Arial"/>
          <w:sz w:val="15"/>
          <w:szCs w:val="15"/>
          <w:color w:val="auto"/>
        </w:rPr>
        <w:t>The Convertible Senior Notes are the Company’s senior unsecured obligations and will rank senior in right of payment to any of the Company’s indebtedness that is expressly subordinated in right of payment to the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spacing w:after="0" w:line="167" w:lineRule="exact"/>
        <w:rPr>
          <w:sz w:val="20"/>
          <w:szCs w:val="20"/>
          <w:color w:val="auto"/>
        </w:rPr>
      </w:pPr>
    </w:p>
    <w:p>
      <w:pPr>
        <w:ind w:right="260" w:firstLine="745"/>
        <w:spacing w:after="0" w:line="235" w:lineRule="auto"/>
        <w:rPr>
          <w:sz w:val="20"/>
          <w:szCs w:val="20"/>
          <w:color w:val="auto"/>
        </w:rPr>
      </w:pPr>
      <w:r>
        <w:rPr>
          <w:rFonts w:ascii="Arial" w:cs="Arial" w:eastAsia="Arial" w:hAnsi="Arial"/>
          <w:sz w:val="15"/>
          <w:szCs w:val="15"/>
          <w:color w:val="auto"/>
        </w:rPr>
        <w:t>Each $1,000 of principal of the Notes will initially be convertible into 22.2913 shares of our common stock, which is equivalent to an initial conversion price of $44.86 per share, subject to adjustment upon the occurrence of specified events. On or after March 15, 2025 until the close of business on the second scheduled trading day immediately preceding the maturity date of the Convertible Senior Notes, holders may convert all or a portion of their Convertible Senior Notes, regardless of the conditions below.</w:t>
      </w:r>
    </w:p>
    <w:p>
      <w:pPr>
        <w:spacing w:after="0" w:line="167" w:lineRule="exact"/>
        <w:rPr>
          <w:sz w:val="20"/>
          <w:szCs w:val="20"/>
          <w:color w:val="auto"/>
        </w:rPr>
      </w:pPr>
    </w:p>
    <w:p>
      <w:pPr>
        <w:ind w:right="160" w:firstLine="745"/>
        <w:spacing w:after="0" w:line="239" w:lineRule="auto"/>
        <w:rPr>
          <w:sz w:val="20"/>
          <w:szCs w:val="20"/>
          <w:color w:val="auto"/>
        </w:rPr>
      </w:pPr>
      <w:r>
        <w:rPr>
          <w:rFonts w:ascii="Arial" w:cs="Arial" w:eastAsia="Arial" w:hAnsi="Arial"/>
          <w:sz w:val="15"/>
          <w:szCs w:val="15"/>
          <w:color w:val="auto"/>
        </w:rPr>
        <w:t>Prior to the close of business on the business day immediately preceding March 15, 2025, the Notes will be convertible at the option of the holders thereof only under the following circumstances:</w:t>
      </w:r>
    </w:p>
    <w:p>
      <w:pPr>
        <w:spacing w:after="0" w:line="166" w:lineRule="exact"/>
        <w:rPr>
          <w:sz w:val="20"/>
          <w:szCs w:val="20"/>
          <w:color w:val="auto"/>
        </w:rPr>
      </w:pPr>
    </w:p>
    <w:p>
      <w:pPr>
        <w:ind w:left="1620" w:right="100" w:hanging="437"/>
        <w:spacing w:after="0" w:line="235" w:lineRule="auto"/>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during any calendar quarter commencing after the calendar quarter ending on December 31, 2020,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66" w:lineRule="exact"/>
        <w:rPr>
          <w:rFonts w:ascii="Arial" w:cs="Arial" w:eastAsia="Arial" w:hAnsi="Arial"/>
          <w:sz w:val="15"/>
          <w:szCs w:val="15"/>
          <w:color w:val="auto"/>
        </w:rPr>
      </w:pPr>
    </w:p>
    <w:p>
      <w:pPr>
        <w:ind w:left="1620" w:right="180" w:hanging="437"/>
        <w:spacing w:after="0" w:line="236" w:lineRule="auto"/>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during the five business day period after any five consecutive trading day period in which, for each trading day of that period, the trading price per $1,000 principal amount of Convertible Senior Notes for such trading day was less than 98% of the product of the last reported sale price of the Company’s common stock and the conversion rate on each such trading day;</w:t>
      </w:r>
    </w:p>
    <w:p>
      <w:pPr>
        <w:spacing w:after="0" w:line="178" w:lineRule="exact"/>
        <w:rPr>
          <w:rFonts w:ascii="Arial" w:cs="Arial" w:eastAsia="Arial" w:hAnsi="Arial"/>
          <w:sz w:val="15"/>
          <w:szCs w:val="15"/>
          <w:color w:val="auto"/>
        </w:rPr>
      </w:pPr>
    </w:p>
    <w:p>
      <w:pPr>
        <w:ind w:left="1620" w:hanging="437"/>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if the Company calls such Convertible Senior Notes for redemption; or</w:t>
      </w:r>
    </w:p>
    <w:p>
      <w:pPr>
        <w:spacing w:after="0" w:line="182" w:lineRule="exact"/>
        <w:rPr>
          <w:rFonts w:ascii="Arial" w:cs="Arial" w:eastAsia="Arial" w:hAnsi="Arial"/>
          <w:sz w:val="15"/>
          <w:szCs w:val="15"/>
          <w:color w:val="auto"/>
        </w:rPr>
      </w:pPr>
    </w:p>
    <w:p>
      <w:pPr>
        <w:ind w:left="1620" w:hanging="437"/>
        <w:spacing w:after="0"/>
        <w:tabs>
          <w:tab w:leader="none" w:pos="1620" w:val="left"/>
        </w:tabs>
        <w:numPr>
          <w:ilvl w:val="0"/>
          <w:numId w:val="60"/>
        </w:numPr>
        <w:rPr>
          <w:rFonts w:ascii="Arial" w:cs="Arial" w:eastAsia="Arial" w:hAnsi="Arial"/>
          <w:sz w:val="15"/>
          <w:szCs w:val="15"/>
          <w:color w:val="auto"/>
        </w:rPr>
      </w:pPr>
      <w:r>
        <w:rPr>
          <w:rFonts w:ascii="Arial" w:cs="Arial" w:eastAsia="Arial" w:hAnsi="Arial"/>
          <w:sz w:val="15"/>
          <w:szCs w:val="15"/>
          <w:color w:val="auto"/>
        </w:rPr>
        <w:t>upon the occurrence of specified corporate events described in the Indenture.</w:t>
      </w:r>
    </w:p>
    <w:p>
      <w:pPr>
        <w:spacing w:after="0" w:line="180" w:lineRule="exact"/>
        <w:rPr>
          <w:sz w:val="20"/>
          <w:szCs w:val="20"/>
          <w:color w:val="auto"/>
        </w:rPr>
      </w:pPr>
    </w:p>
    <w:p>
      <w:pPr>
        <w:ind w:right="200" w:firstLine="745"/>
        <w:spacing w:after="0" w:line="254" w:lineRule="auto"/>
        <w:rPr>
          <w:sz w:val="20"/>
          <w:szCs w:val="20"/>
          <w:color w:val="auto"/>
        </w:rPr>
      </w:pPr>
      <w:r>
        <w:rPr>
          <w:rFonts w:ascii="Arial" w:cs="Arial" w:eastAsia="Arial" w:hAnsi="Arial"/>
          <w:sz w:val="14"/>
          <w:szCs w:val="14"/>
          <w:color w:val="auto"/>
        </w:rPr>
        <w:t>The Company may redeem all or any portion of the Convertible Senior Notes for cash, at its option, on or after August 21, 2023 and before the 51</w:t>
      </w:r>
      <w:r>
        <w:rPr>
          <w:rFonts w:ascii="Arial" w:cs="Arial" w:eastAsia="Arial" w:hAnsi="Arial"/>
          <w:sz w:val="11"/>
          <w:szCs w:val="11"/>
          <w:color w:val="auto"/>
        </w:rPr>
        <w:t>st</w:t>
      </w:r>
      <w:r>
        <w:rPr>
          <w:rFonts w:ascii="Arial" w:cs="Arial" w:eastAsia="Arial" w:hAnsi="Arial"/>
          <w:sz w:val="14"/>
          <w:szCs w:val="14"/>
          <w:color w:val="auto"/>
        </w:rPr>
        <w:t xml:space="preserve"> scheduled trading day immediately before the maturity date at a redemption price equal to 100% of the principal amount of the Notes to be redeemed, plus accrued and unpaid interest, but only if the last reported sale price per share of the Company’s common stock exceeds 130% of the conversion price for a specified period of time. In addition, calling any Convertible Senior Note for redemption will constitute a Make-Whole Fundamental Change with respect to that Convertible Senior Note, in which case the conversion rate applicable to the conversion of that Convertible Senior Note will be increased in certain circumstances if it is converted after it is called for redemption.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right="20" w:firstLine="745"/>
        <w:spacing w:after="0" w:line="236" w:lineRule="auto"/>
        <w:rPr>
          <w:sz w:val="20"/>
          <w:szCs w:val="20"/>
          <w:color w:val="auto"/>
        </w:rPr>
      </w:pPr>
      <w:r>
        <w:rPr>
          <w:rFonts w:ascii="Arial" w:cs="Arial" w:eastAsia="Arial" w:hAnsi="Arial"/>
          <w:sz w:val="15"/>
          <w:szCs w:val="15"/>
          <w:color w:val="auto"/>
        </w:rPr>
        <w:t>Upon the occurrence of a fundamental change prior to the maturity date of the Convertible Senior Notes, holders of the Convertible Senior Notes may require the Company to repurchase all or a portion of the Convertible Senior Notes for cash at a price equal to 100% of the principal amount of the Convertible Senior Notes to be repurchased, plus any accrued and unpaid interest to, but excluding, the fundamental change repurchase date.</w:t>
      </w:r>
    </w:p>
    <w:p>
      <w:pPr>
        <w:spacing w:after="0" w:line="167" w:lineRule="exact"/>
        <w:rPr>
          <w:sz w:val="20"/>
          <w:szCs w:val="20"/>
          <w:color w:val="auto"/>
        </w:rPr>
      </w:pPr>
    </w:p>
    <w:p>
      <w:pPr>
        <w:ind w:right="20" w:firstLine="745"/>
        <w:spacing w:after="0" w:line="235" w:lineRule="auto"/>
        <w:rPr>
          <w:sz w:val="20"/>
          <w:szCs w:val="20"/>
          <w:color w:val="auto"/>
        </w:rPr>
      </w:pPr>
      <w:r>
        <w:rPr>
          <w:rFonts w:ascii="Arial" w:cs="Arial" w:eastAsia="Arial" w:hAnsi="Arial"/>
          <w:sz w:val="15"/>
          <w:szCs w:val="15"/>
          <w:color w:val="auto"/>
        </w:rPr>
        <w:t>Upon conversion, the Company may settle the Convertible Senior Notes for cash, shares of the Company’s common stock, or a combination thereof, at the Company’s option. If the Company satisfies its conversion obligation solely in cash or through payment and delivery of a combination of cash and shares of the Company’s common stock, the amount of cash and shares of common stock due upon conversion will be based on a daily conversion value calculated on a proportionate basis for each trading day in a 50-trading day observation period.</w:t>
      </w:r>
    </w:p>
    <w:p>
      <w:pPr>
        <w:spacing w:after="0" w:line="167" w:lineRule="exact"/>
        <w:rPr>
          <w:sz w:val="20"/>
          <w:szCs w:val="20"/>
          <w:color w:val="auto"/>
        </w:rPr>
      </w:pPr>
    </w:p>
    <w:p>
      <w:pPr>
        <w:ind w:right="20" w:firstLine="745"/>
        <w:spacing w:after="0" w:line="233" w:lineRule="auto"/>
        <w:rPr>
          <w:sz w:val="20"/>
          <w:szCs w:val="20"/>
          <w:color w:val="auto"/>
        </w:rPr>
      </w:pPr>
      <w:r>
        <w:rPr>
          <w:rFonts w:ascii="Arial" w:cs="Arial" w:eastAsia="Arial" w:hAnsi="Arial"/>
          <w:sz w:val="15"/>
          <w:szCs w:val="15"/>
          <w:color w:val="auto"/>
        </w:rPr>
        <w:t>Convertible debt instruments that may be settled in cash on conversion are required to be separated into liability and equity components in a manner that reflects the issuer’s non-convertible debt borrowing rate. The carrying amount of the liability component is based on the fair value of a similar instrument that does not contain an equity conversion option. The carrying amount allocated to the equity component, which is recognized as a debt discount, represents the difference between the proceeds from the issuance of the notes and the fair value of the liability component of the notes. Based on this debt to equity ratio, debt issuance costs are then allocated to the liability and equity components in a similar manner. Accordingly, at issuance the Company allocated $336.1 million to the debt liability and $53.6 million to additional paid-in capital. The difference between the principal amount of the Convertible Senior Notes and the liability component, inclusive of issuance costs, represents the debt discount, which the Company amortizes to interest expense over the term of the Convertible Senior Notes using an effective interest rate of 3.25%. During the year ended December 31, 2020, the Company recognized interest expense of $4.4 million related to the amortization of debt discount and issuance costs. As of December 31, 2020, the net carrying value of the Notes was $340.6 million.</w:t>
      </w:r>
    </w:p>
    <w:p>
      <w:pPr>
        <w:spacing w:after="0" w:line="166" w:lineRule="exact"/>
        <w:rPr>
          <w:sz w:val="20"/>
          <w:szCs w:val="20"/>
          <w:color w:val="auto"/>
        </w:rPr>
      </w:pPr>
    </w:p>
    <w:p>
      <w:pPr>
        <w:ind w:right="120" w:firstLine="591"/>
        <w:spacing w:after="0" w:line="239" w:lineRule="auto"/>
        <w:rPr>
          <w:sz w:val="20"/>
          <w:szCs w:val="20"/>
          <w:color w:val="auto"/>
        </w:rPr>
      </w:pPr>
      <w:r>
        <w:rPr>
          <w:rFonts w:ascii="Arial" w:cs="Arial" w:eastAsia="Arial" w:hAnsi="Arial"/>
          <w:sz w:val="15"/>
          <w:szCs w:val="15"/>
          <w:color w:val="auto"/>
        </w:rPr>
        <w:t>A summary as of December 31, 2020 of the gross carrying amount, unamortized debt discount including debt issuance costs, and net carrying value of the liability component of the Convertible Senior Notes is as follows: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340" w:type="dxa"/>
            <w:vAlign w:val="bottom"/>
            <w:tcBorders>
              <w:bottom w:val="single" w:sz="8" w:color="CFF0FC"/>
            </w:tcBorders>
          </w:tcPr>
          <w:p>
            <w:pPr>
              <w:spacing w:after="0"/>
              <w:rPr>
                <w:sz w:val="12"/>
                <w:szCs w:val="12"/>
                <w:color w:val="auto"/>
              </w:rPr>
            </w:pPr>
          </w:p>
        </w:tc>
        <w:tc>
          <w:tcPr>
            <w:tcW w:w="5260" w:type="dxa"/>
            <w:vAlign w:val="bottom"/>
            <w:tcBorders>
              <w:bottom w:val="single" w:sz="8" w:color="CFF0FC"/>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tcPr>
          <w:p>
            <w:pPr>
              <w:jc w:val="right"/>
              <w:ind w:right="689"/>
              <w:spacing w:after="0"/>
              <w:rPr>
                <w:sz w:val="20"/>
                <w:szCs w:val="20"/>
                <w:color w:val="auto"/>
              </w:rPr>
            </w:pPr>
            <w:r>
              <w:rPr>
                <w:rFonts w:ascii="Arial" w:cs="Arial" w:eastAsia="Arial" w:hAnsi="Arial"/>
                <w:sz w:val="12"/>
                <w:szCs w:val="12"/>
                <w:b w:val="1"/>
                <w:bCs w:val="1"/>
                <w:color w:val="auto"/>
              </w:rPr>
              <w:t>December 31, 2020</w:t>
            </w:r>
          </w:p>
        </w:tc>
        <w:tc>
          <w:tcPr>
            <w:tcW w:w="120" w:type="dxa"/>
            <w:vAlign w:val="bottom"/>
            <w:tcBorders>
              <w:bottom w:val="single" w:sz="8" w:color="CFF0FC"/>
            </w:tcBorders>
          </w:tcPr>
          <w:p>
            <w:pPr>
              <w:spacing w:after="0"/>
              <w:rPr>
                <w:sz w:val="12"/>
                <w:szCs w:val="12"/>
                <w:color w:val="auto"/>
              </w:rPr>
            </w:pPr>
          </w:p>
        </w:tc>
      </w:tr>
      <w:tr>
        <w:trPr>
          <w:trHeight w:val="168"/>
        </w:trPr>
        <w:tc>
          <w:tcPr>
            <w:tcW w:w="33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Par value</w:t>
            </w:r>
          </w:p>
        </w:tc>
        <w:tc>
          <w:tcPr>
            <w:tcW w:w="5680" w:type="dxa"/>
            <w:vAlign w:val="bottom"/>
            <w:gridSpan w:val="2"/>
            <w:shd w:val="clear" w:color="auto" w:fill="CFF0FC"/>
          </w:tcPr>
          <w:p>
            <w:pPr>
              <w:jc w:val="right"/>
              <w:ind w:right="340"/>
              <w:spacing w:after="0" w:line="169" w:lineRule="exact"/>
              <w:rPr>
                <w:sz w:val="20"/>
                <w:szCs w:val="20"/>
                <w:color w:val="auto"/>
              </w:rPr>
            </w:pPr>
            <w:r>
              <w:rPr>
                <w:rFonts w:ascii="Arial" w:cs="Arial" w:eastAsia="Arial" w:hAnsi="Arial"/>
                <w:sz w:val="15"/>
                <w:szCs w:val="15"/>
                <w:color w:val="auto"/>
              </w:rPr>
              <w:t>$</w:t>
            </w:r>
          </w:p>
        </w:tc>
        <w:tc>
          <w:tcPr>
            <w:tcW w:w="2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400,000</w:t>
            </w:r>
          </w:p>
        </w:tc>
        <w:tc>
          <w:tcPr>
            <w:tcW w:w="120" w:type="dxa"/>
            <w:vAlign w:val="bottom"/>
            <w:shd w:val="clear" w:color="auto" w:fill="CFF0FC"/>
          </w:tcPr>
          <w:p>
            <w:pPr>
              <w:spacing w:after="0"/>
              <w:rPr>
                <w:sz w:val="14"/>
                <w:szCs w:val="14"/>
                <w:color w:val="auto"/>
              </w:rPr>
            </w:pPr>
          </w:p>
        </w:tc>
      </w:tr>
      <w:tr>
        <w:trPr>
          <w:trHeight w:val="177"/>
        </w:trPr>
        <w:tc>
          <w:tcPr>
            <w:tcW w:w="3340" w:type="dxa"/>
            <w:vAlign w:val="bottom"/>
          </w:tcPr>
          <w:p>
            <w:pPr>
              <w:spacing w:after="0"/>
              <w:rPr>
                <w:sz w:val="20"/>
                <w:szCs w:val="20"/>
                <w:color w:val="auto"/>
              </w:rPr>
            </w:pPr>
            <w:r>
              <w:rPr>
                <w:rFonts w:ascii="Arial" w:cs="Arial" w:eastAsia="Arial" w:hAnsi="Arial"/>
                <w:sz w:val="15"/>
                <w:szCs w:val="15"/>
                <w:color w:val="auto"/>
              </w:rPr>
              <w:t>Debt discount</w:t>
            </w:r>
          </w:p>
        </w:tc>
        <w:tc>
          <w:tcPr>
            <w:tcW w:w="56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260" w:type="dxa"/>
            <w:vAlign w:val="bottom"/>
            <w:gridSpan w:val="2"/>
          </w:tcPr>
          <w:p>
            <w:pPr>
              <w:jc w:val="right"/>
              <w:ind w:right="60"/>
              <w:spacing w:after="0"/>
              <w:rPr>
                <w:sz w:val="20"/>
                <w:szCs w:val="20"/>
                <w:color w:val="auto"/>
              </w:rPr>
            </w:pPr>
            <w:r>
              <w:rPr>
                <w:rFonts w:ascii="Arial" w:cs="Arial" w:eastAsia="Arial" w:hAnsi="Arial"/>
                <w:sz w:val="15"/>
                <w:szCs w:val="15"/>
                <w:color w:val="auto"/>
              </w:rPr>
              <w:t>(59,356)</w:t>
            </w:r>
          </w:p>
        </w:tc>
      </w:tr>
      <w:tr>
        <w:trPr>
          <w:trHeight w:val="20"/>
        </w:trPr>
        <w:tc>
          <w:tcPr>
            <w:tcW w:w="3340" w:type="dxa"/>
            <w:vAlign w:val="bottom"/>
            <w:shd w:val="clear" w:color="auto" w:fill="CFF0FC"/>
          </w:tcPr>
          <w:p>
            <w:pPr>
              <w:spacing w:after="0" w:line="20" w:lineRule="exact"/>
              <w:rPr>
                <w:sz w:val="1"/>
                <w:szCs w:val="1"/>
                <w:color w:val="auto"/>
              </w:rPr>
            </w:pPr>
          </w:p>
        </w:tc>
        <w:tc>
          <w:tcPr>
            <w:tcW w:w="52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33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Carrying amount</w:t>
            </w:r>
          </w:p>
        </w:tc>
        <w:tc>
          <w:tcPr>
            <w:tcW w:w="5680" w:type="dxa"/>
            <w:vAlign w:val="bottom"/>
            <w:gridSpan w:val="2"/>
            <w:shd w:val="clear" w:color="auto" w:fill="CFF0FC"/>
          </w:tcPr>
          <w:p>
            <w:pPr>
              <w:jc w:val="right"/>
              <w:ind w:right="340"/>
              <w:spacing w:after="0" w:line="169" w:lineRule="exact"/>
              <w:rPr>
                <w:sz w:val="20"/>
                <w:szCs w:val="20"/>
                <w:color w:val="auto"/>
              </w:rPr>
            </w:pPr>
            <w:r>
              <w:rPr>
                <w:rFonts w:ascii="Arial" w:cs="Arial" w:eastAsia="Arial" w:hAnsi="Arial"/>
                <w:sz w:val="15"/>
                <w:szCs w:val="15"/>
                <w:color w:val="auto"/>
              </w:rPr>
              <w:t>$</w:t>
            </w:r>
          </w:p>
        </w:tc>
        <w:tc>
          <w:tcPr>
            <w:tcW w:w="2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340,644</w:t>
            </w:r>
          </w:p>
        </w:tc>
        <w:tc>
          <w:tcPr>
            <w:tcW w:w="120" w:type="dxa"/>
            <w:vAlign w:val="bottom"/>
            <w:shd w:val="clear" w:color="auto" w:fill="CFF0FC"/>
          </w:tcPr>
          <w:p>
            <w:pPr>
              <w:spacing w:after="0"/>
              <w:rPr>
                <w:sz w:val="14"/>
                <w:szCs w:val="14"/>
                <w:color w:val="auto"/>
              </w:rPr>
            </w:pPr>
          </w:p>
        </w:tc>
      </w:tr>
      <w:tr>
        <w:trPr>
          <w:trHeight w:val="188"/>
        </w:trPr>
        <w:tc>
          <w:tcPr>
            <w:tcW w:w="3340" w:type="dxa"/>
            <w:vAlign w:val="bottom"/>
          </w:tcPr>
          <w:p>
            <w:pPr>
              <w:spacing w:after="0"/>
              <w:rPr>
                <w:sz w:val="20"/>
                <w:szCs w:val="20"/>
                <w:color w:val="auto"/>
              </w:rPr>
            </w:pPr>
            <w:r>
              <w:rPr>
                <w:rFonts w:ascii="Arial" w:cs="Arial" w:eastAsia="Arial" w:hAnsi="Arial"/>
                <w:sz w:val="15"/>
                <w:szCs w:val="15"/>
                <w:color w:val="auto"/>
              </w:rPr>
              <w:t>Equity component</w:t>
            </w:r>
          </w:p>
        </w:tc>
        <w:tc>
          <w:tcPr>
            <w:tcW w:w="5680" w:type="dxa"/>
            <w:vAlign w:val="bottom"/>
            <w:gridSpan w:val="2"/>
          </w:tcPr>
          <w:p>
            <w:pPr>
              <w:jc w:val="right"/>
              <w:ind w:right="340"/>
              <w:spacing w:after="0"/>
              <w:rPr>
                <w:sz w:val="20"/>
                <w:szCs w:val="20"/>
                <w:color w:val="auto"/>
              </w:rPr>
            </w:pPr>
            <w:r>
              <w:rPr>
                <w:rFonts w:ascii="Arial" w:cs="Arial" w:eastAsia="Arial" w:hAnsi="Arial"/>
                <w:sz w:val="15"/>
                <w:szCs w:val="15"/>
                <w:color w:val="auto"/>
              </w:rPr>
              <w:t>$</w:t>
            </w:r>
          </w:p>
        </w:tc>
        <w:tc>
          <w:tcPr>
            <w:tcW w:w="2140" w:type="dxa"/>
            <w:vAlign w:val="bottom"/>
          </w:tcPr>
          <w:p>
            <w:pPr>
              <w:jc w:val="right"/>
              <w:spacing w:after="0"/>
              <w:rPr>
                <w:sz w:val="20"/>
                <w:szCs w:val="20"/>
                <w:color w:val="auto"/>
              </w:rPr>
            </w:pPr>
            <w:r>
              <w:rPr>
                <w:rFonts w:ascii="Arial" w:cs="Arial" w:eastAsia="Arial" w:hAnsi="Arial"/>
                <w:sz w:val="15"/>
                <w:szCs w:val="15"/>
                <w:color w:val="auto"/>
              </w:rPr>
              <w:t>53,552</w:t>
            </w:r>
          </w:p>
        </w:tc>
        <w:tc>
          <w:tcPr>
            <w:tcW w:w="120" w:type="dxa"/>
            <w:vAlign w:val="bottom"/>
          </w:tcPr>
          <w:p>
            <w:pPr>
              <w:spacing w:after="0"/>
              <w:rPr>
                <w:sz w:val="16"/>
                <w:szCs w:val="16"/>
                <w:color w:val="auto"/>
              </w:rPr>
            </w:pPr>
          </w:p>
        </w:tc>
      </w:tr>
      <w:tr>
        <w:trPr>
          <w:trHeight w:val="344"/>
        </w:trPr>
        <w:tc>
          <w:tcPr>
            <w:tcW w:w="3340" w:type="dxa"/>
            <w:vAlign w:val="bottom"/>
          </w:tcPr>
          <w:p>
            <w:pPr>
              <w:spacing w:after="0"/>
              <w:rPr>
                <w:sz w:val="24"/>
                <w:szCs w:val="24"/>
                <w:color w:val="auto"/>
              </w:rPr>
            </w:pPr>
          </w:p>
        </w:tc>
        <w:tc>
          <w:tcPr>
            <w:tcW w:w="5680" w:type="dxa"/>
            <w:vAlign w:val="bottom"/>
            <w:gridSpan w:val="2"/>
          </w:tcPr>
          <w:p>
            <w:pPr>
              <w:jc w:val="right"/>
              <w:ind w:right="3220"/>
              <w:spacing w:after="0"/>
              <w:rPr>
                <w:sz w:val="20"/>
                <w:szCs w:val="20"/>
                <w:color w:val="auto"/>
              </w:rPr>
            </w:pPr>
            <w:r>
              <w:rPr>
                <w:rFonts w:ascii="Arial" w:cs="Arial" w:eastAsia="Arial" w:hAnsi="Arial"/>
                <w:sz w:val="15"/>
                <w:szCs w:val="15"/>
                <w:color w:val="auto"/>
              </w:rPr>
              <w:t>F-41</w:t>
            </w: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3340" w:type="dxa"/>
            <w:vAlign w:val="bottom"/>
            <w:tcBorders>
              <w:bottom w:val="single" w:sz="8" w:color="9A9A9A"/>
            </w:tcBorders>
          </w:tcPr>
          <w:p>
            <w:pPr>
              <w:spacing w:after="0"/>
              <w:rPr>
                <w:sz w:val="6"/>
                <w:szCs w:val="6"/>
                <w:color w:val="auto"/>
              </w:rPr>
            </w:pPr>
          </w:p>
        </w:tc>
        <w:tc>
          <w:tcPr>
            <w:tcW w:w="526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Convertible Note Hedge and Warrant Transactions</w:t>
      </w:r>
    </w:p>
    <w:p>
      <w:pPr>
        <w:spacing w:after="0" w:line="189" w:lineRule="exact"/>
        <w:rPr>
          <w:sz w:val="20"/>
          <w:szCs w:val="20"/>
          <w:color w:val="auto"/>
        </w:rPr>
      </w:pPr>
    </w:p>
    <w:p>
      <w:pPr>
        <w:ind w:right="80" w:firstLine="745"/>
        <w:spacing w:after="0" w:line="234" w:lineRule="auto"/>
        <w:rPr>
          <w:sz w:val="20"/>
          <w:szCs w:val="20"/>
          <w:color w:val="auto"/>
        </w:rPr>
      </w:pPr>
      <w:r>
        <w:rPr>
          <w:rFonts w:ascii="Arial" w:cs="Arial" w:eastAsia="Arial" w:hAnsi="Arial"/>
          <w:sz w:val="15"/>
          <w:szCs w:val="15"/>
          <w:color w:val="auto"/>
        </w:rPr>
        <w:t>In connection with the sale of the Convertible Senior Notes, the Company purchased a bond hedge designed to mitigate the potential dilution from the conversion of the Convertible Senior Notes. Under the five-year term of the bond hedge, upon a conversion of the bonds, the Company will receive the number of shares of common stock equal to the remaining common stock deliverable upon conversion of the Convertible Senior Notes if the conversion value exceeds the principal amount of the Notes. The aggregate number of shares that the Company could be obligated to issue upon conversion of the Convertible Senior Notes is approximately 8.9 million shares. The cost of the convertible note hedge transactions was $55.0 million.</w:t>
      </w:r>
    </w:p>
    <w:p>
      <w:pPr>
        <w:spacing w:after="0" w:line="168" w:lineRule="exact"/>
        <w:rPr>
          <w:sz w:val="20"/>
          <w:szCs w:val="20"/>
          <w:color w:val="auto"/>
        </w:rPr>
      </w:pPr>
    </w:p>
    <w:p>
      <w:pPr>
        <w:jc w:val="both"/>
        <w:ind w:right="420" w:firstLine="745"/>
        <w:spacing w:after="0" w:line="236" w:lineRule="auto"/>
        <w:rPr>
          <w:sz w:val="20"/>
          <w:szCs w:val="20"/>
          <w:color w:val="auto"/>
        </w:rPr>
      </w:pPr>
      <w:r>
        <w:rPr>
          <w:rFonts w:ascii="Arial" w:cs="Arial" w:eastAsia="Arial" w:hAnsi="Arial"/>
          <w:sz w:val="15"/>
          <w:szCs w:val="15"/>
          <w:color w:val="auto"/>
        </w:rPr>
        <w:t>The cost of the convertible note hedge was partially offset by the Company’s sale of warrants to acquire approximately 8.9 million shares of the Company’s common stock. The warrants were initially exercisable at a price of at least $66.46 per share and are subject to customary adjustments upon the occurrence of certain events, such as the payment of dividends. The Company received $13.8 million in cash proceeds from the sales of these warrants.</w:t>
      </w:r>
    </w:p>
    <w:p>
      <w:pPr>
        <w:spacing w:after="0" w:line="167" w:lineRule="exact"/>
        <w:rPr>
          <w:sz w:val="20"/>
          <w:szCs w:val="20"/>
          <w:color w:val="auto"/>
        </w:rPr>
      </w:pPr>
    </w:p>
    <w:p>
      <w:pPr>
        <w:ind w:right="480" w:firstLine="745"/>
        <w:spacing w:after="0" w:line="272" w:lineRule="auto"/>
        <w:rPr>
          <w:sz w:val="20"/>
          <w:szCs w:val="20"/>
          <w:color w:val="auto"/>
        </w:rPr>
      </w:pPr>
      <w:r>
        <w:rPr>
          <w:rFonts w:ascii="Arial" w:cs="Arial" w:eastAsia="Arial" w:hAnsi="Arial"/>
          <w:sz w:val="14"/>
          <w:szCs w:val="14"/>
          <w:color w:val="auto"/>
        </w:rPr>
        <w:t>The bond hedge and warrant transactions effectively increased the conversion price associated with the Convertible Senior Notes during the term of these transactions from 35%, or $44.86, to 100%, or $66.46, at their issuance, thereby reducing the dilutive economic effect to shareholders upon actual conversion.</w:t>
      </w:r>
    </w:p>
    <w:p>
      <w:pPr>
        <w:spacing w:after="0" w:line="145" w:lineRule="exact"/>
        <w:rPr>
          <w:sz w:val="20"/>
          <w:szCs w:val="20"/>
          <w:color w:val="auto"/>
        </w:rPr>
      </w:pPr>
    </w:p>
    <w:p>
      <w:pPr>
        <w:ind w:right="100" w:firstLine="745"/>
        <w:spacing w:after="0" w:line="239" w:lineRule="auto"/>
        <w:rPr>
          <w:sz w:val="20"/>
          <w:szCs w:val="20"/>
          <w:color w:val="auto"/>
        </w:rPr>
      </w:pPr>
      <w:r>
        <w:rPr>
          <w:rFonts w:ascii="Arial" w:cs="Arial" w:eastAsia="Arial" w:hAnsi="Arial"/>
          <w:sz w:val="15"/>
          <w:szCs w:val="15"/>
          <w:color w:val="auto"/>
        </w:rPr>
        <w:t>The bond hedges and warrants are indexed to, and potentially settled in, shares of the Company’s common stock. The net cost of $41.2 million for the purchase of the bond hedges and sale of the warrants was recorded as a reduction to additional paid-in capital in the consolidated balance sheets.</w:t>
      </w:r>
    </w:p>
    <w:p>
      <w:pPr>
        <w:spacing w:after="0" w:line="166" w:lineRule="exact"/>
        <w:rPr>
          <w:sz w:val="20"/>
          <w:szCs w:val="20"/>
          <w:color w:val="auto"/>
        </w:rPr>
      </w:pPr>
    </w:p>
    <w:p>
      <w:pPr>
        <w:ind w:right="140" w:firstLine="591"/>
        <w:spacing w:after="0" w:line="236" w:lineRule="auto"/>
        <w:rPr>
          <w:sz w:val="20"/>
          <w:szCs w:val="20"/>
          <w:color w:val="auto"/>
        </w:rPr>
      </w:pPr>
      <w:r>
        <w:rPr>
          <w:rFonts w:ascii="Arial" w:cs="Arial" w:eastAsia="Arial" w:hAnsi="Arial"/>
          <w:sz w:val="15"/>
          <w:szCs w:val="15"/>
          <w:color w:val="auto"/>
        </w:rPr>
        <w:t>At issuance, the Company recorded a deferred tax liability of $ 16.2 million related to the Convertible Senior Notes debt discount and a deferred tax asset of $16.5 million related to the convertible note hedge transactions. The deferred tax liability and deferred tax asset are included net in “Deferred tax assets” on the consolidated balance sheets</w:t>
      </w:r>
    </w:p>
    <w:p>
      <w:pPr>
        <w:spacing w:after="0" w:line="238" w:lineRule="exact"/>
        <w:rPr>
          <w:sz w:val="20"/>
          <w:szCs w:val="20"/>
          <w:color w:val="auto"/>
        </w:rPr>
      </w:pPr>
    </w:p>
    <w:p>
      <w:pPr>
        <w:ind w:left="600" w:hanging="591"/>
        <w:spacing w:after="0"/>
        <w:tabs>
          <w:tab w:leader="none" w:pos="600" w:val="left"/>
        </w:tabs>
        <w:numPr>
          <w:ilvl w:val="0"/>
          <w:numId w:val="61"/>
        </w:numPr>
        <w:rPr>
          <w:rFonts w:ascii="Arial" w:cs="Arial" w:eastAsia="Arial" w:hAnsi="Arial"/>
          <w:sz w:val="15"/>
          <w:szCs w:val="15"/>
          <w:b w:val="1"/>
          <w:bCs w:val="1"/>
          <w:color w:val="auto"/>
        </w:rPr>
      </w:pPr>
      <w:r>
        <w:rPr>
          <w:rFonts w:ascii="Arial" w:cs="Arial" w:eastAsia="Arial" w:hAnsi="Arial"/>
          <w:sz w:val="15"/>
          <w:szCs w:val="15"/>
          <w:b w:val="1"/>
          <w:bCs w:val="1"/>
          <w:color w:val="auto"/>
        </w:rPr>
        <w:t>Other Long-term Liabilities</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Other long-term liabilities consisted of the following at December 31, 2020 and December 31, 2019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Self-insurance liability</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92,778</w:t>
            </w:r>
          </w:p>
        </w:tc>
        <w:tc>
          <w:tcPr>
            <w:tcW w:w="66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102,521</w:t>
            </w:r>
          </w:p>
        </w:tc>
        <w:tc>
          <w:tcPr>
            <w:tcW w:w="120" w:type="dxa"/>
            <w:vAlign w:val="bottom"/>
            <w:shd w:val="clear" w:color="auto" w:fill="CFF0FC"/>
          </w:tcPr>
          <w:p>
            <w:pPr>
              <w:spacing w:after="0"/>
              <w:rPr>
                <w:sz w:val="14"/>
                <w:szCs w:val="14"/>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Reserve for uncertain tax positions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16,951</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14,427</w:t>
            </w:r>
          </w:p>
        </w:tc>
        <w:tc>
          <w:tcPr>
            <w:tcW w:w="120" w:type="dxa"/>
            <w:vAlign w:val="bottom"/>
          </w:tcPr>
          <w:p>
            <w:pPr>
              <w:spacing w:after="0"/>
              <w:rPr>
                <w:sz w:val="15"/>
                <w:szCs w:val="15"/>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Finance lease obligations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1,733</w:t>
            </w:r>
          </w:p>
        </w:tc>
        <w:tc>
          <w:tcPr>
            <w:tcW w:w="3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1,202</w:t>
            </w:r>
          </w:p>
        </w:tc>
        <w:tc>
          <w:tcPr>
            <w:tcW w:w="120" w:type="dxa"/>
            <w:vAlign w:val="bottom"/>
            <w:shd w:val="clear" w:color="auto" w:fill="CFF0FC"/>
          </w:tcPr>
          <w:p>
            <w:pPr>
              <w:spacing w:after="0"/>
              <w:rPr>
                <w:sz w:val="15"/>
                <w:szCs w:val="15"/>
                <w:color w:val="auto"/>
              </w:rPr>
            </w:pPr>
          </w:p>
        </w:tc>
      </w:tr>
      <w:tr>
        <w:trPr>
          <w:trHeight w:val="177"/>
        </w:trPr>
        <w:tc>
          <w:tcPr>
            <w:tcW w:w="77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long-term liabilities</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20,838</w:t>
            </w:r>
          </w:p>
        </w:tc>
        <w:tc>
          <w:tcPr>
            <w:tcW w:w="3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7,554</w:t>
            </w:r>
          </w:p>
        </w:tc>
        <w:tc>
          <w:tcPr>
            <w:tcW w:w="120" w:type="dxa"/>
            <w:vAlign w:val="bottom"/>
            <w:tcBorders>
              <w:bottom w:val="single" w:sz="8" w:color="CFF0FC"/>
            </w:tcBorders>
          </w:tcPr>
          <w:p>
            <w:pPr>
              <w:spacing w:after="0"/>
              <w:rPr>
                <w:sz w:val="15"/>
                <w:szCs w:val="15"/>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other long-term liabilities</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132,300</w:t>
            </w:r>
          </w:p>
        </w:tc>
        <w:tc>
          <w:tcPr>
            <w:tcW w:w="66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125,704</w:t>
            </w:r>
          </w:p>
        </w:tc>
        <w:tc>
          <w:tcPr>
            <w:tcW w:w="120" w:type="dxa"/>
            <w:vAlign w:val="bottom"/>
            <w:shd w:val="clear" w:color="auto" w:fill="CFF0FC"/>
          </w:tcPr>
          <w:p>
            <w:pPr>
              <w:spacing w:after="0"/>
              <w:rPr>
                <w:sz w:val="14"/>
                <w:szCs w:val="14"/>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Refer to “Note 14—</w:t>
      </w:r>
      <w:r>
        <w:rPr>
          <w:rFonts w:ascii="Arial" w:cs="Arial" w:eastAsia="Arial" w:hAnsi="Arial"/>
          <w:sz w:val="15"/>
          <w:szCs w:val="15"/>
          <w:i w:val="1"/>
          <w:iCs w:val="1"/>
          <w:color w:val="auto"/>
        </w:rPr>
        <w:t>Income Taxes</w:t>
      </w:r>
      <w:r>
        <w:rPr>
          <w:rFonts w:ascii="Arial" w:cs="Arial" w:eastAsia="Arial" w:hAnsi="Arial"/>
          <w:sz w:val="15"/>
          <w:szCs w:val="15"/>
          <w:color w:val="auto"/>
        </w:rPr>
        <w:t>” for further discussion of the Company’s reconciliation of the beginning and ending balances of uncertain tax positions.</w:t>
      </w:r>
    </w:p>
    <w:p>
      <w:pPr>
        <w:spacing w:after="0" w:line="258" w:lineRule="exact"/>
        <w:rPr>
          <w:sz w:val="20"/>
          <w:szCs w:val="20"/>
          <w:color w:val="auto"/>
        </w:rPr>
      </w:pPr>
    </w:p>
    <w:p>
      <w:pPr>
        <w:ind w:left="600" w:hanging="591"/>
        <w:spacing w:after="0"/>
        <w:tabs>
          <w:tab w:leader="none" w:pos="60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100" w:lineRule="exact"/>
        <w:rPr>
          <w:sz w:val="20"/>
          <w:szCs w:val="20"/>
          <w:color w:val="auto"/>
        </w:rPr>
      </w:pPr>
    </w:p>
    <w:p>
      <w:pPr>
        <w:ind w:right="140" w:firstLine="787"/>
        <w:spacing w:after="0" w:line="258" w:lineRule="auto"/>
        <w:rPr>
          <w:sz w:val="20"/>
          <w:szCs w:val="20"/>
          <w:color w:val="auto"/>
        </w:rPr>
      </w:pPr>
      <w:r>
        <w:rPr>
          <w:rFonts w:ascii="Arial" w:cs="Arial" w:eastAsia="Arial" w:hAnsi="Arial"/>
          <w:sz w:val="14"/>
          <w:szCs w:val="14"/>
          <w:color w:val="auto"/>
        </w:rPr>
        <w:t>Historically, the Company had elected to be taxed under the provisions of Subchapter “S” of the Internal Revenue Code for federal tax purposes. As a result, income was not subject to U.S. federal income taxes or state income taxes in those states where the “S” Corporation status is recognized. Therefore, previously, no provision or liability for federal or state income tax had been provided in the consolidated financial statements except for those states where the “S” Corporation status was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not recognized, or where states imposed a tax on “S” Corporations. The provision for income tax in the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historical periods prior to the IPO consists of these state taxes and taxes from certain foreign jurisdictions where the Company is subject to tax.</w:t>
      </w:r>
    </w:p>
    <w:p>
      <w:pPr>
        <w:spacing w:after="0" w:line="171"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In connection with the Company’s IPO on May 8, 2019, the “S” Corporation status was terminated, and the Company is now treated as a “C” Corporation under the Internal Revenue Code. The termination of the “S” Corporation status was treated as a change in tax status under Accounting Standards Codification 740, Income Taxes. These rules require that the deferred tax effects of a change in tax status to be recorded to income from continuing operations on the date the “S” Corporation status terminates. The termination of the “S” Corporation election has had a material impact on the Company’s results of operations, financial condition, and cash flows as reflected in the December 31, 2020 and December 31, 2019 consolidated financial statements. Income tax expense decreased in 2019 primarily due to a tax benefit recorded for the revaluation of our deferred tax assets and liabilities as a result of our conversion from “S” Corporation to a “C” Corporation. The effective tax rate has increased, and net income has decreased as compared to the Company’s “S” Corporation tax years, since the Company is now subject to both U.S. federal and state corporate income taxes on its earnings.</w:t>
      </w:r>
    </w:p>
    <w:p>
      <w:pPr>
        <w:spacing w:after="0" w:line="168" w:lineRule="exact"/>
        <w:rPr>
          <w:sz w:val="20"/>
          <w:szCs w:val="20"/>
          <w:color w:val="auto"/>
        </w:rPr>
      </w:pPr>
    </w:p>
    <w:p>
      <w:pPr>
        <w:ind w:right="60" w:firstLine="745"/>
        <w:spacing w:after="0" w:line="233" w:lineRule="auto"/>
        <w:rPr>
          <w:sz w:val="20"/>
          <w:szCs w:val="20"/>
          <w:color w:val="auto"/>
        </w:rPr>
      </w:pPr>
      <w:r>
        <w:rPr>
          <w:rFonts w:ascii="Arial" w:cs="Arial" w:eastAsia="Arial" w:hAnsi="Arial"/>
          <w:sz w:val="15"/>
          <w:szCs w:val="15"/>
          <w:color w:val="auto"/>
        </w:rPr>
        <w:t>On March 27, 2020, the Coronavirus Aid, Relief, and Economic Security Act (“CARES Act”) was enacted in response to the COVID-19 pandemic. The CARES Act, among other things, permits Net Operating Loss (“NOL“) carryovers to offset 100% of taxable income for tax years beginning before 2021. In addition, the CARES Act allows NOLs incurred in 2018, 2019, and 2020 to be carried back to each of the five preceding tax years to generate a refund of previously paid income taxes. The CARES Act contains modifications on the limitation of business interest for tax years beginning in 2019 and 2020. The modifications to Section 163(j) increase the allowable business interest deduction from 30% of adjusted taxable income to 50% of adjusted taxable income. The CARES Act also accelerates the refund of alternative minimum tax (“AMT”) credits that were previously accumulated. The Company does not expect that the modifications on the limitation of business interest or AMT credits would have any impact to the Company. Under the NOL carryback provision, the Company carried back some of its NOLs claiming a tax refund of $3.9 million relating to certain amounts associated with the acquisition of OGSystems which are subject to certain shareholders’ claims.</w:t>
      </w:r>
    </w:p>
    <w:p>
      <w:pPr>
        <w:spacing w:after="0" w:line="168" w:lineRule="exact"/>
        <w:rPr>
          <w:sz w:val="20"/>
          <w:szCs w:val="20"/>
          <w:color w:val="auto"/>
        </w:rPr>
      </w:pPr>
    </w:p>
    <w:p>
      <w:pPr>
        <w:ind w:right="60" w:firstLine="745"/>
        <w:spacing w:after="0" w:line="232" w:lineRule="auto"/>
        <w:rPr>
          <w:sz w:val="20"/>
          <w:szCs w:val="20"/>
          <w:color w:val="auto"/>
        </w:rPr>
      </w:pPr>
      <w:r>
        <w:rPr>
          <w:rFonts w:ascii="Arial" w:cs="Arial" w:eastAsia="Arial" w:hAnsi="Arial"/>
          <w:sz w:val="15"/>
          <w:szCs w:val="15"/>
          <w:color w:val="auto"/>
        </w:rPr>
        <w:t>On July 9, 2020, the U.S. Treasury Department issued final tax regulations related to the foreign-derived intangible income (“FDII”) and global intangible low-taxed income (“GILTI”) provisions. Also, on July 20, 2020 the U.S. Treasury Department released final tax regulations permitting a taxpayer to elect to exclude from its GILTI inclusion items of income subject to a high effective rate of foreign tax. Additionally, on August 21, 2020, the U.S. Treasury Department finalized anti-abuse regulations limiting deductions of foreign-source dividends. Separately, on September 2, 2020, the U.S. Treasury Department finalized regulations on the base erosion anti-abuse tax under IRC Section 59A. The U.S. Treasury Department also finalized a second set of regulations on the allowance for the additional first-year depreciation deduction under IRC Section 168(k) on September 16, 2020, as amended by the Tax Cuts and Jobs Act (“TCJA”), for qualified property acquired and placed in service after September 27, 2017. Further, on September 29, 2020, the U.S. Treasury Department issued final tax regulations addressing various aspects of the foreign tax credit regime. Lastly, on December 21, 2020, the U.S. Treasury Department released final regulations addressing the timing of income recognition for accrual method taxpayers under IRC Sections 451(b) and 451(c), as amended by the 2017 TCJA. The Company is currently assessing the impact of the new regulations to its consolidated financial statements but does not expect a material change of its income tax expense due to the new regulations.</w:t>
      </w:r>
    </w:p>
    <w:p>
      <w:pPr>
        <w:spacing w:after="0" w:line="26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the components of our income from continuing operations before income taxes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00" w:type="dxa"/>
            <w:vAlign w:val="bottom"/>
            <w:tcBorders>
              <w:bottom w:val="single" w:sz="8" w:color="CFF0FC"/>
            </w:tcBorders>
          </w:tcPr>
          <w:p>
            <w:pPr>
              <w:spacing w:after="0"/>
              <w:rPr>
                <w:sz w:val="12"/>
                <w:szCs w:val="12"/>
                <w:color w:val="auto"/>
              </w:rPr>
            </w:pPr>
          </w:p>
        </w:tc>
        <w:tc>
          <w:tcPr>
            <w:tcW w:w="31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68"/>
        </w:trPr>
        <w:tc>
          <w:tcPr>
            <w:tcW w:w="35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United States earnings</w:t>
            </w:r>
          </w:p>
        </w:tc>
        <w:tc>
          <w:tcPr>
            <w:tcW w:w="34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64,810</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6,762</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205,418</w:t>
            </w:r>
          </w:p>
        </w:tc>
        <w:tc>
          <w:tcPr>
            <w:tcW w:w="120" w:type="dxa"/>
            <w:vAlign w:val="bottom"/>
            <w:shd w:val="clear" w:color="auto" w:fill="CFF0FC"/>
          </w:tcPr>
          <w:p>
            <w:pPr>
              <w:spacing w:after="0"/>
              <w:rPr>
                <w:sz w:val="14"/>
                <w:szCs w:val="14"/>
                <w:color w:val="auto"/>
              </w:rPr>
            </w:pPr>
          </w:p>
        </w:tc>
      </w:tr>
      <w:tr>
        <w:trPr>
          <w:trHeight w:val="177"/>
        </w:trPr>
        <w:tc>
          <w:tcPr>
            <w:tcW w:w="35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Foreign earnings</w:t>
            </w:r>
          </w:p>
        </w:tc>
        <w:tc>
          <w:tcPr>
            <w:tcW w:w="316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96,603</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60,480</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54,385</w:t>
            </w:r>
          </w:p>
        </w:tc>
        <w:tc>
          <w:tcPr>
            <w:tcW w:w="120" w:type="dxa"/>
            <w:vAlign w:val="bottom"/>
            <w:tcBorders>
              <w:bottom w:val="single" w:sz="8" w:color="CFF0FC"/>
            </w:tcBorders>
          </w:tcPr>
          <w:p>
            <w:pPr>
              <w:spacing w:after="0"/>
              <w:rPr>
                <w:sz w:val="15"/>
                <w:szCs w:val="15"/>
                <w:color w:val="auto"/>
              </w:rPr>
            </w:pPr>
          </w:p>
        </w:tc>
      </w:tr>
      <w:tr>
        <w:trPr>
          <w:trHeight w:val="168"/>
        </w:trPr>
        <w:tc>
          <w:tcPr>
            <w:tcW w:w="3500" w:type="dxa"/>
            <w:vAlign w:val="bottom"/>
            <w:shd w:val="clear" w:color="auto" w:fill="CFF0FC"/>
          </w:tcPr>
          <w:p>
            <w:pPr>
              <w:spacing w:after="0"/>
              <w:rPr>
                <w:sz w:val="14"/>
                <w:szCs w:val="14"/>
                <w:color w:val="auto"/>
              </w:rPr>
            </w:pPr>
          </w:p>
        </w:tc>
        <w:tc>
          <w:tcPr>
            <w:tcW w:w="34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161,413</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67,242</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259,803</w:t>
            </w:r>
          </w:p>
        </w:tc>
        <w:tc>
          <w:tcPr>
            <w:tcW w:w="120" w:type="dxa"/>
            <w:vAlign w:val="bottom"/>
            <w:shd w:val="clear" w:color="auto" w:fill="CFF0FC"/>
          </w:tcPr>
          <w:p>
            <w:pPr>
              <w:spacing w:after="0"/>
              <w:rPr>
                <w:sz w:val="14"/>
                <w:szCs w:val="14"/>
                <w:color w:val="auto"/>
              </w:rPr>
            </w:pPr>
          </w:p>
        </w:tc>
      </w:tr>
      <w:tr>
        <w:trPr>
          <w:trHeight w:val="20"/>
        </w:trPr>
        <w:tc>
          <w:tcPr>
            <w:tcW w:w="3500" w:type="dxa"/>
            <w:vAlign w:val="bottom"/>
            <w:tcBorders>
              <w:top w:val="single" w:sz="8" w:color="CFF0FC"/>
            </w:tcBorders>
          </w:tcPr>
          <w:p>
            <w:pPr>
              <w:spacing w:after="0" w:line="20" w:lineRule="exact"/>
              <w:rPr>
                <w:sz w:val="1"/>
                <w:szCs w:val="1"/>
                <w:color w:val="auto"/>
              </w:rPr>
            </w:pPr>
          </w:p>
        </w:tc>
        <w:tc>
          <w:tcPr>
            <w:tcW w:w="31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527"/>
        </w:trPr>
        <w:tc>
          <w:tcPr>
            <w:tcW w:w="3500" w:type="dxa"/>
            <w:vAlign w:val="bottom"/>
          </w:tcPr>
          <w:p>
            <w:pPr>
              <w:spacing w:after="0"/>
              <w:rPr>
                <w:sz w:val="24"/>
                <w:szCs w:val="24"/>
                <w:color w:val="auto"/>
              </w:rPr>
            </w:pPr>
          </w:p>
        </w:tc>
        <w:tc>
          <w:tcPr>
            <w:tcW w:w="3480" w:type="dxa"/>
            <w:vAlign w:val="bottom"/>
            <w:gridSpan w:val="2"/>
          </w:tcPr>
          <w:p>
            <w:pPr>
              <w:jc w:val="right"/>
              <w:ind w:right="1180"/>
              <w:spacing w:after="0"/>
              <w:rPr>
                <w:sz w:val="20"/>
                <w:szCs w:val="20"/>
                <w:color w:val="auto"/>
              </w:rPr>
            </w:pPr>
            <w:r>
              <w:rPr>
                <w:rFonts w:ascii="Arial" w:cs="Arial" w:eastAsia="Arial" w:hAnsi="Arial"/>
                <w:sz w:val="15"/>
                <w:szCs w:val="15"/>
                <w:color w:val="auto"/>
              </w:rPr>
              <w:t>F-43</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3500" w:type="dxa"/>
            <w:vAlign w:val="bottom"/>
            <w:tcBorders>
              <w:bottom w:val="single" w:sz="8" w:color="9A9A9A"/>
            </w:tcBorders>
          </w:tcPr>
          <w:p>
            <w:pPr>
              <w:spacing w:after="0"/>
              <w:rPr>
                <w:sz w:val="6"/>
                <w:szCs w:val="6"/>
                <w:color w:val="auto"/>
              </w:rPr>
            </w:pPr>
          </w:p>
        </w:tc>
        <w:tc>
          <w:tcPr>
            <w:tcW w:w="316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income tax expense (benefit) attributable to income from continuing operations for the years ended December 31, 2020, December 31, 2019 and</w:t>
      </w:r>
    </w:p>
    <w:p>
      <w:pPr>
        <w:spacing w:after="0"/>
        <w:rPr>
          <w:sz w:val="20"/>
          <w:szCs w:val="20"/>
          <w:color w:val="auto"/>
        </w:rPr>
      </w:pPr>
      <w:r>
        <w:rPr>
          <w:rFonts w:ascii="Arial" w:cs="Arial" w:eastAsia="Arial" w:hAnsi="Arial"/>
          <w:sz w:val="15"/>
          <w:szCs w:val="15"/>
          <w:color w:val="auto"/>
        </w:rPr>
        <w:t>December 31, 2018 consists of the following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Current</w:t>
            </w:r>
          </w:p>
        </w:tc>
        <w:tc>
          <w:tcPr>
            <w:tcW w:w="8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Federal</w:t>
            </w:r>
          </w:p>
        </w:tc>
        <w:tc>
          <w:tcPr>
            <w:tcW w:w="820" w:type="dxa"/>
            <w:vAlign w:val="bottom"/>
          </w:tcPr>
          <w:p>
            <w:pPr>
              <w:jc w:val="right"/>
              <w:ind w:right="651"/>
              <w:spacing w:after="0"/>
              <w:rPr>
                <w:sz w:val="20"/>
                <w:szCs w:val="20"/>
                <w:color w:val="auto"/>
              </w:rPr>
            </w:pPr>
            <w:r>
              <w:rPr>
                <w:rFonts w:ascii="Arial" w:cs="Arial" w:eastAsia="Arial" w:hAnsi="Arial"/>
                <w:sz w:val="15"/>
                <w:szCs w:val="15"/>
                <w:color w:val="auto"/>
                <w:w w:val="95"/>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15,663</w:t>
            </w:r>
          </w:p>
        </w:tc>
        <w:tc>
          <w:tcPr>
            <w:tcW w:w="1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22,865</w:t>
            </w:r>
          </w:p>
        </w:tc>
        <w:tc>
          <w:tcPr>
            <w:tcW w:w="16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State</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9,024</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10,428</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1,536</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Foreign</w:t>
            </w:r>
          </w:p>
        </w:tc>
        <w:tc>
          <w:tcPr>
            <w:tcW w:w="8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16,534</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20,159</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20,253</w:t>
            </w:r>
          </w:p>
        </w:tc>
        <w:tc>
          <w:tcPr>
            <w:tcW w:w="120" w:type="dxa"/>
            <w:vAlign w:val="bottom"/>
            <w:tcBorders>
              <w:bottom w:val="single" w:sz="8" w:color="CFF0FC"/>
            </w:tcBorders>
          </w:tcPr>
          <w:p>
            <w:pPr>
              <w:spacing w:after="0"/>
              <w:rPr>
                <w:sz w:val="15"/>
                <w:szCs w:val="15"/>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current income tax expense</w:t>
            </w:r>
          </w:p>
        </w:tc>
        <w:tc>
          <w:tcPr>
            <w:tcW w:w="8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41,221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53,452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21,789</w:t>
            </w:r>
          </w:p>
        </w:tc>
        <w:tc>
          <w:tcPr>
            <w:tcW w:w="120" w:type="dxa"/>
            <w:vAlign w:val="bottom"/>
            <w:shd w:val="clear" w:color="auto" w:fill="CFF0FC"/>
          </w:tcPr>
          <w:p>
            <w:pPr>
              <w:spacing w:after="0"/>
              <w:rPr>
                <w:sz w:val="14"/>
                <w:szCs w:val="14"/>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b w:val="1"/>
                <w:bCs w:val="1"/>
                <w:color w:val="auto"/>
              </w:rPr>
              <w:t>Deferred</w:t>
            </w: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Federal</w:t>
            </w:r>
          </w:p>
        </w:tc>
        <w:tc>
          <w:tcPr>
            <w:tcW w:w="8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(186)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(97,299)</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State</w:t>
            </w:r>
          </w:p>
        </w:tc>
        <w:tc>
          <w:tcPr>
            <w:tcW w:w="8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(1,785)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(27,432)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2,329</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Foreign</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3,242</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1,393</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(3,751)</w:t>
            </w:r>
          </w:p>
        </w:tc>
      </w:tr>
      <w:tr>
        <w:trPr>
          <w:trHeight w:val="20"/>
        </w:trPr>
        <w:tc>
          <w:tcPr>
            <w:tcW w:w="6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8"/>
        </w:trPr>
        <w:tc>
          <w:tcPr>
            <w:tcW w:w="6660" w:type="dxa"/>
            <w:vAlign w:val="bottom"/>
          </w:tcPr>
          <w:p>
            <w:pPr>
              <w:ind w:left="220"/>
              <w:spacing w:after="0" w:line="169" w:lineRule="exact"/>
              <w:rPr>
                <w:sz w:val="20"/>
                <w:szCs w:val="20"/>
                <w:color w:val="auto"/>
              </w:rPr>
            </w:pPr>
            <w:r>
              <w:rPr>
                <w:rFonts w:ascii="Arial" w:cs="Arial" w:eastAsia="Arial" w:hAnsi="Arial"/>
                <w:sz w:val="15"/>
                <w:szCs w:val="15"/>
                <w:color w:val="auto"/>
              </w:rPr>
              <w:t>Total deferred tax expense (benefit)</w:t>
            </w:r>
          </w:p>
        </w:tc>
        <w:tc>
          <w:tcPr>
            <w:tcW w:w="82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5"/>
                <w:szCs w:val="15"/>
                <w:color w:val="auto"/>
              </w:rPr>
              <w:t>1,271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(123,338)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(1,422)</w:t>
            </w:r>
          </w:p>
        </w:tc>
      </w:tr>
      <w:tr>
        <w:trPr>
          <w:trHeight w:val="20"/>
        </w:trPr>
        <w:tc>
          <w:tcPr>
            <w:tcW w:w="66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68"/>
        </w:trPr>
        <w:tc>
          <w:tcPr>
            <w:tcW w:w="66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income tax expense (benefit)</w:t>
            </w:r>
          </w:p>
        </w:tc>
        <w:tc>
          <w:tcPr>
            <w:tcW w:w="820" w:type="dxa"/>
            <w:vAlign w:val="bottom"/>
            <w:shd w:val="clear" w:color="auto" w:fill="CFF0FC"/>
          </w:tcPr>
          <w:p>
            <w:pPr>
              <w:jc w:val="right"/>
              <w:ind w:right="651"/>
              <w:spacing w:after="0" w:line="169" w:lineRule="exact"/>
              <w:rPr>
                <w:sz w:val="20"/>
                <w:szCs w:val="20"/>
                <w:color w:val="auto"/>
              </w:rPr>
            </w:pPr>
            <w:r>
              <w:rPr>
                <w:rFonts w:ascii="Arial" w:cs="Arial" w:eastAsia="Arial" w:hAnsi="Arial"/>
                <w:sz w:val="15"/>
                <w:szCs w:val="15"/>
                <w:color w:val="auto"/>
                <w:w w:val="95"/>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42,492</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180" w:type="dxa"/>
            <w:vAlign w:val="bottom"/>
            <w:gridSpan w:val="2"/>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(69,886)</w:t>
            </w: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20,367</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9" w:lineRule="exact"/>
        <w:rPr>
          <w:sz w:val="20"/>
          <w:szCs w:val="20"/>
          <w:color w:val="auto"/>
        </w:rPr>
      </w:pPr>
    </w:p>
    <w:p>
      <w:pPr>
        <w:ind w:right="500" w:firstLine="591"/>
        <w:spacing w:after="0" w:line="239" w:lineRule="auto"/>
        <w:rPr>
          <w:sz w:val="20"/>
          <w:szCs w:val="20"/>
          <w:color w:val="auto"/>
        </w:rPr>
      </w:pPr>
      <w:r>
        <w:rPr>
          <w:rFonts w:ascii="Arial" w:cs="Arial" w:eastAsia="Arial" w:hAnsi="Arial"/>
          <w:sz w:val="15"/>
          <w:szCs w:val="15"/>
          <w:color w:val="auto"/>
        </w:rPr>
        <w:t>Income tax expense (benefit) was different from the amount computed by applying the United States federal statutory rate to pre-tax income from continuing operations as a result of the following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74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2020</w:t>
            </w:r>
          </w:p>
        </w:tc>
        <w:tc>
          <w:tcPr>
            <w:tcW w:w="58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rPr>
              <w:t>2019</w:t>
            </w:r>
          </w:p>
        </w:tc>
        <w:tc>
          <w:tcPr>
            <w:tcW w:w="58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r>
      <w:tr>
        <w:trPr>
          <w:trHeight w:val="168"/>
        </w:trPr>
        <w:tc>
          <w:tcPr>
            <w:tcW w:w="37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Income before income tax expense (benefit)</w:t>
            </w:r>
          </w:p>
        </w:tc>
        <w:tc>
          <w:tcPr>
            <w:tcW w:w="1060" w:type="dxa"/>
            <w:vAlign w:val="bottom"/>
            <w:gridSpan w:val="2"/>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161,413</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67,242</w:t>
            </w: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80" w:type="dxa"/>
            <w:vAlign w:val="bottom"/>
            <w:gridSpan w:val="3"/>
            <w:shd w:val="clear" w:color="auto" w:fill="CFF0FC"/>
          </w:tcPr>
          <w:p>
            <w:pPr>
              <w:jc w:val="right"/>
              <w:ind w:right="120"/>
              <w:spacing w:after="0" w:line="169" w:lineRule="exact"/>
              <w:rPr>
                <w:sz w:val="20"/>
                <w:szCs w:val="20"/>
                <w:color w:val="auto"/>
              </w:rPr>
            </w:pPr>
            <w:r>
              <w:rPr>
                <w:rFonts w:ascii="Arial" w:cs="Arial" w:eastAsia="Arial" w:hAnsi="Arial"/>
                <w:sz w:val="15"/>
                <w:szCs w:val="15"/>
                <w:color w:val="auto"/>
              </w:rPr>
              <w:t>$</w:t>
            </w:r>
          </w:p>
        </w:tc>
        <w:tc>
          <w:tcPr>
            <w:tcW w:w="6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259,803</w:t>
            </w:r>
          </w:p>
        </w:tc>
        <w:tc>
          <w:tcPr>
            <w:tcW w:w="2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r>
      <w:tr>
        <w:trPr>
          <w:trHeight w:val="177"/>
        </w:trPr>
        <w:tc>
          <w:tcPr>
            <w:tcW w:w="3740" w:type="dxa"/>
            <w:vAlign w:val="bottom"/>
          </w:tcPr>
          <w:p>
            <w:pPr>
              <w:spacing w:after="0"/>
              <w:rPr>
                <w:sz w:val="20"/>
                <w:szCs w:val="20"/>
                <w:color w:val="auto"/>
              </w:rPr>
            </w:pPr>
            <w:r>
              <w:rPr>
                <w:rFonts w:ascii="Arial" w:cs="Arial" w:eastAsia="Arial" w:hAnsi="Arial"/>
                <w:sz w:val="15"/>
                <w:szCs w:val="15"/>
                <w:color w:val="auto"/>
              </w:rPr>
              <w:t>Tax at federal statutory tax rate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33,897</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21.0%</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14,121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21%</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54,559</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21%</w:t>
            </w:r>
          </w:p>
        </w:tc>
      </w:tr>
      <w:tr>
        <w:trPr>
          <w:trHeight w:val="177"/>
        </w:trPr>
        <w:tc>
          <w:tcPr>
            <w:tcW w:w="3740" w:type="dxa"/>
            <w:vAlign w:val="bottom"/>
            <w:shd w:val="clear" w:color="auto" w:fill="CFF0FC"/>
          </w:tcPr>
          <w:p>
            <w:pPr>
              <w:spacing w:after="0"/>
              <w:rPr>
                <w:sz w:val="20"/>
                <w:szCs w:val="20"/>
                <w:color w:val="auto"/>
              </w:rPr>
            </w:pPr>
            <w:r>
              <w:rPr>
                <w:rFonts w:ascii="Arial" w:cs="Arial" w:eastAsia="Arial" w:hAnsi="Arial"/>
                <w:sz w:val="15"/>
                <w:szCs w:val="15"/>
                <w:color w:val="auto"/>
              </w:rPr>
              <w:t>S- corporation exclusion</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jc w:val="right"/>
              <w:ind w:right="52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0.0%</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(4,875)</w:t>
            </w: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(7)%</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(39,539)</w:t>
            </w:r>
          </w:p>
        </w:tc>
        <w:tc>
          <w:tcPr>
            <w:tcW w:w="3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(15)%</w:t>
            </w:r>
          </w:p>
        </w:tc>
      </w:tr>
      <w:tr>
        <w:trPr>
          <w:trHeight w:val="177"/>
        </w:trPr>
        <w:tc>
          <w:tcPr>
            <w:tcW w:w="3740" w:type="dxa"/>
            <w:vAlign w:val="bottom"/>
          </w:tcPr>
          <w:p>
            <w:pPr>
              <w:spacing w:after="0"/>
              <w:rPr>
                <w:sz w:val="20"/>
                <w:szCs w:val="20"/>
                <w:color w:val="auto"/>
              </w:rPr>
            </w:pPr>
            <w:r>
              <w:rPr>
                <w:rFonts w:ascii="Arial" w:cs="Arial" w:eastAsia="Arial" w:hAnsi="Arial"/>
                <w:sz w:val="15"/>
                <w:szCs w:val="15"/>
                <w:color w:val="auto"/>
              </w:rPr>
              <w:t>State taxes, net of federal tax benefit</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4,838</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3.0%</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3,223</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5%</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3,865</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r>
      <w:tr>
        <w:trPr>
          <w:trHeight w:val="177"/>
        </w:trPr>
        <w:tc>
          <w:tcPr>
            <w:tcW w:w="3740" w:type="dxa"/>
            <w:vAlign w:val="bottom"/>
            <w:shd w:val="clear" w:color="auto" w:fill="CFF0FC"/>
          </w:tcPr>
          <w:p>
            <w:pPr>
              <w:spacing w:after="0"/>
              <w:rPr>
                <w:sz w:val="20"/>
                <w:szCs w:val="20"/>
                <w:color w:val="auto"/>
              </w:rPr>
            </w:pPr>
            <w:r>
              <w:rPr>
                <w:rFonts w:ascii="Arial" w:cs="Arial" w:eastAsia="Arial" w:hAnsi="Arial"/>
                <w:sz w:val="15"/>
                <w:szCs w:val="15"/>
                <w:color w:val="auto"/>
              </w:rPr>
              <w:t>Change in tax status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3,897</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2.4%</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(93,878)</w:t>
            </w: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(140)%</w:t>
            </w:r>
          </w:p>
        </w:tc>
        <w:tc>
          <w:tcPr>
            <w:tcW w:w="2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r>
      <w:tr>
        <w:trPr>
          <w:trHeight w:val="177"/>
        </w:trPr>
        <w:tc>
          <w:tcPr>
            <w:tcW w:w="374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6,850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4.2%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4,502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5"/>
                <w:szCs w:val="15"/>
                <w:color w:val="auto"/>
              </w:rPr>
              <w:t>(2,215)</w:t>
            </w:r>
          </w:p>
        </w:tc>
        <w:tc>
          <w:tcPr>
            <w:tcW w:w="34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177"/>
        </w:trPr>
        <w:tc>
          <w:tcPr>
            <w:tcW w:w="3740" w:type="dxa"/>
            <w:vAlign w:val="bottom"/>
            <w:shd w:val="clear" w:color="auto" w:fill="CFF0FC"/>
          </w:tcPr>
          <w:p>
            <w:pPr>
              <w:spacing w:after="0"/>
              <w:rPr>
                <w:sz w:val="20"/>
                <w:szCs w:val="20"/>
                <w:color w:val="auto"/>
              </w:rPr>
            </w:pPr>
            <w:r>
              <w:rPr>
                <w:rFonts w:ascii="Arial" w:cs="Arial" w:eastAsia="Arial" w:hAnsi="Arial"/>
                <w:sz w:val="15"/>
                <w:szCs w:val="15"/>
                <w:color w:val="auto"/>
              </w:rPr>
              <w:t>Change in uncertain tax positions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883</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0.6%</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4,118</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629</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0%</w:t>
            </w:r>
          </w:p>
        </w:tc>
      </w:tr>
      <w:tr>
        <w:trPr>
          <w:trHeight w:val="177"/>
        </w:trPr>
        <w:tc>
          <w:tcPr>
            <w:tcW w:w="3740" w:type="dxa"/>
            <w:vAlign w:val="bottom"/>
          </w:tcPr>
          <w:p>
            <w:pPr>
              <w:spacing w:after="0"/>
              <w:rPr>
                <w:sz w:val="20"/>
                <w:szCs w:val="20"/>
                <w:color w:val="auto"/>
              </w:rPr>
            </w:pPr>
            <w:r>
              <w:rPr>
                <w:rFonts w:ascii="Arial" w:cs="Arial" w:eastAsia="Arial" w:hAnsi="Arial"/>
                <w:sz w:val="15"/>
                <w:szCs w:val="15"/>
                <w:color w:val="auto"/>
              </w:rPr>
              <w:t>Foreign tax rate differential</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(128)</w:t>
            </w: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-0.1%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4,886</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7%</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4,168</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5"/>
                <w:szCs w:val="15"/>
                <w:color w:val="auto"/>
              </w:rPr>
              <w:t>2%</w:t>
            </w:r>
          </w:p>
        </w:tc>
      </w:tr>
      <w:tr>
        <w:trPr>
          <w:trHeight w:val="177"/>
        </w:trPr>
        <w:tc>
          <w:tcPr>
            <w:tcW w:w="3740" w:type="dxa"/>
            <w:vAlign w:val="bottom"/>
            <w:shd w:val="clear" w:color="auto" w:fill="CFF0FC"/>
          </w:tcPr>
          <w:p>
            <w:pPr>
              <w:spacing w:after="0"/>
              <w:rPr>
                <w:sz w:val="20"/>
                <w:szCs w:val="20"/>
                <w:color w:val="auto"/>
              </w:rPr>
            </w:pPr>
            <w:r>
              <w:rPr>
                <w:rFonts w:ascii="Arial" w:cs="Arial" w:eastAsia="Arial" w:hAnsi="Arial"/>
                <w:sz w:val="15"/>
                <w:szCs w:val="15"/>
                <w:color w:val="auto"/>
              </w:rPr>
              <w:t>Foreign tax credits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(47)</w:t>
            </w:r>
          </w:p>
        </w:tc>
        <w:tc>
          <w:tcPr>
            <w:tcW w:w="3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0.0%</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(1,313)</w:t>
            </w: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w:t>
            </w:r>
          </w:p>
        </w:tc>
        <w:tc>
          <w:tcPr>
            <w:tcW w:w="200" w:type="dxa"/>
            <w:vAlign w:val="bottom"/>
            <w:shd w:val="clear" w:color="auto" w:fill="CFF0FC"/>
          </w:tcPr>
          <w:p>
            <w:pPr>
              <w:spacing w:after="0"/>
              <w:rPr>
                <w:sz w:val="15"/>
                <w:szCs w:val="15"/>
                <w:color w:val="auto"/>
              </w:rPr>
            </w:pPr>
          </w:p>
        </w:tc>
        <w:tc>
          <w:tcPr>
            <w:tcW w:w="1240" w:type="dxa"/>
            <w:vAlign w:val="bottom"/>
            <w:gridSpan w:val="3"/>
            <w:shd w:val="clear" w:color="auto" w:fill="CFF0FC"/>
          </w:tcPr>
          <w:p>
            <w:pPr>
              <w:jc w:val="right"/>
              <w:ind w:right="560"/>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r>
      <w:tr>
        <w:trPr>
          <w:trHeight w:val="177"/>
        </w:trPr>
        <w:tc>
          <w:tcPr>
            <w:tcW w:w="3740" w:type="dxa"/>
            <w:vAlign w:val="bottom"/>
          </w:tcPr>
          <w:p>
            <w:pPr>
              <w:spacing w:after="0"/>
              <w:rPr>
                <w:sz w:val="20"/>
                <w:szCs w:val="20"/>
                <w:color w:val="auto"/>
              </w:rPr>
            </w:pPr>
            <w:r>
              <w:rPr>
                <w:rFonts w:ascii="Arial" w:cs="Arial" w:eastAsia="Arial" w:hAnsi="Arial"/>
                <w:sz w:val="15"/>
                <w:szCs w:val="15"/>
                <w:color w:val="auto"/>
              </w:rPr>
              <w:t>Transaction costs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61</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0.0%</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1,052</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200" w:type="dxa"/>
            <w:vAlign w:val="bottom"/>
          </w:tcPr>
          <w:p>
            <w:pPr>
              <w:spacing w:after="0"/>
              <w:rPr>
                <w:sz w:val="15"/>
                <w:szCs w:val="15"/>
                <w:color w:val="auto"/>
              </w:rPr>
            </w:pPr>
          </w:p>
        </w:tc>
        <w:tc>
          <w:tcPr>
            <w:tcW w:w="1240" w:type="dxa"/>
            <w:vAlign w:val="bottom"/>
            <w:gridSpan w:val="3"/>
          </w:tcPr>
          <w:p>
            <w:pPr>
              <w:jc w:val="right"/>
              <w:ind w:right="5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r>
      <w:tr>
        <w:trPr>
          <w:trHeight w:val="177"/>
        </w:trPr>
        <w:tc>
          <w:tcPr>
            <w:tcW w:w="3740" w:type="dxa"/>
            <w:vAlign w:val="bottom"/>
            <w:shd w:val="clear" w:color="auto" w:fill="CFF0FC"/>
          </w:tcPr>
          <w:p>
            <w:pPr>
              <w:spacing w:after="0"/>
              <w:rPr>
                <w:sz w:val="20"/>
                <w:szCs w:val="20"/>
                <w:color w:val="auto"/>
              </w:rPr>
            </w:pPr>
            <w:r>
              <w:rPr>
                <w:rFonts w:ascii="Arial" w:cs="Arial" w:eastAsia="Arial" w:hAnsi="Arial"/>
                <w:sz w:val="15"/>
                <w:szCs w:val="15"/>
                <w:color w:val="auto"/>
              </w:rPr>
              <w:t>Noncontrolling interests</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(4,280)</w:t>
            </w:r>
          </w:p>
        </w:tc>
        <w:tc>
          <w:tcPr>
            <w:tcW w:w="3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-2.6%</w:t>
            </w: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(2,282)</w:t>
            </w: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w:t>
            </w:r>
          </w:p>
        </w:tc>
        <w:tc>
          <w:tcPr>
            <w:tcW w:w="2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(3,599)</w:t>
            </w:r>
          </w:p>
        </w:tc>
        <w:tc>
          <w:tcPr>
            <w:tcW w:w="3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w:t>
            </w:r>
          </w:p>
        </w:tc>
      </w:tr>
      <w:tr>
        <w:trPr>
          <w:trHeight w:val="177"/>
        </w:trPr>
        <w:tc>
          <w:tcPr>
            <w:tcW w:w="3740" w:type="dxa"/>
            <w:vAlign w:val="bottom"/>
          </w:tcPr>
          <w:p>
            <w:pPr>
              <w:spacing w:after="0"/>
              <w:rPr>
                <w:sz w:val="20"/>
                <w:szCs w:val="20"/>
                <w:color w:val="auto"/>
              </w:rPr>
            </w:pPr>
            <w:r>
              <w:rPr>
                <w:rFonts w:ascii="Arial" w:cs="Arial" w:eastAsia="Arial" w:hAnsi="Arial"/>
                <w:sz w:val="15"/>
                <w:szCs w:val="15"/>
                <w:color w:val="auto"/>
              </w:rPr>
              <w:t>Federal research credits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(2,206)</w:t>
            </w:r>
          </w:p>
        </w:tc>
        <w:tc>
          <w:tcPr>
            <w:tcW w:w="3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-1.4%</w:t>
            </w:r>
          </w:p>
        </w:tc>
        <w:tc>
          <w:tcPr>
            <w:tcW w:w="220" w:type="dxa"/>
            <w:vAlign w:val="bottom"/>
          </w:tcPr>
          <w:p>
            <w:pPr>
              <w:spacing w:after="0"/>
              <w:rPr>
                <w:sz w:val="15"/>
                <w:szCs w:val="15"/>
                <w:color w:val="auto"/>
              </w:rPr>
            </w:pPr>
          </w:p>
        </w:tc>
        <w:tc>
          <w:tcPr>
            <w:tcW w:w="1180" w:type="dxa"/>
            <w:vAlign w:val="bottom"/>
            <w:gridSpan w:val="3"/>
          </w:tcPr>
          <w:p>
            <w:pPr>
              <w:jc w:val="right"/>
              <w:ind w:right="540"/>
              <w:spacing w:after="0"/>
              <w:rPr>
                <w:sz w:val="20"/>
                <w:szCs w:val="20"/>
                <w:color w:val="auto"/>
              </w:rPr>
            </w:pPr>
            <w:r>
              <w:rPr>
                <w:rFonts w:ascii="Arial" w:cs="Arial" w:eastAsia="Arial" w:hAnsi="Arial"/>
                <w:sz w:val="15"/>
                <w:szCs w:val="15"/>
                <w:color w:val="auto"/>
              </w:rPr>
              <w:t>—</w:t>
            </w:r>
          </w:p>
        </w:tc>
        <w:tc>
          <w:tcPr>
            <w:tcW w:w="1080" w:type="dxa"/>
            <w:vAlign w:val="bottom"/>
            <w:gridSpan w:val="3"/>
          </w:tcPr>
          <w:p>
            <w:pPr>
              <w:jc w:val="right"/>
              <w:ind w:right="520"/>
              <w:spacing w:after="0"/>
              <w:rPr>
                <w:sz w:val="20"/>
                <w:szCs w:val="20"/>
                <w:color w:val="auto"/>
              </w:rPr>
            </w:pPr>
            <w:r>
              <w:rPr>
                <w:rFonts w:ascii="Arial" w:cs="Arial" w:eastAsia="Arial" w:hAnsi="Arial"/>
                <w:sz w:val="15"/>
                <w:szCs w:val="15"/>
                <w:color w:val="auto"/>
              </w:rPr>
              <w:t>—</w:t>
            </w:r>
          </w:p>
        </w:tc>
        <w:tc>
          <w:tcPr>
            <w:tcW w:w="1240" w:type="dxa"/>
            <w:vAlign w:val="bottom"/>
            <w:gridSpan w:val="3"/>
          </w:tcPr>
          <w:p>
            <w:pPr>
              <w:jc w:val="right"/>
              <w:ind w:right="560"/>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r>
      <w:tr>
        <w:trPr>
          <w:trHeight w:val="177"/>
        </w:trPr>
        <w:tc>
          <w:tcPr>
            <w:tcW w:w="3740" w:type="dxa"/>
            <w:vAlign w:val="bottom"/>
            <w:shd w:val="clear" w:color="auto" w:fill="CFF0FC"/>
          </w:tcPr>
          <w:p>
            <w:pPr>
              <w:spacing w:after="0"/>
              <w:rPr>
                <w:sz w:val="20"/>
                <w:szCs w:val="20"/>
                <w:color w:val="auto"/>
              </w:rPr>
            </w:pPr>
            <w:r>
              <w:rPr>
                <w:rFonts w:ascii="Arial" w:cs="Arial" w:eastAsia="Arial" w:hAnsi="Arial"/>
                <w:sz w:val="15"/>
                <w:szCs w:val="15"/>
                <w:color w:val="auto"/>
              </w:rPr>
              <w:t>Other, net</w:t>
            </w: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(1,273)</w:t>
            </w:r>
          </w:p>
        </w:tc>
        <w:tc>
          <w:tcPr>
            <w:tcW w:w="3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-0.8%</w:t>
            </w:r>
          </w:p>
        </w:tc>
        <w:tc>
          <w:tcPr>
            <w:tcW w:w="2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560</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2,499</w:t>
            </w:r>
          </w:p>
        </w:tc>
        <w:tc>
          <w:tcPr>
            <w:tcW w:w="2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w:t>
            </w:r>
          </w:p>
        </w:tc>
      </w:tr>
      <w:tr>
        <w:trPr>
          <w:trHeight w:val="20"/>
        </w:trPr>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68"/>
        </w:trPr>
        <w:tc>
          <w:tcPr>
            <w:tcW w:w="3740" w:type="dxa"/>
            <w:vAlign w:val="bottom"/>
          </w:tcPr>
          <w:p>
            <w:pPr>
              <w:ind w:left="220"/>
              <w:spacing w:after="0" w:line="169" w:lineRule="exact"/>
              <w:rPr>
                <w:sz w:val="20"/>
                <w:szCs w:val="20"/>
                <w:color w:val="auto"/>
              </w:rPr>
            </w:pPr>
            <w:r>
              <w:rPr>
                <w:rFonts w:ascii="Arial" w:cs="Arial" w:eastAsia="Arial" w:hAnsi="Arial"/>
                <w:sz w:val="15"/>
                <w:szCs w:val="15"/>
                <w:color w:val="auto"/>
              </w:rPr>
              <w:t>Total income tax expense (benefit)</w:t>
            </w:r>
          </w:p>
        </w:tc>
        <w:tc>
          <w:tcPr>
            <w:tcW w:w="840" w:type="dxa"/>
            <w:vAlign w:val="bottom"/>
          </w:tcPr>
          <w:p>
            <w:pPr>
              <w:spacing w:after="0"/>
              <w:rPr>
                <w:sz w:val="14"/>
                <w:szCs w:val="14"/>
                <w:color w:val="auto"/>
              </w:rPr>
            </w:pP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42,492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26.3%</w:t>
            </w: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line="169" w:lineRule="exact"/>
              <w:rPr>
                <w:sz w:val="20"/>
                <w:szCs w:val="20"/>
                <w:color w:val="auto"/>
              </w:rPr>
            </w:pPr>
            <w:r>
              <w:rPr>
                <w:rFonts w:ascii="Arial" w:cs="Arial" w:eastAsia="Arial" w:hAnsi="Arial"/>
                <w:sz w:val="15"/>
                <w:szCs w:val="15"/>
                <w:color w:val="auto"/>
              </w:rPr>
              <w:t>(69,886)</w:t>
            </w:r>
          </w:p>
        </w:tc>
        <w:tc>
          <w:tcPr>
            <w:tcW w:w="300" w:type="dxa"/>
            <w:vAlign w:val="bottom"/>
          </w:tcPr>
          <w:p>
            <w:pPr>
              <w:spacing w:after="0"/>
              <w:rPr>
                <w:sz w:val="14"/>
                <w:szCs w:val="14"/>
                <w:color w:val="auto"/>
              </w:rPr>
            </w:pPr>
          </w:p>
        </w:tc>
        <w:tc>
          <w:tcPr>
            <w:tcW w:w="1080" w:type="dxa"/>
            <w:vAlign w:val="bottom"/>
            <w:gridSpan w:val="3"/>
          </w:tcPr>
          <w:p>
            <w:pPr>
              <w:jc w:val="right"/>
              <w:ind w:right="120"/>
              <w:spacing w:after="0" w:line="169" w:lineRule="exact"/>
              <w:rPr>
                <w:sz w:val="20"/>
                <w:szCs w:val="20"/>
                <w:color w:val="auto"/>
              </w:rPr>
            </w:pPr>
            <w:r>
              <w:rPr>
                <w:rFonts w:ascii="Arial" w:cs="Arial" w:eastAsia="Arial" w:hAnsi="Arial"/>
                <w:sz w:val="15"/>
                <w:szCs w:val="15"/>
                <w:color w:val="auto"/>
              </w:rPr>
              <w:t>(104)%  $</w:t>
            </w: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20,367</w:t>
            </w: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rPr>
              <w:t>8%</w:t>
            </w:r>
          </w:p>
        </w:tc>
      </w:tr>
      <w:tr>
        <w:trPr>
          <w:trHeight w:val="20"/>
        </w:trPr>
        <w:tc>
          <w:tcPr>
            <w:tcW w:w="3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9" w:lineRule="exact"/>
        <w:rPr>
          <w:sz w:val="20"/>
          <w:szCs w:val="20"/>
          <w:color w:val="auto"/>
        </w:rPr>
      </w:pPr>
    </w:p>
    <w:p>
      <w:pPr>
        <w:ind w:right="120" w:firstLine="867"/>
        <w:spacing w:after="0" w:line="272" w:lineRule="auto"/>
        <w:rPr>
          <w:sz w:val="20"/>
          <w:szCs w:val="20"/>
          <w:color w:val="auto"/>
        </w:rPr>
      </w:pPr>
      <w:r>
        <w:rPr>
          <w:rFonts w:ascii="Arial" w:cs="Arial" w:eastAsia="Arial" w:hAnsi="Arial"/>
          <w:sz w:val="14"/>
          <w:szCs w:val="14"/>
          <w:color w:val="auto"/>
        </w:rPr>
        <w:t>The effective tax rate in 2020 increased to 26.3% from (103.9%) in 2019. The change in the effective tax rate was due primarily to the nonrecurring tax benefit items included in 2019 for the remeasurement of its U.S. deferred tax assets and liabilities due to the change in tax status from an S Corporation to a C Corporation.</w:t>
      </w:r>
    </w:p>
    <w:p>
      <w:pPr>
        <w:spacing w:after="0" w:line="156" w:lineRule="exact"/>
        <w:rPr>
          <w:sz w:val="20"/>
          <w:szCs w:val="20"/>
          <w:color w:val="auto"/>
        </w:rPr>
      </w:pPr>
    </w:p>
    <w:p>
      <w:pPr>
        <w:ind w:right="560" w:firstLine="737"/>
        <w:spacing w:after="0" w:line="272" w:lineRule="auto"/>
        <w:rPr>
          <w:sz w:val="20"/>
          <w:szCs w:val="20"/>
          <w:color w:val="auto"/>
        </w:rPr>
      </w:pPr>
      <w:r>
        <w:rPr>
          <w:rFonts w:ascii="Arial" w:cs="Arial" w:eastAsia="Arial" w:hAnsi="Arial"/>
          <w:sz w:val="14"/>
          <w:szCs w:val="14"/>
          <w:color w:val="auto"/>
        </w:rPr>
        <w:t>The effective tax rate for the year ended December 31, 2020 differs from the federal statutory tax rate primarily due to state income taxes and a recorded valuation allowance on foreign tax credits, partially offset by benefits related to income attributable to noncontrolling interest and federal research tax credits.</w:t>
      </w:r>
    </w:p>
    <w:p>
      <w:pPr>
        <w:spacing w:after="0" w:line="56" w:lineRule="exact"/>
        <w:rPr>
          <w:sz w:val="20"/>
          <w:szCs w:val="20"/>
          <w:color w:val="auto"/>
        </w:rPr>
      </w:pPr>
    </w:p>
    <w:p>
      <w:pPr>
        <w:jc w:val="center"/>
        <w:ind w:right="340"/>
        <w:spacing w:after="0"/>
        <w:rPr>
          <w:sz w:val="20"/>
          <w:szCs w:val="20"/>
          <w:color w:val="auto"/>
        </w:rPr>
      </w:pPr>
      <w:r>
        <w:rPr>
          <w:rFonts w:ascii="Arial" w:cs="Arial" w:eastAsia="Arial" w:hAnsi="Arial"/>
          <w:sz w:val="15"/>
          <w:szCs w:val="15"/>
          <w:color w:val="auto"/>
        </w:rPr>
        <w:t>The components of deferred tax assets and liabilities consists of the following at December 31, 2020 and December 31, 2019 (in thousands):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76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7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Deferred tax assets</w:t>
            </w:r>
          </w:p>
        </w:tc>
        <w:tc>
          <w:tcPr>
            <w:tcW w:w="9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Project and non-project reserves</w:t>
            </w:r>
          </w:p>
        </w:tc>
        <w:tc>
          <w:tcPr>
            <w:tcW w:w="940" w:type="dxa"/>
            <w:vAlign w:val="bottom"/>
          </w:tcPr>
          <w:p>
            <w:pPr>
              <w:jc w:val="right"/>
              <w:ind w:right="791"/>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5"/>
                <w:szCs w:val="15"/>
                <w:color w:val="auto"/>
              </w:rPr>
              <w:t>33,824</w:t>
            </w:r>
          </w:p>
        </w:tc>
        <w:tc>
          <w:tcPr>
            <w:tcW w:w="180" w:type="dxa"/>
            <w:vAlign w:val="bottom"/>
          </w:tcPr>
          <w:p>
            <w:pPr>
              <w:spacing w:after="0"/>
              <w:rPr>
                <w:sz w:val="15"/>
                <w:szCs w:val="15"/>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34,225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Employee compensation and benefits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61,260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59,624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Revenue and cost recognition</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25,312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33,588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Insurance accruals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17,724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19,204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Net operating losses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9,674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16,400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Lease liabilities</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62,994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68,447</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Tax credit carryforwards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15,566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8,969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9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3,296</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3,318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Valuation allowance</w:t>
            </w: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(23,878)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(17,358)</w:t>
            </w:r>
          </w:p>
        </w:tc>
        <w:tc>
          <w:tcPr>
            <w:tcW w:w="0" w:type="dxa"/>
            <w:vAlign w:val="bottom"/>
          </w:tcPr>
          <w:p>
            <w:pPr>
              <w:spacing w:after="0"/>
              <w:rPr>
                <w:sz w:val="1"/>
                <w:szCs w:val="1"/>
                <w:color w:val="auto"/>
              </w:rPr>
            </w:pPr>
          </w:p>
        </w:tc>
      </w:tr>
      <w:tr>
        <w:trPr>
          <w:trHeight w:val="168"/>
        </w:trPr>
        <w:tc>
          <w:tcPr>
            <w:tcW w:w="7760" w:type="dxa"/>
            <w:vAlign w:val="bottom"/>
            <w:tcBorders>
              <w:top w:val="single" w:sz="8" w:color="CFF0FC"/>
              <w:bottom w:val="single" w:sz="8" w:color="CFF0FC"/>
            </w:tcBorders>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deferred tax assets</w:t>
            </w:r>
          </w:p>
        </w:tc>
        <w:tc>
          <w:tcPr>
            <w:tcW w:w="940" w:type="dxa"/>
            <w:vAlign w:val="bottom"/>
            <w:tcBorders>
              <w:top w:val="single" w:sz="8" w:color="auto"/>
              <w:bottom w:val="single" w:sz="8" w:color="auto"/>
            </w:tcBorders>
            <w:shd w:val="clear" w:color="auto" w:fill="CFF0FC"/>
          </w:tcPr>
          <w:p>
            <w:pPr>
              <w:spacing w:after="0"/>
              <w:rPr>
                <w:sz w:val="14"/>
                <w:szCs w:val="14"/>
                <w:color w:val="auto"/>
              </w:rPr>
            </w:pPr>
          </w:p>
        </w:tc>
        <w:tc>
          <w:tcPr>
            <w:tcW w:w="6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205,772</w:t>
            </w:r>
          </w:p>
        </w:tc>
        <w:tc>
          <w:tcPr>
            <w:tcW w:w="18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12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226,417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5"/>
                <w:szCs w:val="15"/>
                <w:b w:val="1"/>
                <w:bCs w:val="1"/>
                <w:color w:val="auto"/>
              </w:rPr>
              <w:t>Deferred tax liabilities</w:t>
            </w: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760" w:type="dxa"/>
            <w:vAlign w:val="bottom"/>
            <w:vMerge w:val="continue"/>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Intangible assets</w:t>
            </w: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(15,620)</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(29,543)</w:t>
            </w:r>
          </w:p>
        </w:tc>
        <w:tc>
          <w:tcPr>
            <w:tcW w:w="0" w:type="dxa"/>
            <w:vAlign w:val="bottom"/>
          </w:tcPr>
          <w:p>
            <w:pPr>
              <w:spacing w:after="0"/>
              <w:rPr>
                <w:sz w:val="1"/>
                <w:szCs w:val="1"/>
                <w:color w:val="auto"/>
              </w:rPr>
            </w:pPr>
          </w:p>
        </w:tc>
      </w:tr>
      <w:tr>
        <w:trPr>
          <w:trHeight w:val="177"/>
        </w:trPr>
        <w:tc>
          <w:tcPr>
            <w:tcW w:w="7760" w:type="dxa"/>
            <w:vAlign w:val="bottom"/>
          </w:tcPr>
          <w:p>
            <w:pPr>
              <w:spacing w:after="0"/>
              <w:rPr>
                <w:sz w:val="20"/>
                <w:szCs w:val="20"/>
                <w:color w:val="auto"/>
              </w:rPr>
            </w:pPr>
            <w:r>
              <w:rPr>
                <w:rFonts w:ascii="Arial" w:cs="Arial" w:eastAsia="Arial" w:hAnsi="Arial"/>
                <w:sz w:val="15"/>
                <w:szCs w:val="15"/>
                <w:color w:val="auto"/>
              </w:rPr>
              <w:t>Right of use assets</w:t>
            </w:r>
          </w:p>
        </w:tc>
        <w:tc>
          <w:tcPr>
            <w:tcW w:w="94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5"/>
                <w:szCs w:val="15"/>
                <w:color w:val="auto"/>
              </w:rPr>
              <w:t>(56,099)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5"/>
                <w:szCs w:val="15"/>
                <w:color w:val="auto"/>
              </w:rPr>
              <w:t>(63,032)</w:t>
            </w:r>
          </w:p>
        </w:tc>
        <w:tc>
          <w:tcPr>
            <w:tcW w:w="0" w:type="dxa"/>
            <w:vAlign w:val="bottom"/>
          </w:tcPr>
          <w:p>
            <w:pPr>
              <w:spacing w:after="0"/>
              <w:rPr>
                <w:sz w:val="1"/>
                <w:szCs w:val="1"/>
                <w:color w:val="auto"/>
              </w:rPr>
            </w:pPr>
          </w:p>
        </w:tc>
      </w:tr>
      <w:tr>
        <w:trPr>
          <w:trHeight w:val="177"/>
        </w:trPr>
        <w:tc>
          <w:tcPr>
            <w:tcW w:w="7760" w:type="dxa"/>
            <w:vAlign w:val="bottom"/>
            <w:shd w:val="clear" w:color="auto" w:fill="CFF0FC"/>
          </w:tcPr>
          <w:p>
            <w:pPr>
              <w:spacing w:after="0"/>
              <w:rPr>
                <w:sz w:val="20"/>
                <w:szCs w:val="20"/>
                <w:color w:val="auto"/>
              </w:rPr>
            </w:pPr>
            <w:r>
              <w:rPr>
                <w:rFonts w:ascii="Arial" w:cs="Arial" w:eastAsia="Arial" w:hAnsi="Arial"/>
                <w:sz w:val="15"/>
                <w:szCs w:val="15"/>
                <w:color w:val="auto"/>
              </w:rPr>
              <w:t>Other</w:t>
            </w:r>
          </w:p>
        </w:tc>
        <w:tc>
          <w:tcPr>
            <w:tcW w:w="94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(16,138)</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(13,063)</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60" w:type="dxa"/>
            <w:vAlign w:val="bottom"/>
          </w:tcPr>
          <w:p>
            <w:pPr>
              <w:ind w:left="220"/>
              <w:spacing w:after="0" w:line="169" w:lineRule="exact"/>
              <w:rPr>
                <w:sz w:val="20"/>
                <w:szCs w:val="20"/>
                <w:color w:val="auto"/>
              </w:rPr>
            </w:pPr>
            <w:r>
              <w:rPr>
                <w:rFonts w:ascii="Arial" w:cs="Arial" w:eastAsia="Arial" w:hAnsi="Arial"/>
                <w:sz w:val="15"/>
                <w:szCs w:val="15"/>
                <w:color w:val="auto"/>
              </w:rPr>
              <w:t>Total deferred tax liabilities</w:t>
            </w:r>
          </w:p>
        </w:tc>
        <w:tc>
          <w:tcPr>
            <w:tcW w:w="940" w:type="dxa"/>
            <w:vAlign w:val="bottom"/>
          </w:tcPr>
          <w:p>
            <w:pPr>
              <w:spacing w:after="0"/>
              <w:rPr>
                <w:sz w:val="14"/>
                <w:szCs w:val="14"/>
                <w:color w:val="auto"/>
              </w:rPr>
            </w:pPr>
          </w:p>
        </w:tc>
        <w:tc>
          <w:tcPr>
            <w:tcW w:w="78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(87,857)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(105,638)</w:t>
            </w:r>
          </w:p>
        </w:tc>
        <w:tc>
          <w:tcPr>
            <w:tcW w:w="0" w:type="dxa"/>
            <w:vAlign w:val="bottom"/>
          </w:tcPr>
          <w:p>
            <w:pPr>
              <w:spacing w:after="0"/>
              <w:rPr>
                <w:sz w:val="1"/>
                <w:szCs w:val="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76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deferred tax asset</w:t>
            </w:r>
          </w:p>
        </w:tc>
        <w:tc>
          <w:tcPr>
            <w:tcW w:w="940" w:type="dxa"/>
            <w:vAlign w:val="bottom"/>
            <w:shd w:val="clear" w:color="auto" w:fill="CFF0FC"/>
          </w:tcPr>
          <w:p>
            <w:pPr>
              <w:jc w:val="right"/>
              <w:ind w:right="791"/>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117,915</w:t>
            </w:r>
          </w:p>
        </w:tc>
        <w:tc>
          <w:tcPr>
            <w:tcW w:w="180" w:type="dxa"/>
            <w:vAlign w:val="bottom"/>
            <w:shd w:val="clear" w:color="auto" w:fill="CFF0FC"/>
          </w:tcPr>
          <w:p>
            <w:pPr>
              <w:spacing w:after="0"/>
              <w:rPr>
                <w:sz w:val="14"/>
                <w:szCs w:val="14"/>
                <w:color w:val="auto"/>
              </w:rPr>
            </w:pPr>
          </w:p>
        </w:tc>
        <w:tc>
          <w:tcPr>
            <w:tcW w:w="48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120,779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firstLine="591"/>
        <w:spacing w:after="0" w:line="234" w:lineRule="auto"/>
        <w:rPr>
          <w:sz w:val="20"/>
          <w:szCs w:val="20"/>
          <w:color w:val="auto"/>
        </w:rPr>
      </w:pPr>
      <w:r>
        <w:rPr>
          <w:rFonts w:ascii="Arial" w:cs="Arial" w:eastAsia="Arial" w:hAnsi="Arial"/>
          <w:sz w:val="15"/>
          <w:szCs w:val="15"/>
          <w:color w:val="auto"/>
        </w:rPr>
        <w:t>The Company assesses the realizability of its deferred tax assets each reporting period through an analysis of potential sources of taxable income, including prior year taxable income available to absorb a carryback of tax losses, reversals of existing taxable temporary differences, tax planning strategies, and forecasts of taxable income. The Company considers all negative and positive evidence, including the weight of the evidence, to determine if a valuation allowance against deferred tax assets is required. A valuation allowance is recorded against deferred tax assets to reflect the amount of deferred tax assets that is determined to be more-likely-than-not to be realized.</w:t>
      </w:r>
    </w:p>
    <w:p>
      <w:pPr>
        <w:spacing w:after="0" w:line="79" w:lineRule="exact"/>
        <w:rPr>
          <w:sz w:val="20"/>
          <w:szCs w:val="20"/>
          <w:color w:val="auto"/>
        </w:rPr>
      </w:pPr>
    </w:p>
    <w:p>
      <w:pPr>
        <w:ind w:right="120" w:firstLine="591"/>
        <w:spacing w:after="0" w:line="239" w:lineRule="auto"/>
        <w:rPr>
          <w:sz w:val="20"/>
          <w:szCs w:val="20"/>
          <w:color w:val="auto"/>
        </w:rPr>
      </w:pPr>
      <w:r>
        <w:rPr>
          <w:rFonts w:ascii="Arial" w:cs="Arial" w:eastAsia="Arial" w:hAnsi="Arial"/>
          <w:sz w:val="15"/>
          <w:szCs w:val="15"/>
          <w:color w:val="auto"/>
        </w:rPr>
        <w:t>The tax cost, net of applicable credits, has been provided on the undistributed earnings of the Company’s foreign subsidiaries. The Company does not assert any earnings to be permanently reinvested.</w:t>
      </w:r>
    </w:p>
    <w:p>
      <w:pPr>
        <w:spacing w:after="0" w:line="78"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As of December 31, 2020, and December 31, 2019, the Company’s valuation allowance against deferred tax assets is $23.9 million and $17.4 million, respectively. This valuation allowance represents the portion of deferred tax assets primarily related to foreign net operating loss carryforwards, foreign tax credit carryforwards and capital loss carryforwards for which the Company has determined are not more-likely-than-not to be realized. From December 31, 2019 to December 31, 2020, the Company’s valuation allowance increased by $6.5 million. Of this increase, $6.9 million relates to deferred tax assets recorded for foreign tax credit carryforwards offset in part by decrease in valuation allowance related to net operating loss carryforwards. The valuation allowance is generated because the Company does not and will not have sufficient foreign source income to support the foreign tax credit carryforwards.</w:t>
      </w:r>
    </w:p>
    <w:p>
      <w:pPr>
        <w:spacing w:after="0" w:line="192" w:lineRule="exact"/>
        <w:rPr>
          <w:sz w:val="20"/>
          <w:szCs w:val="20"/>
          <w:color w:val="auto"/>
        </w:rPr>
      </w:pPr>
    </w:p>
    <w:p>
      <w:pPr>
        <w:ind w:right="20" w:firstLine="867"/>
        <w:spacing w:after="0" w:line="236" w:lineRule="auto"/>
        <w:rPr>
          <w:sz w:val="20"/>
          <w:szCs w:val="20"/>
          <w:color w:val="auto"/>
        </w:rPr>
      </w:pPr>
      <w:r>
        <w:rPr>
          <w:rFonts w:ascii="Arial" w:cs="Arial" w:eastAsia="Arial" w:hAnsi="Arial"/>
          <w:sz w:val="15"/>
          <w:szCs w:val="15"/>
          <w:color w:val="auto"/>
        </w:rPr>
        <w:t>As of December 31, 2020, the Company has NOLs of $32.8 million, and $36.7 million for U.S. states and foreign jurisdictions, respectively. The utilization of the U.S. state NOLs are subject to certain annual limitations. Of these amounts, $27.0 million and $33.9 million in U.S. states and foreign jurisdictions, respectively, do not expire. The remaining amounts of NOLs in U.S. states and in foreign jurisdictions will expire if not used between 2021 and 2041.</w:t>
      </w:r>
    </w:p>
    <w:p>
      <w:pPr>
        <w:spacing w:after="0" w:line="278" w:lineRule="exact"/>
        <w:rPr>
          <w:sz w:val="20"/>
          <w:szCs w:val="20"/>
          <w:color w:val="auto"/>
        </w:rPr>
      </w:pPr>
    </w:p>
    <w:p>
      <w:pPr>
        <w:ind w:right="80" w:firstLine="591"/>
        <w:spacing w:after="0" w:line="239" w:lineRule="auto"/>
        <w:rPr>
          <w:sz w:val="20"/>
          <w:szCs w:val="20"/>
          <w:color w:val="auto"/>
        </w:rPr>
      </w:pPr>
      <w:r>
        <w:rPr>
          <w:rFonts w:ascii="Arial" w:cs="Arial" w:eastAsia="Arial" w:hAnsi="Arial"/>
          <w:sz w:val="15"/>
          <w:szCs w:val="15"/>
          <w:color w:val="auto"/>
        </w:rPr>
        <w:t>As of December 31, 2020, the Company has foreign tax credit carryforwards of $15.5 million. The Company has provided a valuation allowance of $15.5 million as the Company considers that these credits will not be realized. These foreign tax credits start expiring in the year 2029.</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 reconciliation of the beginning and ending balances of unrecognized tax benefits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2020</w:t>
            </w: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6660" w:type="dxa"/>
            <w:vAlign w:val="bottom"/>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Beginning of year</w:t>
            </w:r>
          </w:p>
        </w:tc>
        <w:tc>
          <w:tcPr>
            <w:tcW w:w="820" w:type="dxa"/>
            <w:vAlign w:val="bottom"/>
            <w:shd w:val="clear" w:color="auto" w:fill="CFF0FC"/>
          </w:tcPr>
          <w:p>
            <w:pPr>
              <w:jc w:val="right"/>
              <w:ind w:right="651"/>
              <w:spacing w:after="0" w:line="169" w:lineRule="exact"/>
              <w:rPr>
                <w:sz w:val="20"/>
                <w:szCs w:val="20"/>
                <w:color w:val="auto"/>
              </w:rPr>
            </w:pPr>
            <w:r>
              <w:rPr>
                <w:rFonts w:ascii="Arial" w:cs="Arial" w:eastAsia="Arial" w:hAnsi="Arial"/>
                <w:sz w:val="15"/>
                <w:szCs w:val="15"/>
                <w:color w:val="auto"/>
                <w:w w:val="95"/>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15,526</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7,845</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7,137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Increases—current year tax positions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950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7,531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1,094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Increases—prior year tax positions</w:t>
            </w:r>
          </w:p>
        </w:tc>
        <w:tc>
          <w:tcPr>
            <w:tcW w:w="8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1,951</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1,379</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Decreases—prior year tax positions</w:t>
            </w:r>
          </w:p>
        </w:tc>
        <w:tc>
          <w:tcPr>
            <w:tcW w:w="8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5"/>
                <w:szCs w:val="15"/>
                <w:color w:val="auto"/>
              </w:rPr>
              <w:t>(1,366)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(991)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(1,656)</w:t>
            </w:r>
          </w:p>
        </w:tc>
        <w:tc>
          <w:tcPr>
            <w:tcW w:w="0" w:type="dxa"/>
            <w:vAlign w:val="bottom"/>
          </w:tcPr>
          <w:p>
            <w:pPr>
              <w:spacing w:after="0"/>
              <w:rPr>
                <w:sz w:val="1"/>
                <w:szCs w:val="1"/>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Settlements</w:t>
            </w:r>
          </w:p>
        </w:tc>
        <w:tc>
          <w:tcPr>
            <w:tcW w:w="82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(666)</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(124)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Lapse of statute of limitations</w:t>
            </w:r>
          </w:p>
        </w:tc>
        <w:tc>
          <w:tcPr>
            <w:tcW w:w="8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666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End of year</w:t>
            </w:r>
          </w:p>
        </w:tc>
        <w:tc>
          <w:tcPr>
            <w:tcW w:w="8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660" w:type="dxa"/>
            <w:vAlign w:val="bottom"/>
            <w:vMerge w:val="continue"/>
            <w:shd w:val="clear" w:color="auto" w:fill="CFF0FC"/>
          </w:tcPr>
          <w:p>
            <w:pPr>
              <w:spacing w:after="0"/>
              <w:rPr>
                <w:sz w:val="14"/>
                <w:szCs w:val="14"/>
                <w:color w:val="auto"/>
              </w:rPr>
            </w:pPr>
          </w:p>
        </w:tc>
        <w:tc>
          <w:tcPr>
            <w:tcW w:w="820" w:type="dxa"/>
            <w:vAlign w:val="bottom"/>
            <w:shd w:val="clear" w:color="auto" w:fill="CFF0FC"/>
          </w:tcPr>
          <w:p>
            <w:pPr>
              <w:jc w:val="right"/>
              <w:ind w:right="651"/>
              <w:spacing w:after="0" w:line="169" w:lineRule="exact"/>
              <w:rPr>
                <w:sz w:val="20"/>
                <w:szCs w:val="20"/>
                <w:color w:val="auto"/>
              </w:rPr>
            </w:pPr>
            <w:r>
              <w:rPr>
                <w:rFonts w:ascii="Arial" w:cs="Arial" w:eastAsia="Arial" w:hAnsi="Arial"/>
                <w:sz w:val="15"/>
                <w:szCs w:val="15"/>
                <w:color w:val="auto"/>
                <w:w w:val="95"/>
              </w:rPr>
              <w:t>$</w:t>
            </w:r>
          </w:p>
        </w:tc>
        <w:tc>
          <w:tcPr>
            <w:tcW w:w="5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16,395</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15,526</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7,845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00"/>
        <w:spacing w:after="0"/>
        <w:rPr>
          <w:sz w:val="20"/>
          <w:szCs w:val="20"/>
          <w:color w:val="auto"/>
        </w:rPr>
      </w:pPr>
      <w:r>
        <w:rPr>
          <w:rFonts w:ascii="Arial" w:cs="Arial" w:eastAsia="Arial" w:hAnsi="Arial"/>
          <w:sz w:val="14"/>
          <w:szCs w:val="14"/>
          <w:color w:val="auto"/>
        </w:rPr>
        <w:t>At December 31, 2020, and December 31, 2019, there are $15.8 million and $13.9 million of unrecognized tax benefits that if recognized would affect the effective</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tax rate.</w:t>
      </w:r>
    </w:p>
    <w:p>
      <w:pPr>
        <w:spacing w:after="0" w:line="193" w:lineRule="exact"/>
        <w:rPr>
          <w:sz w:val="20"/>
          <w:szCs w:val="20"/>
          <w:color w:val="auto"/>
        </w:rPr>
      </w:pPr>
    </w:p>
    <w:p>
      <w:pPr>
        <w:ind w:right="20" w:firstLine="591"/>
        <w:spacing w:after="0" w:line="239" w:lineRule="auto"/>
        <w:rPr>
          <w:sz w:val="20"/>
          <w:szCs w:val="20"/>
          <w:color w:val="auto"/>
        </w:rPr>
      </w:pPr>
      <w:r>
        <w:rPr>
          <w:rFonts w:ascii="Arial" w:cs="Arial" w:eastAsia="Arial" w:hAnsi="Arial"/>
          <w:sz w:val="15"/>
          <w:szCs w:val="15"/>
          <w:color w:val="auto"/>
        </w:rPr>
        <w:t>The Company recognizes interest and penalties related to unrecognized tax benefits as part of its income tax expense. During the years ended December 31, 2020, December 31, 2019, and December 31, 2018, the Company recognized approximately $1.1 million, $1.3 million, and $0.0 million in interest and penalties, respectively for each year, in the Consolidated Statements of Income. The total amount of interest and penalties accrued in the Consolidated Balance Sheets was $4.4 million, $3.4 million, and $2.0 million at December 31, 2020, December 31, 2019, and December 31, 2018, respectively.</w:t>
      </w:r>
    </w:p>
    <w:p>
      <w:pPr>
        <w:spacing w:after="0" w:line="166" w:lineRule="exact"/>
        <w:rPr>
          <w:sz w:val="20"/>
          <w:szCs w:val="20"/>
          <w:color w:val="auto"/>
        </w:rPr>
      </w:pPr>
    </w:p>
    <w:p>
      <w:pPr>
        <w:ind w:right="60" w:firstLine="867"/>
        <w:spacing w:after="0" w:line="235" w:lineRule="auto"/>
        <w:rPr>
          <w:sz w:val="20"/>
          <w:szCs w:val="20"/>
          <w:color w:val="auto"/>
        </w:rPr>
      </w:pPr>
      <w:r>
        <w:rPr>
          <w:rFonts w:ascii="Arial" w:cs="Arial" w:eastAsia="Arial" w:hAnsi="Arial"/>
          <w:sz w:val="15"/>
          <w:szCs w:val="15"/>
          <w:color w:val="auto"/>
        </w:rPr>
        <w:t>The Company conducts business globally and, as a result, the Company or one or more of its subsidiaries file income tax returns in the U.S. federal jurisdiction, various U.S. states, and foreign jurisdictions. The Company is subject to examination by tax authorities in several jurisdictions, including major jurisdictions such as Canada, Mexico, Qatar, Saudi Arabia and the United States. As of December 31, 2020, the Company’s U.S. federal income tax returns for tax years 2017 and forward remain subject to examination. U.S. states and foreign income tax returns remain subject to examination based on varying local statutes of limitations.</w:t>
      </w:r>
    </w:p>
    <w:p>
      <w:pPr>
        <w:spacing w:after="0" w:line="178" w:lineRule="exact"/>
        <w:rPr>
          <w:sz w:val="20"/>
          <w:szCs w:val="20"/>
          <w:color w:val="auto"/>
        </w:rPr>
      </w:pPr>
    </w:p>
    <w:p>
      <w:pPr>
        <w:ind w:firstLine="591"/>
        <w:spacing w:after="0" w:line="239" w:lineRule="auto"/>
        <w:rPr>
          <w:sz w:val="20"/>
          <w:szCs w:val="20"/>
          <w:color w:val="auto"/>
        </w:rPr>
      </w:pPr>
      <w:r>
        <w:rPr>
          <w:rFonts w:ascii="Arial" w:cs="Arial" w:eastAsia="Arial" w:hAnsi="Arial"/>
          <w:sz w:val="15"/>
          <w:szCs w:val="15"/>
          <w:color w:val="auto"/>
        </w:rPr>
        <w:t>The Company estimates that, within 12 months, it may decrease its uncertain tax positions by approximately $0.3 million as a result of concluding various tax audits and closing tax years.</w:t>
      </w:r>
    </w:p>
    <w:p>
      <w:pPr>
        <w:spacing w:after="0" w:line="166" w:lineRule="exact"/>
        <w:rPr>
          <w:sz w:val="20"/>
          <w:szCs w:val="20"/>
          <w:color w:val="auto"/>
        </w:rPr>
      </w:pPr>
    </w:p>
    <w:p>
      <w:pPr>
        <w:ind w:right="80" w:firstLine="591"/>
        <w:spacing w:after="0" w:line="260" w:lineRule="auto"/>
        <w:rPr>
          <w:sz w:val="20"/>
          <w:szCs w:val="20"/>
          <w:color w:val="auto"/>
        </w:rPr>
      </w:pPr>
      <w:r>
        <w:rPr>
          <w:rFonts w:ascii="Arial" w:cs="Arial" w:eastAsia="Arial" w:hAnsi="Arial"/>
          <w:sz w:val="14"/>
          <w:szCs w:val="14"/>
          <w:color w:val="auto"/>
        </w:rPr>
        <w:t>Although the Company believes its reserves for its tax positions are reasonable, the final outcome of tax audits could be significantly different, both favorably and unfavorably. It is reasonably possible that these audits may conclude in the next 12 months and that the unrecognized tax benefits the Company has recorded in relation to these tax years may change compared to the liabilities recorded for these periods. However, it is not currently possible to estimate the amount, if any, of such change.</w:t>
      </w:r>
    </w:p>
    <w:p>
      <w:pPr>
        <w:spacing w:after="0" w:line="223" w:lineRule="exact"/>
        <w:rPr>
          <w:sz w:val="20"/>
          <w:szCs w:val="20"/>
          <w:color w:val="auto"/>
        </w:rPr>
      </w:pPr>
    </w:p>
    <w:p>
      <w:pPr>
        <w:ind w:left="600" w:hanging="591"/>
        <w:spacing w:after="0"/>
        <w:tabs>
          <w:tab w:leader="none" w:pos="600"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Contingencies</w:t>
      </w:r>
    </w:p>
    <w:p>
      <w:pPr>
        <w:spacing w:after="0" w:line="100" w:lineRule="exact"/>
        <w:rPr>
          <w:sz w:val="20"/>
          <w:szCs w:val="20"/>
          <w:color w:val="auto"/>
        </w:rPr>
      </w:pPr>
    </w:p>
    <w:p>
      <w:pPr>
        <w:ind w:right="40" w:firstLine="711"/>
        <w:spacing w:after="0" w:line="233" w:lineRule="auto"/>
        <w:rPr>
          <w:sz w:val="20"/>
          <w:szCs w:val="20"/>
          <w:color w:val="auto"/>
        </w:rPr>
      </w:pPr>
      <w:r>
        <w:rPr>
          <w:rFonts w:ascii="Arial" w:cs="Arial" w:eastAsia="Arial" w:hAnsi="Arial"/>
          <w:sz w:val="15"/>
          <w:szCs w:val="15"/>
          <w:color w:val="auto"/>
        </w:rPr>
        <w:t>The Company is subject to certain lawsuits, claims and assessments that arise in the ordinary course of business. Additionally, the Company has been named as a defendant in lawsuits alleging personal injuries as a result of contact with asbestos products at various project sites. Management believes that any significant costs relating to these claims will be reimbursed by applicable insurance and, although there can be no assurance that these matters will be resolved favorably, management believes that the ultimate resolution of any of these claims will not have a material adverse effect on our consolidated financial position, results of operations, or cash flows. A liability is recorded when it is both probable that a loss has been incurred and the amount of loss or range of loss can be reasonably estimated. When using a range of loss estimate, the Company records the liability using the low end of the range. The Company records a corresponding receivable for costs covered under its insurance policies. Management judgment is required to determine the outcome and the estimated amount of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8" w:name="page139"/>
    <w:bookmarkEnd w:id="138"/>
    <w:p>
      <w:pPr>
        <w:jc w:val="center"/>
        <w:ind w:right="-1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1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loss related to such matters. Management believes that there are no claims or assessments outstanding which would materially affect the consolidated results of operations or the Company’s financial position.</w:t>
      </w:r>
    </w:p>
    <w:p>
      <w:pPr>
        <w:spacing w:after="0" w:line="100" w:lineRule="exact"/>
        <w:rPr>
          <w:sz w:val="20"/>
          <w:szCs w:val="20"/>
          <w:color w:val="auto"/>
        </w:rPr>
      </w:pPr>
    </w:p>
    <w:p>
      <w:pPr>
        <w:ind w:firstLine="786"/>
        <w:spacing w:after="0" w:line="235" w:lineRule="auto"/>
        <w:rPr>
          <w:sz w:val="20"/>
          <w:szCs w:val="20"/>
          <w:color w:val="auto"/>
        </w:rPr>
      </w:pPr>
      <w:r>
        <w:rPr>
          <w:rFonts w:ascii="Arial" w:cs="Arial" w:eastAsia="Arial" w:hAnsi="Arial"/>
          <w:sz w:val="15"/>
          <w:szCs w:val="15"/>
          <w:color w:val="auto"/>
        </w:rPr>
        <w:t>On or about March 1, 2017, the Peninsula Corridor Joint Powers Board, or the JPB, filed a lawsuit against Parsons Transportation Group, Inc., or PTG, in the Superior Court of California, County of San Mateo, in connection with a positive train control project on which PTG was engaged prior to termination of its contract by the JPB. PTG had previously filed a lawsuit against the JPB for breach of contract and wrongful termination. The JPB seeks damages in excess of $100.0 million, which the Company is currently disputing. In addition to filing a complaint for breach of contract and wrongful termination, the Company has denied the allegations raised by the JPB and, accordingly, filed affirmative defenses. The Company is currently defending against the JPB’s claims and the parties are still engaged in discovery. The Company also has a professional liability insurance policy to the extent the JPB proves any errors or omissions occurred. At this time, the Company is unable to determine the probability of the outcome of the litigation or determine a potential range of loss, if any. The Company has also filed a third-party claim against a subcontractor for indemnification in connection with this matter.</w:t>
      </w:r>
    </w:p>
    <w:p>
      <w:pPr>
        <w:spacing w:after="0" w:line="167" w:lineRule="exact"/>
        <w:rPr>
          <w:sz w:val="20"/>
          <w:szCs w:val="20"/>
          <w:color w:val="auto"/>
        </w:rPr>
      </w:pPr>
    </w:p>
    <w:p>
      <w:pPr>
        <w:ind w:right="100" w:firstLine="737"/>
        <w:spacing w:after="0" w:line="233" w:lineRule="auto"/>
        <w:rPr>
          <w:sz w:val="20"/>
          <w:szCs w:val="20"/>
          <w:color w:val="auto"/>
        </w:rPr>
      </w:pPr>
      <w:r>
        <w:rPr>
          <w:rFonts w:ascii="Arial" w:cs="Arial" w:eastAsia="Arial" w:hAnsi="Arial"/>
          <w:sz w:val="15"/>
          <w:szCs w:val="15"/>
          <w:color w:val="auto"/>
        </w:rPr>
        <w:t>In September 2015, a former Parsons employee filed an action in the United States District Court for the Northern District of Alabama against us as a qui tam relator on behalf of the United States (the “Relator”) alleging violation of the False Claims Act. The United States government did not intervene in this matter as it is allowed to do so under the statute. The Company filed a motion to dismiss the lawsuit on the grounds that the Relator did not meet the applicable statute of limitations. The District Court granted the motion to dismiss. The Relator’s attorney appealed the decision to the United States Court of Appeals of the Eleventh Circuit, which ultimately ruled in favor of the Relator, and the Company petitioned the United States Supreme Court to review the decision. The Supreme Court reviewed the decision and accepted the position of the Relator. The case was thus remanded to the United States District Court for the Northern District of Alabama. The defendants, including Parsons, will file appropriate pleadings opposing the allegations. At this time, the Company is unable to determine the probability of the outcome of the litigation or determine a potential range of loss, if any.</w:t>
      </w:r>
    </w:p>
    <w:p>
      <w:pPr>
        <w:spacing w:after="0" w:line="168" w:lineRule="exact"/>
        <w:rPr>
          <w:sz w:val="20"/>
          <w:szCs w:val="20"/>
          <w:color w:val="auto"/>
        </w:rPr>
      </w:pPr>
    </w:p>
    <w:p>
      <w:pPr>
        <w:ind w:right="60" w:firstLine="737"/>
        <w:spacing w:after="0" w:line="235" w:lineRule="auto"/>
        <w:rPr>
          <w:sz w:val="20"/>
          <w:szCs w:val="20"/>
          <w:color w:val="auto"/>
        </w:rPr>
      </w:pPr>
      <w:r>
        <w:rPr>
          <w:rFonts w:ascii="Arial" w:cs="Arial" w:eastAsia="Arial" w:hAnsi="Arial"/>
          <w:sz w:val="15"/>
          <w:szCs w:val="15"/>
          <w:color w:val="auto"/>
        </w:rPr>
        <w:t>On or about October 4, 2019, LBH Engineers, LLC (“LBH”) filed a lawsuit against Parsons, PTG, and various other parties in the US District Court of for the Northern District of Georgia, in connection with an alleged infringement of LBH’s patent. LBH seeks damages and costs incurred by LBH, a post-judgment royalty and treble damages if the infringement is found to be willful, among other damages, which the Company and the other defendants are currently disputing. At this time, the Company is unable to determine the probability of the outcome of the litigation or determine a potential range of loss, if any.</w:t>
      </w:r>
    </w:p>
    <w:p>
      <w:pPr>
        <w:spacing w:after="0" w:line="167" w:lineRule="exact"/>
        <w:rPr>
          <w:sz w:val="20"/>
          <w:szCs w:val="20"/>
          <w:color w:val="auto"/>
        </w:rPr>
      </w:pPr>
    </w:p>
    <w:p>
      <w:pPr>
        <w:ind w:right="80" w:firstLine="737"/>
        <w:spacing w:after="0" w:line="233" w:lineRule="auto"/>
        <w:rPr>
          <w:sz w:val="20"/>
          <w:szCs w:val="20"/>
          <w:color w:val="auto"/>
        </w:rPr>
      </w:pPr>
      <w:r>
        <w:rPr>
          <w:rFonts w:ascii="Arial" w:cs="Arial" w:eastAsia="Arial" w:hAnsi="Arial"/>
          <w:sz w:val="15"/>
          <w:szCs w:val="15"/>
          <w:color w:val="auto"/>
        </w:rPr>
        <w:t>Federal government contracts are subject to audits, which are performed for the most part by the Defense Contract Audit Agency (“DCAA”). Audits by the DCAA and other agencies consist of reviews of our overhead rates, operating systems and cost proposals to ensure that we account for such costs in accordance with the Cost Accounting Standards (“CAS”). If the DCAA determines we have not accounted for such costs in accordance with the CAS, the DCAA may disallow these costs. The disallowance of such costs may result in a reduction of revenue and additional liability for the Company. Historically, the Company has not experienced any material disallowed costs as a result of government audits. However, the Company can provide no assurance that the DCAA or other government audits will not result in material disallowances for incurred costs in the future. All audits of costs incurred on work performed through 2010 have been closed, and years thereafter remain open.</w:t>
      </w:r>
    </w:p>
    <w:p>
      <w:pPr>
        <w:spacing w:after="0" w:line="170" w:lineRule="exact"/>
        <w:rPr>
          <w:sz w:val="20"/>
          <w:szCs w:val="20"/>
          <w:color w:val="auto"/>
        </w:rPr>
      </w:pPr>
    </w:p>
    <w:p>
      <w:pPr>
        <w:ind w:right="340" w:firstLine="737"/>
        <w:spacing w:after="0" w:line="239" w:lineRule="auto"/>
        <w:rPr>
          <w:sz w:val="20"/>
          <w:szCs w:val="20"/>
          <w:color w:val="auto"/>
        </w:rPr>
      </w:pPr>
      <w:r>
        <w:rPr>
          <w:rFonts w:ascii="Arial" w:cs="Arial" w:eastAsia="Arial" w:hAnsi="Arial"/>
          <w:sz w:val="15"/>
          <w:szCs w:val="15"/>
          <w:color w:val="auto"/>
        </w:rPr>
        <w:t>Although there can be no assurance that these matters will be resolved favorably, management believes that their ultimate resolution will not have a material adverse impact on the Company’s consolidated financial position, results of operations, or cash flows.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39" w:name="page140"/>
    <w:bookmarkEnd w:id="139"/>
    <w:p>
      <w:pPr>
        <w:jc w:val="center"/>
        <w:ind w:right="-59"/>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Notes to Consolidated Financial Statements</w:t>
      </w:r>
    </w:p>
    <w:p>
      <w:pPr>
        <w:jc w:val="center"/>
        <w:ind w:right="-59"/>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hanging="591"/>
        <w:spacing w:after="0"/>
        <w:tabs>
          <w:tab w:leader="none" w:pos="600" w:val="left"/>
        </w:tabs>
        <w:numPr>
          <w:ilvl w:val="0"/>
          <w:numId w:val="64"/>
        </w:numPr>
        <w:rPr>
          <w:rFonts w:ascii="Arial" w:cs="Arial" w:eastAsia="Arial" w:hAnsi="Arial"/>
          <w:sz w:val="15"/>
          <w:szCs w:val="15"/>
          <w:b w:val="1"/>
          <w:bCs w:val="1"/>
          <w:color w:val="auto"/>
        </w:rPr>
      </w:pPr>
      <w:r>
        <w:rPr>
          <w:rFonts w:ascii="Arial" w:cs="Arial" w:eastAsia="Arial" w:hAnsi="Arial"/>
          <w:sz w:val="15"/>
          <w:szCs w:val="15"/>
          <w:b w:val="1"/>
          <w:bCs w:val="1"/>
          <w:color w:val="auto"/>
        </w:rPr>
        <w:t>Retirement and Other Benefit Plans</w:t>
      </w:r>
    </w:p>
    <w:p>
      <w:pPr>
        <w:spacing w:after="0" w:line="100" w:lineRule="exact"/>
        <w:rPr>
          <w:sz w:val="20"/>
          <w:szCs w:val="20"/>
          <w:color w:val="auto"/>
        </w:rPr>
      </w:pPr>
    </w:p>
    <w:p>
      <w:pPr>
        <w:ind w:right="100" w:firstLine="591"/>
        <w:spacing w:after="0" w:line="233" w:lineRule="auto"/>
        <w:rPr>
          <w:sz w:val="20"/>
          <w:szCs w:val="20"/>
          <w:color w:val="auto"/>
        </w:rPr>
      </w:pPr>
      <w:r>
        <w:rPr>
          <w:rFonts w:ascii="Arial" w:cs="Arial" w:eastAsia="Arial" w:hAnsi="Arial"/>
          <w:sz w:val="15"/>
          <w:szCs w:val="15"/>
          <w:color w:val="auto"/>
        </w:rPr>
        <w:t>The Company’s principal retirement benefit plan is the ESOP, a stock bonus plan, established in 1975 to cover eligible employees of the Company and certain affiliated companies. Contributions of treasury stock to ESOP are made annually in amounts determined by the Company’s board of directors and are held in trust for the sole benefit of the participants. Shares allocated to a participant’s account are fully vested after six years of credited service, or in the event(s) of reaching age 65, death or disability while an active employee of the Company. As of December 31, 2020, the total shares of the Company’s common stock outstanding were 102,360,662, of which 76,641,312 were held by the ESOP. As of December 31, 2019, the total shares of the Company’s common stock outstanding were 100,669,694, of which 78,896,806 were held by the ESOP.</w:t>
      </w:r>
    </w:p>
    <w:p>
      <w:pPr>
        <w:spacing w:after="0" w:line="170" w:lineRule="exact"/>
        <w:rPr>
          <w:sz w:val="20"/>
          <w:szCs w:val="20"/>
          <w:color w:val="auto"/>
        </w:rPr>
      </w:pPr>
    </w:p>
    <w:p>
      <w:pPr>
        <w:ind w:firstLine="737"/>
        <w:spacing w:after="0" w:line="235" w:lineRule="auto"/>
        <w:rPr>
          <w:sz w:val="20"/>
          <w:szCs w:val="20"/>
          <w:color w:val="auto"/>
        </w:rPr>
      </w:pPr>
      <w:r>
        <w:rPr>
          <w:rFonts w:ascii="Arial" w:cs="Arial" w:eastAsia="Arial" w:hAnsi="Arial"/>
          <w:sz w:val="15"/>
          <w:szCs w:val="15"/>
          <w:color w:val="auto"/>
        </w:rPr>
        <w:t>A participant’s interest in their ESOP account is redeemable upon certain events, including retirement, death, termination due to permanent disability, a severe financial hardship following termination of employment, certain conflicts of interest following termination of employment, or the exercise of diversification rights. Distributions from the ESOP of participants’ interests are made in the Company’s common stock based on quoted prices of a share of the Company’s common stock on the NYSE. A participant will be able to sell such shares of common stock in the market, subject to any requirements of the federal securities laws.</w:t>
      </w:r>
    </w:p>
    <w:p>
      <w:pPr>
        <w:spacing w:after="0" w:line="167" w:lineRule="exact"/>
        <w:rPr>
          <w:sz w:val="20"/>
          <w:szCs w:val="20"/>
          <w:color w:val="auto"/>
        </w:rPr>
      </w:pPr>
    </w:p>
    <w:p>
      <w:pPr>
        <w:jc w:val="both"/>
        <w:ind w:right="240" w:firstLine="591"/>
        <w:spacing w:after="0" w:line="236" w:lineRule="auto"/>
        <w:rPr>
          <w:sz w:val="20"/>
          <w:szCs w:val="20"/>
          <w:color w:val="auto"/>
        </w:rPr>
      </w:pPr>
      <w:r>
        <w:rPr>
          <w:rFonts w:ascii="Arial" w:cs="Arial" w:eastAsia="Arial" w:hAnsi="Arial"/>
          <w:sz w:val="15"/>
          <w:szCs w:val="15"/>
          <w:color w:val="auto"/>
        </w:rPr>
        <w:t>Total ESOP contribution expense was approximately $55.3 million, $55.5 million and $45.2 million for the years ended December 31, 2020, December 31, 2019 and December 31, 2018, respectively, and is recorded in “Direct costs of contracts” and “Indirect, general and administrative expense” in the consolidated statements of income.</w:t>
      </w:r>
    </w:p>
    <w:p>
      <w:pPr>
        <w:spacing w:after="0" w:line="189" w:lineRule="exact"/>
        <w:rPr>
          <w:sz w:val="20"/>
          <w:szCs w:val="20"/>
          <w:color w:val="auto"/>
        </w:rPr>
      </w:pPr>
    </w:p>
    <w:p>
      <w:pPr>
        <w:ind w:right="60" w:firstLine="781"/>
        <w:spacing w:after="0" w:line="236" w:lineRule="auto"/>
        <w:rPr>
          <w:sz w:val="20"/>
          <w:szCs w:val="20"/>
          <w:color w:val="auto"/>
        </w:rPr>
      </w:pPr>
      <w:r>
        <w:rPr>
          <w:rFonts w:ascii="Arial" w:cs="Arial" w:eastAsia="Arial" w:hAnsi="Arial"/>
          <w:sz w:val="15"/>
          <w:szCs w:val="15"/>
          <w:color w:val="auto"/>
        </w:rPr>
        <w:t>On April 3, 2019, the board of directors of the Company declared a cash dividend to the Company’s sole existing shareholder at that time, the ESOP, in the amount of $2.00 per share, or $52.1 million in the aggregate (the “IPO Dividend”). The IPO Dividend was paid on May 10, 2019. On April 15, 2019, the board of directors of the Company declared the Stock Dividend in a ratio of two shares of common stock for every one share of common stock then held by the Company’s shareholder. The record date of the Stock Dividend was May 7, 2019, the day immediately prior to the consummation of the Company’s IPO on May 8, 2019, and the payment date of the Stock Dividend was May 8, 2019. Purchasers of the Company’s common stock in the Company’s public offering were not entitled to receive any portion of the Stock Dividend. During the years ended December 31, 2020 and December 31, 2018, the Company did not declare any dividends.</w:t>
      </w:r>
    </w:p>
    <w:p>
      <w:pPr>
        <w:spacing w:after="0" w:line="168"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The Company also maintains a defined contribution plan (the “401(k) Plan”). Substantially all domestic employees are entitled to participate in the 401(k) Plan, subject to certain minimum requirements. The Company’s contributions to the 401(k) Plan for the years ended December 31, 2020, December 31, 2019 and December 31, 2018 amounted to $24.4 million, $25.2 million, and $17.1 million, respectively.</w:t>
      </w:r>
    </w:p>
    <w:p>
      <w:pPr>
        <w:spacing w:after="0" w:line="178" w:lineRule="exact"/>
        <w:rPr>
          <w:sz w:val="20"/>
          <w:szCs w:val="20"/>
          <w:color w:val="auto"/>
        </w:rPr>
      </w:pPr>
    </w:p>
    <w:p>
      <w:pPr>
        <w:ind w:firstLine="591"/>
        <w:spacing w:after="0" w:line="239" w:lineRule="auto"/>
        <w:rPr>
          <w:sz w:val="20"/>
          <w:szCs w:val="20"/>
          <w:color w:val="auto"/>
        </w:rPr>
      </w:pPr>
      <w:r>
        <w:rPr>
          <w:rFonts w:ascii="Arial" w:cs="Arial" w:eastAsia="Arial" w:hAnsi="Arial"/>
          <w:sz w:val="15"/>
          <w:szCs w:val="15"/>
          <w:color w:val="auto"/>
        </w:rPr>
        <w:t>As part of an acquisition in 2014, the Company acquired a defined contribution pension plan, a defined benefit pension plan, and supplemental retirement plan. For the defined contribution pension plan, the Company contributes a base amount plus an additional amount based upon a predetermined formula. At December 31, 2020 and December 31, 2019, the defined benefit pension plan was in a net asset position of $2.0 million and $2.1 million, respectively, which is recorded in “Other noncurrent assets” on the consolidated balance sheets.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40"/>
          </w:cols>
          <w:pgMar w:left="300" w:top="122" w:right="35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hanging="591"/>
        <w:spacing w:after="0"/>
        <w:tabs>
          <w:tab w:leader="none" w:pos="60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Investments in and Advances to Joint Ventures</w:t>
      </w:r>
    </w:p>
    <w:p>
      <w:pPr>
        <w:spacing w:after="0" w:line="100" w:lineRule="exact"/>
        <w:rPr>
          <w:sz w:val="20"/>
          <w:szCs w:val="20"/>
          <w:color w:val="auto"/>
        </w:rPr>
      </w:pPr>
    </w:p>
    <w:p>
      <w:pPr>
        <w:ind w:right="140" w:firstLine="591"/>
        <w:spacing w:after="0" w:line="239" w:lineRule="auto"/>
        <w:rPr>
          <w:sz w:val="20"/>
          <w:szCs w:val="20"/>
          <w:color w:val="auto"/>
        </w:rPr>
      </w:pPr>
      <w:r>
        <w:rPr>
          <w:rFonts w:ascii="Arial" w:cs="Arial" w:eastAsia="Arial" w:hAnsi="Arial"/>
          <w:sz w:val="15"/>
          <w:szCs w:val="15"/>
          <w:color w:val="auto"/>
        </w:rPr>
        <w:t>The Company participates in joint ventures to bid, negotiate and complete specific projects. The Company is required to consolidate these joint ventures if it holds the majority voting interest or if the Company meets the criteria under the consolidation model, as described below.</w:t>
      </w:r>
    </w:p>
    <w:p>
      <w:pPr>
        <w:spacing w:after="0" w:line="166"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The Company performs an analysis to determine whether its variable interests give the Company a controlling financial interest in a VIE for which the Company is the primary beneficiary and should, therefore, be consolidated. Such analysis requires the Company to assess whether it has the power to direct the activities of the VIE and the obligation to absorb losses or the right to receive benefits that could potentially be significant to the VIE.</w:t>
      </w:r>
    </w:p>
    <w:p>
      <w:pPr>
        <w:spacing w:after="0" w:line="167" w:lineRule="exact"/>
        <w:rPr>
          <w:sz w:val="20"/>
          <w:szCs w:val="20"/>
          <w:color w:val="auto"/>
        </w:rPr>
      </w:pPr>
    </w:p>
    <w:p>
      <w:pPr>
        <w:ind w:right="100" w:firstLine="591"/>
        <w:spacing w:after="0" w:line="260" w:lineRule="auto"/>
        <w:rPr>
          <w:sz w:val="20"/>
          <w:szCs w:val="20"/>
          <w:color w:val="auto"/>
        </w:rPr>
      </w:pPr>
      <w:r>
        <w:rPr>
          <w:rFonts w:ascii="Arial" w:cs="Arial" w:eastAsia="Arial" w:hAnsi="Arial"/>
          <w:sz w:val="14"/>
          <w:szCs w:val="14"/>
          <w:color w:val="auto"/>
        </w:rPr>
        <w:t>The Company analyzed all of its joint ventures and classified them into two groups: (1) joint ventures that must be consolidated because they are either not VIEs and the Company holds the majority voting interest, or because they are VIEs and the Company is the primary beneficiary; and (2) joint ventures that do not need to be consolidated because they are either not VIEs and the Company holds a minority voting interest, or because they are VIEs and the Company is not the primary beneficiary.</w:t>
      </w:r>
    </w:p>
    <w:p>
      <w:pPr>
        <w:spacing w:after="0" w:line="153" w:lineRule="exact"/>
        <w:rPr>
          <w:sz w:val="20"/>
          <w:szCs w:val="20"/>
          <w:color w:val="auto"/>
        </w:rPr>
      </w:pPr>
    </w:p>
    <w:p>
      <w:pPr>
        <w:ind w:right="660" w:firstLine="591"/>
        <w:spacing w:after="0" w:line="239" w:lineRule="auto"/>
        <w:rPr>
          <w:sz w:val="20"/>
          <w:szCs w:val="20"/>
          <w:color w:val="auto"/>
        </w:rPr>
      </w:pPr>
      <w:r>
        <w:rPr>
          <w:rFonts w:ascii="Arial" w:cs="Arial" w:eastAsia="Arial" w:hAnsi="Arial"/>
          <w:sz w:val="15"/>
          <w:szCs w:val="15"/>
          <w:color w:val="auto"/>
        </w:rPr>
        <w:t>Many of the Company’s joint venture agreements provide for capital calls to fund operations, as necessary; however, such funding is infrequent and is not anticipated to be material.</w:t>
      </w:r>
    </w:p>
    <w:p>
      <w:pPr>
        <w:spacing w:after="0" w:line="150" w:lineRule="exact"/>
        <w:rPr>
          <w:sz w:val="20"/>
          <w:szCs w:val="20"/>
          <w:color w:val="auto"/>
        </w:rPr>
      </w:pPr>
    </w:p>
    <w:p>
      <w:pPr>
        <w:ind w:right="220" w:firstLine="591"/>
        <w:spacing w:after="0" w:line="260" w:lineRule="auto"/>
        <w:rPr>
          <w:sz w:val="20"/>
          <w:szCs w:val="20"/>
          <w:color w:val="auto"/>
        </w:rPr>
      </w:pPr>
      <w:r>
        <w:rPr>
          <w:rFonts w:ascii="Arial" w:cs="Arial" w:eastAsia="Arial" w:hAnsi="Arial"/>
          <w:sz w:val="15"/>
          <w:szCs w:val="15"/>
          <w:color w:val="auto"/>
        </w:rPr>
        <w:t>Letters of credit outstanding described in ‘Note 12—</w:t>
      </w:r>
      <w:r>
        <w:rPr>
          <w:rFonts w:ascii="Arial" w:cs="Arial" w:eastAsia="Arial" w:hAnsi="Arial"/>
          <w:sz w:val="15"/>
          <w:szCs w:val="15"/>
          <w:i w:val="1"/>
          <w:iCs w:val="1"/>
          <w:color w:val="auto"/>
        </w:rPr>
        <w:t>Debt and Credit Facilities</w:t>
      </w:r>
      <w:r>
        <w:rPr>
          <w:rFonts w:ascii="Arial" w:cs="Arial" w:eastAsia="Arial" w:hAnsi="Arial"/>
          <w:sz w:val="15"/>
          <w:szCs w:val="15"/>
          <w:color w:val="auto"/>
        </w:rPr>
        <w:t>” that relate to project ventures are approximately $59.3 million and $55.0 million at December 31, 2020 and December 31, 2019, respectively.</w:t>
      </w:r>
    </w:p>
    <w:p>
      <w:pPr>
        <w:spacing w:after="0" w:line="152" w:lineRule="exact"/>
        <w:rPr>
          <w:sz w:val="20"/>
          <w:szCs w:val="20"/>
          <w:color w:val="auto"/>
        </w:rPr>
      </w:pPr>
    </w:p>
    <w:p>
      <w:pPr>
        <w:ind w:right="240" w:firstLine="591"/>
        <w:spacing w:after="0" w:line="239" w:lineRule="auto"/>
        <w:rPr>
          <w:sz w:val="20"/>
          <w:szCs w:val="20"/>
          <w:color w:val="auto"/>
        </w:rPr>
      </w:pPr>
      <w:r>
        <w:rPr>
          <w:rFonts w:ascii="Arial" w:cs="Arial" w:eastAsia="Arial" w:hAnsi="Arial"/>
          <w:sz w:val="15"/>
          <w:szCs w:val="15"/>
          <w:color w:val="auto"/>
        </w:rPr>
        <w:t>In the table below, aggregated financial information relating to the Company’s joint ventures is provided because their nature, risk and reward characteristics are similar. None of the Company’s current joint ventures that meet the characteristics of a VIE are individually significant to the consolidated financial statements.</w:t>
      </w:r>
    </w:p>
    <w:p>
      <w:pPr>
        <w:spacing w:after="0" w:line="237"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Consolidated Joint Ventures</w:t>
      </w:r>
    </w:p>
    <w:p>
      <w:pPr>
        <w:spacing w:after="0" w:line="9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represents financial information for consolidated joint ventures included in the consolidated financial statements as of and for the years ended</w:t>
      </w:r>
    </w:p>
    <w:p>
      <w:pPr>
        <w:spacing w:after="0"/>
        <w:rPr>
          <w:sz w:val="20"/>
          <w:szCs w:val="20"/>
          <w:color w:val="auto"/>
        </w:rPr>
      </w:pPr>
      <w:r>
        <w:rPr>
          <w:rFonts w:ascii="Arial" w:cs="Arial" w:eastAsia="Arial" w:hAnsi="Arial"/>
          <w:sz w:val="15"/>
          <w:szCs w:val="15"/>
          <w:color w:val="auto"/>
        </w:rPr>
        <w:t>December 31, 2020, December 31, 2019 and December 31, 2018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520" w:type="dxa"/>
            <w:vAlign w:val="bottom"/>
            <w:tcBorders>
              <w:bottom w:val="single" w:sz="8" w:color="CFF0FC"/>
            </w:tcBorders>
          </w:tcPr>
          <w:p>
            <w:pPr>
              <w:spacing w:after="0"/>
              <w:rPr>
                <w:sz w:val="12"/>
                <w:szCs w:val="12"/>
                <w:color w:val="auto"/>
              </w:rPr>
            </w:pPr>
          </w:p>
        </w:tc>
        <w:tc>
          <w:tcPr>
            <w:tcW w:w="1280" w:type="dxa"/>
            <w:vAlign w:val="bottom"/>
            <w:tcBorders>
              <w:bottom w:val="single" w:sz="8" w:color="CFF0FC"/>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780" w:type="dxa"/>
            <w:vAlign w:val="bottom"/>
            <w:tcBorders>
              <w:bottom w:val="single" w:sz="8" w:color="CFF0FC"/>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2020</w:t>
            </w: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89"/>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4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Current assets</w:t>
            </w:r>
          </w:p>
        </w:tc>
        <w:tc>
          <w:tcPr>
            <w:tcW w:w="1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380"/>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292,407</w:t>
            </w:r>
          </w:p>
        </w:tc>
        <w:tc>
          <w:tcPr>
            <w:tcW w:w="3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255,167</w:t>
            </w:r>
          </w:p>
        </w:tc>
        <w:tc>
          <w:tcPr>
            <w:tcW w:w="120" w:type="dxa"/>
            <w:vAlign w:val="bottom"/>
            <w:shd w:val="clear" w:color="auto" w:fill="CFF0FC"/>
          </w:tcPr>
          <w:p>
            <w:pPr>
              <w:spacing w:after="0"/>
              <w:rPr>
                <w:sz w:val="14"/>
                <w:szCs w:val="14"/>
                <w:color w:val="auto"/>
              </w:rPr>
            </w:pPr>
          </w:p>
        </w:tc>
      </w:tr>
      <w:tr>
        <w:trPr>
          <w:trHeight w:val="177"/>
        </w:trPr>
        <w:tc>
          <w:tcPr>
            <w:tcW w:w="45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Noncurrent assets</w:t>
            </w:r>
          </w:p>
        </w:tc>
        <w:tc>
          <w:tcPr>
            <w:tcW w:w="1280" w:type="dxa"/>
            <w:vAlign w:val="bottom"/>
            <w:tcBorders>
              <w:bottom w:val="single" w:sz="8" w:color="CFF0FC"/>
            </w:tcBorders>
          </w:tcPr>
          <w:p>
            <w:pPr>
              <w:spacing w:after="0"/>
              <w:rPr>
                <w:sz w:val="15"/>
                <w:szCs w:val="15"/>
                <w:color w:val="auto"/>
              </w:rPr>
            </w:pPr>
          </w:p>
        </w:tc>
        <w:tc>
          <w:tcPr>
            <w:tcW w:w="360" w:type="dxa"/>
            <w:vAlign w:val="bottom"/>
            <w:tcBorders>
              <w:bottom w:val="single" w:sz="8" w:color="CFF0FC"/>
            </w:tcBorders>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2,990</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2,860</w:t>
            </w:r>
          </w:p>
        </w:tc>
        <w:tc>
          <w:tcPr>
            <w:tcW w:w="120" w:type="dxa"/>
            <w:vAlign w:val="bottom"/>
            <w:tcBorders>
              <w:bottom w:val="single" w:sz="8" w:color="CFF0FC"/>
            </w:tcBorders>
          </w:tcPr>
          <w:p>
            <w:pPr>
              <w:spacing w:after="0"/>
              <w:rPr>
                <w:sz w:val="15"/>
                <w:szCs w:val="15"/>
                <w:color w:val="auto"/>
              </w:rPr>
            </w:pPr>
          </w:p>
        </w:tc>
      </w:tr>
      <w:tr>
        <w:trPr>
          <w:trHeight w:val="168"/>
        </w:trPr>
        <w:tc>
          <w:tcPr>
            <w:tcW w:w="452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assets</w:t>
            </w:r>
          </w:p>
        </w:tc>
        <w:tc>
          <w:tcPr>
            <w:tcW w:w="1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295,397</w:t>
            </w:r>
          </w:p>
        </w:tc>
        <w:tc>
          <w:tcPr>
            <w:tcW w:w="3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258,027</w:t>
            </w:r>
          </w:p>
        </w:tc>
        <w:tc>
          <w:tcPr>
            <w:tcW w:w="120" w:type="dxa"/>
            <w:vAlign w:val="bottom"/>
            <w:shd w:val="clear" w:color="auto" w:fill="CFF0FC"/>
          </w:tcPr>
          <w:p>
            <w:pPr>
              <w:spacing w:after="0"/>
              <w:rPr>
                <w:sz w:val="14"/>
                <w:szCs w:val="14"/>
                <w:color w:val="auto"/>
              </w:rPr>
            </w:pPr>
          </w:p>
        </w:tc>
      </w:tr>
      <w:tr>
        <w:trPr>
          <w:trHeight w:val="168"/>
        </w:trPr>
        <w:tc>
          <w:tcPr>
            <w:tcW w:w="452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Current liabilities</w:t>
            </w:r>
          </w:p>
        </w:tc>
        <w:tc>
          <w:tcPr>
            <w:tcW w:w="128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78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201,270</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193,583</w:t>
            </w:r>
          </w:p>
        </w:tc>
        <w:tc>
          <w:tcPr>
            <w:tcW w:w="120" w:type="dxa"/>
            <w:vAlign w:val="bottom"/>
            <w:tcBorders>
              <w:bottom w:val="single" w:sz="8" w:color="CFF0FC"/>
            </w:tcBorders>
          </w:tcPr>
          <w:p>
            <w:pPr>
              <w:spacing w:after="0"/>
              <w:rPr>
                <w:sz w:val="14"/>
                <w:szCs w:val="14"/>
                <w:color w:val="auto"/>
              </w:rPr>
            </w:pPr>
          </w:p>
        </w:tc>
      </w:tr>
      <w:tr>
        <w:trPr>
          <w:trHeight w:val="168"/>
        </w:trPr>
        <w:tc>
          <w:tcPr>
            <w:tcW w:w="452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liabilities</w:t>
            </w:r>
          </w:p>
        </w:tc>
        <w:tc>
          <w:tcPr>
            <w:tcW w:w="1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201,270</w:t>
            </w:r>
          </w:p>
        </w:tc>
        <w:tc>
          <w:tcPr>
            <w:tcW w:w="3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193,583</w:t>
            </w:r>
          </w:p>
        </w:tc>
        <w:tc>
          <w:tcPr>
            <w:tcW w:w="120" w:type="dxa"/>
            <w:vAlign w:val="bottom"/>
            <w:shd w:val="clear" w:color="auto" w:fill="CFF0FC"/>
          </w:tcPr>
          <w:p>
            <w:pPr>
              <w:spacing w:after="0"/>
              <w:rPr>
                <w:sz w:val="14"/>
                <w:szCs w:val="14"/>
                <w:color w:val="auto"/>
              </w:rPr>
            </w:pPr>
          </w:p>
        </w:tc>
      </w:tr>
      <w:tr>
        <w:trPr>
          <w:trHeight w:val="168"/>
        </w:trPr>
        <w:tc>
          <w:tcPr>
            <w:tcW w:w="4520" w:type="dxa"/>
            <w:vAlign w:val="bottom"/>
          </w:tcPr>
          <w:p>
            <w:pPr>
              <w:ind w:left="220"/>
              <w:spacing w:after="0" w:line="169" w:lineRule="exact"/>
              <w:rPr>
                <w:sz w:val="20"/>
                <w:szCs w:val="20"/>
                <w:color w:val="auto"/>
              </w:rPr>
            </w:pPr>
            <w:r>
              <w:rPr>
                <w:rFonts w:ascii="Arial" w:cs="Arial" w:eastAsia="Arial" w:hAnsi="Arial"/>
                <w:sz w:val="15"/>
                <w:szCs w:val="15"/>
                <w:color w:val="auto"/>
              </w:rPr>
              <w:t>Total joint venture equity</w:t>
            </w: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94,127</w:t>
            </w:r>
          </w:p>
        </w:tc>
        <w:tc>
          <w:tcPr>
            <w:tcW w:w="3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64,444</w:t>
            </w:r>
          </w:p>
        </w:tc>
        <w:tc>
          <w:tcPr>
            <w:tcW w:w="120" w:type="dxa"/>
            <w:vAlign w:val="bottom"/>
          </w:tcPr>
          <w:p>
            <w:pPr>
              <w:spacing w:after="0"/>
              <w:rPr>
                <w:sz w:val="14"/>
                <w:szCs w:val="14"/>
                <w:color w:val="auto"/>
              </w:rPr>
            </w:pPr>
          </w:p>
        </w:tc>
      </w:tr>
      <w:tr>
        <w:trPr>
          <w:trHeight w:val="20"/>
        </w:trPr>
        <w:tc>
          <w:tcPr>
            <w:tcW w:w="4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452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2019</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24"/>
                <w:szCs w:val="24"/>
                <w:color w:val="auto"/>
              </w:rPr>
            </w:pPr>
          </w:p>
        </w:tc>
      </w:tr>
      <w:tr>
        <w:trPr>
          <w:trHeight w:val="168"/>
        </w:trPr>
        <w:tc>
          <w:tcPr>
            <w:tcW w:w="45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w:t>
            </w:r>
          </w:p>
        </w:tc>
        <w:tc>
          <w:tcPr>
            <w:tcW w:w="164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450,530</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39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473,486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540,345</w:t>
            </w:r>
          </w:p>
        </w:tc>
        <w:tc>
          <w:tcPr>
            <w:tcW w:w="120" w:type="dxa"/>
            <w:vAlign w:val="bottom"/>
            <w:shd w:val="clear" w:color="auto" w:fill="CFF0FC"/>
          </w:tcPr>
          <w:p>
            <w:pPr>
              <w:spacing w:after="0"/>
              <w:rPr>
                <w:sz w:val="14"/>
                <w:szCs w:val="14"/>
                <w:color w:val="auto"/>
              </w:rPr>
            </w:pPr>
          </w:p>
        </w:tc>
      </w:tr>
      <w:tr>
        <w:trPr>
          <w:trHeight w:val="177"/>
        </w:trPr>
        <w:tc>
          <w:tcPr>
            <w:tcW w:w="45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Costs</w:t>
            </w:r>
          </w:p>
        </w:tc>
        <w:tc>
          <w:tcPr>
            <w:tcW w:w="12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408,319</w:t>
            </w:r>
          </w:p>
        </w:tc>
        <w:tc>
          <w:tcPr>
            <w:tcW w:w="260" w:type="dxa"/>
            <w:vAlign w:val="bottom"/>
            <w:tcBorders>
              <w:bottom w:val="single" w:sz="8" w:color="CFF0FC"/>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435,947</w:t>
            </w:r>
          </w:p>
        </w:tc>
        <w:tc>
          <w:tcPr>
            <w:tcW w:w="28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376,628</w:t>
            </w:r>
          </w:p>
        </w:tc>
        <w:tc>
          <w:tcPr>
            <w:tcW w:w="120" w:type="dxa"/>
            <w:vAlign w:val="bottom"/>
            <w:tcBorders>
              <w:bottom w:val="single" w:sz="8" w:color="CFF0FC"/>
            </w:tcBorders>
          </w:tcPr>
          <w:p>
            <w:pPr>
              <w:spacing w:after="0"/>
              <w:rPr>
                <w:sz w:val="15"/>
                <w:szCs w:val="15"/>
                <w:color w:val="auto"/>
              </w:rPr>
            </w:pPr>
          </w:p>
        </w:tc>
      </w:tr>
      <w:tr>
        <w:trPr>
          <w:trHeight w:val="168"/>
        </w:trPr>
        <w:tc>
          <w:tcPr>
            <w:tcW w:w="452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Net income</w:t>
            </w:r>
          </w:p>
        </w:tc>
        <w:tc>
          <w:tcPr>
            <w:tcW w:w="1640" w:type="dxa"/>
            <w:vAlign w:val="bottom"/>
            <w:gridSpan w:val="2"/>
            <w:shd w:val="clear" w:color="auto" w:fill="CFF0FC"/>
          </w:tcPr>
          <w:p>
            <w:pPr>
              <w:jc w:val="right"/>
              <w:ind w:right="28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5"/>
                <w:szCs w:val="15"/>
                <w:color w:val="auto"/>
              </w:rPr>
              <w:t>42,211</w:t>
            </w:r>
          </w:p>
        </w:tc>
        <w:tc>
          <w:tcPr>
            <w:tcW w:w="26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390"/>
              <w:spacing w:after="0" w:line="169" w:lineRule="exact"/>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5"/>
                <w:szCs w:val="15"/>
                <w:color w:val="auto"/>
              </w:rPr>
              <w:t>37,539</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163,717</w:t>
            </w:r>
          </w:p>
        </w:tc>
        <w:tc>
          <w:tcPr>
            <w:tcW w:w="120" w:type="dxa"/>
            <w:vAlign w:val="bottom"/>
            <w:shd w:val="clear" w:color="auto" w:fill="CFF0FC"/>
          </w:tcPr>
          <w:p>
            <w:pPr>
              <w:spacing w:after="0"/>
              <w:rPr>
                <w:sz w:val="14"/>
                <w:szCs w:val="14"/>
                <w:color w:val="auto"/>
              </w:rPr>
            </w:pP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61"/>
        </w:trPr>
        <w:tc>
          <w:tcPr>
            <w:tcW w:w="4520" w:type="dxa"/>
            <w:vAlign w:val="bottom"/>
          </w:tcPr>
          <w:p>
            <w:pPr>
              <w:spacing w:after="0" w:line="161" w:lineRule="exact"/>
              <w:rPr>
                <w:sz w:val="20"/>
                <w:szCs w:val="20"/>
                <w:color w:val="auto"/>
              </w:rPr>
            </w:pPr>
            <w:r>
              <w:rPr>
                <w:rFonts w:ascii="Arial" w:cs="Arial" w:eastAsia="Arial" w:hAnsi="Arial"/>
                <w:sz w:val="15"/>
                <w:szCs w:val="15"/>
                <w:color w:val="auto"/>
              </w:rPr>
              <w:t>Net income attributable to noncontrolling interests</w:t>
            </w:r>
          </w:p>
        </w:tc>
        <w:tc>
          <w:tcPr>
            <w:tcW w:w="1640" w:type="dxa"/>
            <w:vAlign w:val="bottom"/>
            <w:gridSpan w:val="2"/>
          </w:tcPr>
          <w:p>
            <w:pPr>
              <w:jc w:val="right"/>
              <w:ind w:right="280"/>
              <w:spacing w:after="0" w:line="161"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0"/>
              <w:spacing w:after="0" w:line="161" w:lineRule="exact"/>
              <w:rPr>
                <w:sz w:val="20"/>
                <w:szCs w:val="20"/>
                <w:color w:val="auto"/>
              </w:rPr>
            </w:pPr>
            <w:r>
              <w:rPr>
                <w:rFonts w:ascii="Arial" w:cs="Arial" w:eastAsia="Arial" w:hAnsi="Arial"/>
                <w:sz w:val="15"/>
                <w:szCs w:val="15"/>
                <w:color w:val="auto"/>
              </w:rPr>
              <w:t>20,380</w:t>
            </w:r>
          </w:p>
        </w:tc>
        <w:tc>
          <w:tcPr>
            <w:tcW w:w="260" w:type="dxa"/>
            <w:vAlign w:val="bottom"/>
          </w:tcPr>
          <w:p>
            <w:pPr>
              <w:spacing w:after="0"/>
              <w:rPr>
                <w:sz w:val="14"/>
                <w:szCs w:val="14"/>
                <w:color w:val="auto"/>
              </w:rPr>
            </w:pPr>
          </w:p>
        </w:tc>
        <w:tc>
          <w:tcPr>
            <w:tcW w:w="540" w:type="dxa"/>
            <w:vAlign w:val="bottom"/>
          </w:tcPr>
          <w:p>
            <w:pPr>
              <w:jc w:val="right"/>
              <w:ind w:right="390"/>
              <w:spacing w:after="0" w:line="161" w:lineRule="exact"/>
              <w:rPr>
                <w:sz w:val="20"/>
                <w:szCs w:val="20"/>
                <w:color w:val="auto"/>
              </w:rPr>
            </w:pPr>
            <w:r>
              <w:rPr>
                <w:rFonts w:ascii="Arial" w:cs="Arial" w:eastAsia="Arial" w:hAnsi="Arial"/>
                <w:sz w:val="15"/>
                <w:szCs w:val="15"/>
                <w:color w:val="auto"/>
                <w:w w:val="71"/>
              </w:rPr>
              <w:t>$</w:t>
            </w:r>
          </w:p>
        </w:tc>
        <w:tc>
          <w:tcPr>
            <w:tcW w:w="1080" w:type="dxa"/>
            <w:vAlign w:val="bottom"/>
            <w:gridSpan w:val="3"/>
          </w:tcPr>
          <w:p>
            <w:pPr>
              <w:jc w:val="right"/>
              <w:spacing w:after="0" w:line="161" w:lineRule="exact"/>
              <w:rPr>
                <w:sz w:val="20"/>
                <w:szCs w:val="20"/>
                <w:color w:val="auto"/>
              </w:rPr>
            </w:pPr>
            <w:r>
              <w:rPr>
                <w:rFonts w:ascii="Arial" w:cs="Arial" w:eastAsia="Arial" w:hAnsi="Arial"/>
                <w:sz w:val="15"/>
                <w:szCs w:val="15"/>
                <w:color w:val="auto"/>
              </w:rPr>
              <w:t>16,594</w:t>
            </w:r>
          </w:p>
        </w:tc>
        <w:tc>
          <w:tcPr>
            <w:tcW w:w="280" w:type="dxa"/>
            <w:vAlign w:val="bottom"/>
          </w:tcPr>
          <w:p>
            <w:pPr>
              <w:spacing w:after="0"/>
              <w:rPr>
                <w:sz w:val="14"/>
                <w:szCs w:val="14"/>
                <w:color w:val="auto"/>
              </w:rPr>
            </w:pPr>
          </w:p>
        </w:tc>
        <w:tc>
          <w:tcPr>
            <w:tcW w:w="280" w:type="dxa"/>
            <w:vAlign w:val="bottom"/>
          </w:tcPr>
          <w:p>
            <w:pPr>
              <w:jc w:val="right"/>
              <w:ind w:right="126"/>
              <w:spacing w:after="0" w:line="161"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1" w:lineRule="exact"/>
              <w:rPr>
                <w:sz w:val="20"/>
                <w:szCs w:val="20"/>
                <w:color w:val="auto"/>
              </w:rPr>
            </w:pPr>
            <w:r>
              <w:rPr>
                <w:rFonts w:ascii="Arial" w:cs="Arial" w:eastAsia="Arial" w:hAnsi="Arial"/>
                <w:sz w:val="15"/>
                <w:szCs w:val="15"/>
                <w:color w:val="auto"/>
              </w:rPr>
              <w:t>17,099</w:t>
            </w:r>
          </w:p>
        </w:tc>
        <w:tc>
          <w:tcPr>
            <w:tcW w:w="120" w:type="dxa"/>
            <w:vAlign w:val="bottom"/>
          </w:tcPr>
          <w:p>
            <w:pPr>
              <w:spacing w:after="0"/>
              <w:rPr>
                <w:sz w:val="14"/>
                <w:szCs w:val="14"/>
                <w:color w:val="auto"/>
              </w:rPr>
            </w:pPr>
          </w:p>
        </w:tc>
      </w:tr>
    </w:tbl>
    <w:p>
      <w:pPr>
        <w:spacing w:after="0" w:line="188" w:lineRule="exact"/>
        <w:rPr>
          <w:sz w:val="20"/>
          <w:szCs w:val="20"/>
          <w:color w:val="auto"/>
        </w:rPr>
      </w:pPr>
    </w:p>
    <w:p>
      <w:pPr>
        <w:jc w:val="center"/>
        <w:ind w:left="740" w:right="160"/>
        <w:spacing w:after="0" w:line="485" w:lineRule="auto"/>
        <w:rPr>
          <w:sz w:val="20"/>
          <w:szCs w:val="20"/>
          <w:color w:val="auto"/>
        </w:rPr>
      </w:pPr>
      <w:r>
        <w:rPr>
          <w:rFonts w:ascii="Arial" w:cs="Arial" w:eastAsia="Arial" w:hAnsi="Arial"/>
          <w:sz w:val="15"/>
          <w:szCs w:val="15"/>
          <w:color w:val="auto"/>
        </w:rPr>
        <w:t>The assets of the consolidated joint ventures are restricted for use only by the particular joint venture and are not available for the Company’s general operations. 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-61595</wp:posOffset>
            </wp:positionV>
            <wp:extent cx="7157085" cy="139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73"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2018 includes reversal of a provisions related to a lawsuit against a joint venture in which the Company was the managing partner. See “Management’s Discussion and Analysis of Financial Condition and Results of Operations” in this Annual Report on Form 10-K for a description of this matter, which was resolved in favor of the Company on June 13, 2018.</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5"/>
          <w:szCs w:val="15"/>
          <w:b w:val="1"/>
          <w:bCs w:val="1"/>
          <w:i w:val="1"/>
          <w:iCs w:val="1"/>
          <w:color w:val="auto"/>
        </w:rPr>
        <w:t>Unconsolidated Joint Ventures</w:t>
      </w:r>
    </w:p>
    <w:p>
      <w:pPr>
        <w:spacing w:after="0" w:line="100" w:lineRule="exact"/>
        <w:rPr>
          <w:sz w:val="20"/>
          <w:szCs w:val="20"/>
          <w:color w:val="auto"/>
        </w:rPr>
      </w:pPr>
    </w:p>
    <w:p>
      <w:pPr>
        <w:ind w:right="140" w:firstLine="591"/>
        <w:spacing w:after="0" w:line="235" w:lineRule="auto"/>
        <w:rPr>
          <w:sz w:val="20"/>
          <w:szCs w:val="20"/>
          <w:color w:val="auto"/>
        </w:rPr>
      </w:pPr>
      <w:r>
        <w:rPr>
          <w:rFonts w:ascii="Arial" w:cs="Arial" w:eastAsia="Arial" w:hAnsi="Arial"/>
          <w:sz w:val="15"/>
          <w:szCs w:val="15"/>
          <w:color w:val="auto"/>
        </w:rPr>
        <w:t>The Company accounts for its unconsolidated joint ventures using the equity method of accounting. Under this method, the Company recognizes its proportionate share of the net earnings of these joint ventures as “Equity in earnings (loss) of unconsolidated joint ventures” in the consolidated statements of income. The Company’s maximum exposure to loss as a result of its investments in unconsolidated VIEs is typically limited to the aggregate of the carrying value of the investment and future funding commitments.</w:t>
      </w:r>
    </w:p>
    <w:p>
      <w:pPr>
        <w:spacing w:after="0" w:line="167" w:lineRule="exact"/>
        <w:rPr>
          <w:sz w:val="20"/>
          <w:szCs w:val="20"/>
          <w:color w:val="auto"/>
        </w:rPr>
      </w:pPr>
    </w:p>
    <w:p>
      <w:pPr>
        <w:ind w:right="40" w:firstLine="591"/>
        <w:spacing w:after="0" w:line="239" w:lineRule="auto"/>
        <w:rPr>
          <w:sz w:val="20"/>
          <w:szCs w:val="20"/>
          <w:color w:val="auto"/>
        </w:rPr>
      </w:pPr>
      <w:r>
        <w:rPr>
          <w:rFonts w:ascii="Arial" w:cs="Arial" w:eastAsia="Arial" w:hAnsi="Arial"/>
          <w:sz w:val="15"/>
          <w:szCs w:val="15"/>
          <w:color w:val="auto"/>
        </w:rPr>
        <w:t>The following represents the financial information of the Company’s unconsolidated joint ventures as presented in their unaudited financial statements as or and for the years ended December 31, 2020 and December 31, 2019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5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30"/>
              <w:spacing w:after="0"/>
              <w:rPr>
                <w:sz w:val="20"/>
                <w:szCs w:val="20"/>
                <w:color w:val="auto"/>
              </w:rPr>
            </w:pPr>
            <w:r>
              <w:rPr>
                <w:rFonts w:ascii="Arial" w:cs="Arial" w:eastAsia="Arial" w:hAnsi="Arial"/>
                <w:sz w:val="12"/>
                <w:szCs w:val="12"/>
                <w:b w:val="1"/>
                <w:bCs w:val="1"/>
                <w:color w:val="auto"/>
              </w:rPr>
              <w:t>2020</w:t>
            </w:r>
          </w:p>
        </w:tc>
        <w:tc>
          <w:tcPr>
            <w:tcW w:w="7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788"/>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2"/>
                <w:szCs w:val="12"/>
                <w:color w:val="auto"/>
              </w:rPr>
            </w:pPr>
          </w:p>
        </w:tc>
      </w:tr>
      <w:tr>
        <w:trPr>
          <w:trHeight w:val="168"/>
        </w:trPr>
        <w:tc>
          <w:tcPr>
            <w:tcW w:w="5800" w:type="dxa"/>
            <w:vAlign w:val="bottom"/>
          </w:tcPr>
          <w:p>
            <w:pPr>
              <w:spacing w:after="0" w:line="169" w:lineRule="exact"/>
              <w:rPr>
                <w:sz w:val="20"/>
                <w:szCs w:val="20"/>
                <w:color w:val="auto"/>
              </w:rPr>
            </w:pPr>
            <w:r>
              <w:rPr>
                <w:rFonts w:ascii="Arial" w:cs="Arial" w:eastAsia="Arial" w:hAnsi="Arial"/>
                <w:sz w:val="15"/>
                <w:szCs w:val="15"/>
                <w:color w:val="auto"/>
              </w:rPr>
              <w:t>Current assets</w:t>
            </w:r>
          </w:p>
        </w:tc>
        <w:tc>
          <w:tcPr>
            <w:tcW w:w="16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774,646</w:t>
            </w:r>
          </w:p>
        </w:tc>
        <w:tc>
          <w:tcPr>
            <w:tcW w:w="3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801,335</w:t>
            </w:r>
          </w:p>
        </w:tc>
        <w:tc>
          <w:tcPr>
            <w:tcW w:w="120" w:type="dxa"/>
            <w:vAlign w:val="bottom"/>
          </w:tcPr>
          <w:p>
            <w:pPr>
              <w:spacing w:after="0"/>
              <w:rPr>
                <w:sz w:val="14"/>
                <w:szCs w:val="14"/>
                <w:color w:val="auto"/>
              </w:rPr>
            </w:pPr>
          </w:p>
        </w:tc>
      </w:tr>
      <w:tr>
        <w:trPr>
          <w:trHeight w:val="177"/>
        </w:trPr>
        <w:tc>
          <w:tcPr>
            <w:tcW w:w="5800" w:type="dxa"/>
            <w:vAlign w:val="bottom"/>
            <w:shd w:val="clear" w:color="auto" w:fill="CFF0FC"/>
          </w:tcPr>
          <w:p>
            <w:pPr>
              <w:spacing w:after="0"/>
              <w:rPr>
                <w:sz w:val="20"/>
                <w:szCs w:val="20"/>
                <w:color w:val="auto"/>
              </w:rPr>
            </w:pPr>
            <w:r>
              <w:rPr>
                <w:rFonts w:ascii="Arial" w:cs="Arial" w:eastAsia="Arial" w:hAnsi="Arial"/>
                <w:sz w:val="15"/>
                <w:szCs w:val="15"/>
                <w:color w:val="auto"/>
              </w:rPr>
              <w:t>Noncurrent assets</w:t>
            </w:r>
          </w:p>
        </w:tc>
        <w:tc>
          <w:tcPr>
            <w:tcW w:w="1140" w:type="dxa"/>
            <w:vAlign w:val="bottom"/>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585,802</w:t>
            </w:r>
          </w:p>
        </w:tc>
        <w:tc>
          <w:tcPr>
            <w:tcW w:w="3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564,160</w:t>
            </w:r>
          </w:p>
        </w:tc>
        <w:tc>
          <w:tcPr>
            <w:tcW w:w="120" w:type="dxa"/>
            <w:vAlign w:val="bottom"/>
            <w:shd w:val="clear" w:color="auto" w:fill="CFF0FC"/>
          </w:tcPr>
          <w:p>
            <w:pPr>
              <w:spacing w:after="0"/>
              <w:rPr>
                <w:sz w:val="15"/>
                <w:szCs w:val="15"/>
                <w:color w:val="auto"/>
              </w:rPr>
            </w:pPr>
          </w:p>
        </w:tc>
      </w:tr>
      <w:tr>
        <w:trPr>
          <w:trHeight w:val="168"/>
        </w:trPr>
        <w:tc>
          <w:tcPr>
            <w:tcW w:w="5800" w:type="dxa"/>
            <w:vAlign w:val="bottom"/>
            <w:tcBorders>
              <w:bottom w:val="single" w:sz="8" w:color="CFF0FC"/>
            </w:tcBorders>
          </w:tcPr>
          <w:p>
            <w:pPr>
              <w:ind w:left="220"/>
              <w:spacing w:after="0" w:line="169" w:lineRule="exact"/>
              <w:rPr>
                <w:sz w:val="20"/>
                <w:szCs w:val="20"/>
                <w:color w:val="auto"/>
              </w:rPr>
            </w:pPr>
            <w:r>
              <w:rPr>
                <w:rFonts w:ascii="Arial" w:cs="Arial" w:eastAsia="Arial" w:hAnsi="Arial"/>
                <w:sz w:val="15"/>
                <w:szCs w:val="15"/>
                <w:color w:val="auto"/>
              </w:rPr>
              <w:t>Total assets</w:t>
            </w:r>
          </w:p>
        </w:tc>
        <w:tc>
          <w:tcPr>
            <w:tcW w:w="1140" w:type="dxa"/>
            <w:vAlign w:val="bottom"/>
            <w:tcBorders>
              <w:bottom w:val="single" w:sz="8" w:color="CFF0FC"/>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1,360,448</w:t>
            </w:r>
          </w:p>
        </w:tc>
        <w:tc>
          <w:tcPr>
            <w:tcW w:w="3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1,365,495</w:t>
            </w:r>
          </w:p>
        </w:tc>
        <w:tc>
          <w:tcPr>
            <w:tcW w:w="120" w:type="dxa"/>
            <w:vAlign w:val="bottom"/>
            <w:tcBorders>
              <w:bottom w:val="single" w:sz="8" w:color="CFF0FC"/>
            </w:tcBorders>
          </w:tcPr>
          <w:p>
            <w:pPr>
              <w:spacing w:after="0"/>
              <w:rPr>
                <w:sz w:val="14"/>
                <w:szCs w:val="14"/>
                <w:color w:val="auto"/>
              </w:rPr>
            </w:pPr>
          </w:p>
        </w:tc>
      </w:tr>
      <w:tr>
        <w:trPr>
          <w:trHeight w:val="168"/>
        </w:trPr>
        <w:tc>
          <w:tcPr>
            <w:tcW w:w="58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Current liabilities</w:t>
            </w:r>
          </w:p>
        </w:tc>
        <w:tc>
          <w:tcPr>
            <w:tcW w:w="1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703,287</w:t>
            </w:r>
          </w:p>
        </w:tc>
        <w:tc>
          <w:tcPr>
            <w:tcW w:w="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655,495</w:t>
            </w:r>
          </w:p>
        </w:tc>
        <w:tc>
          <w:tcPr>
            <w:tcW w:w="120" w:type="dxa"/>
            <w:vAlign w:val="bottom"/>
            <w:shd w:val="clear" w:color="auto" w:fill="CFF0FC"/>
          </w:tcPr>
          <w:p>
            <w:pPr>
              <w:spacing w:after="0"/>
              <w:rPr>
                <w:sz w:val="14"/>
                <w:szCs w:val="14"/>
                <w:color w:val="auto"/>
              </w:rPr>
            </w:pPr>
          </w:p>
        </w:tc>
      </w:tr>
      <w:tr>
        <w:trPr>
          <w:trHeight w:val="177"/>
        </w:trPr>
        <w:tc>
          <w:tcPr>
            <w:tcW w:w="580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Noncurrent liabilities</w:t>
            </w:r>
          </w:p>
        </w:tc>
        <w:tc>
          <w:tcPr>
            <w:tcW w:w="1140" w:type="dxa"/>
            <w:vAlign w:val="bottom"/>
            <w:tcBorders>
              <w:bottom w:val="single" w:sz="8" w:color="CFF0FC"/>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517,697</w:t>
            </w:r>
          </w:p>
        </w:tc>
        <w:tc>
          <w:tcPr>
            <w:tcW w:w="3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507,131</w:t>
            </w:r>
          </w:p>
        </w:tc>
        <w:tc>
          <w:tcPr>
            <w:tcW w:w="120" w:type="dxa"/>
            <w:vAlign w:val="bottom"/>
            <w:tcBorders>
              <w:bottom w:val="single" w:sz="8" w:color="CFF0FC"/>
            </w:tcBorders>
          </w:tcPr>
          <w:p>
            <w:pPr>
              <w:spacing w:after="0"/>
              <w:rPr>
                <w:sz w:val="15"/>
                <w:szCs w:val="15"/>
                <w:color w:val="auto"/>
              </w:rPr>
            </w:pPr>
          </w:p>
        </w:tc>
      </w:tr>
      <w:tr>
        <w:trPr>
          <w:trHeight w:val="168"/>
        </w:trPr>
        <w:tc>
          <w:tcPr>
            <w:tcW w:w="580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Total liabilities</w:t>
            </w:r>
          </w:p>
        </w:tc>
        <w:tc>
          <w:tcPr>
            <w:tcW w:w="1140" w:type="dxa"/>
            <w:vAlign w:val="bottom"/>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4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1,220,984</w:t>
            </w:r>
          </w:p>
        </w:tc>
        <w:tc>
          <w:tcPr>
            <w:tcW w:w="30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1,162,626</w:t>
            </w:r>
          </w:p>
        </w:tc>
        <w:tc>
          <w:tcPr>
            <w:tcW w:w="120" w:type="dxa"/>
            <w:vAlign w:val="bottom"/>
            <w:shd w:val="clear" w:color="auto" w:fill="CFF0FC"/>
          </w:tcPr>
          <w:p>
            <w:pPr>
              <w:spacing w:after="0"/>
              <w:rPr>
                <w:sz w:val="14"/>
                <w:szCs w:val="14"/>
                <w:color w:val="auto"/>
              </w:rPr>
            </w:pPr>
          </w:p>
        </w:tc>
      </w:tr>
      <w:tr>
        <w:trPr>
          <w:trHeight w:val="208"/>
        </w:trPr>
        <w:tc>
          <w:tcPr>
            <w:tcW w:w="5800" w:type="dxa"/>
            <w:vAlign w:val="bottom"/>
          </w:tcPr>
          <w:p>
            <w:pPr>
              <w:ind w:left="220"/>
              <w:spacing w:after="0" w:line="168" w:lineRule="exact"/>
              <w:rPr>
                <w:sz w:val="20"/>
                <w:szCs w:val="20"/>
                <w:color w:val="auto"/>
              </w:rPr>
            </w:pPr>
            <w:r>
              <w:rPr>
                <w:rFonts w:ascii="Arial" w:cs="Arial" w:eastAsia="Arial" w:hAnsi="Arial"/>
                <w:sz w:val="15"/>
                <w:szCs w:val="15"/>
                <w:color w:val="auto"/>
              </w:rPr>
              <w:t>Total joint venture equity</w:t>
            </w:r>
          </w:p>
        </w:tc>
        <w:tc>
          <w:tcPr>
            <w:tcW w:w="1600" w:type="dxa"/>
            <w:vAlign w:val="bottom"/>
            <w:gridSpan w:val="2"/>
          </w:tcPr>
          <w:p>
            <w:pPr>
              <w:jc w:val="right"/>
              <w:ind w:right="38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jc w:val="right"/>
              <w:spacing w:after="0" w:line="169" w:lineRule="exact"/>
              <w:rPr>
                <w:sz w:val="20"/>
                <w:szCs w:val="20"/>
                <w:color w:val="auto"/>
              </w:rPr>
            </w:pPr>
            <w:r>
              <w:rPr>
                <w:rFonts w:ascii="Arial" w:cs="Arial" w:eastAsia="Arial" w:hAnsi="Arial"/>
                <w:sz w:val="15"/>
                <w:szCs w:val="15"/>
                <w:color w:val="auto"/>
              </w:rPr>
              <w:t>139,464</w:t>
            </w:r>
          </w:p>
        </w:tc>
        <w:tc>
          <w:tcPr>
            <w:tcW w:w="3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202,869</w:t>
            </w:r>
          </w:p>
        </w:tc>
        <w:tc>
          <w:tcPr>
            <w:tcW w:w="120" w:type="dxa"/>
            <w:vAlign w:val="bottom"/>
          </w:tcPr>
          <w:p>
            <w:pPr>
              <w:spacing w:after="0"/>
              <w:rPr>
                <w:sz w:val="18"/>
                <w:szCs w:val="18"/>
                <w:color w:val="auto"/>
              </w:rPr>
            </w:pPr>
          </w:p>
        </w:tc>
      </w:tr>
      <w:tr>
        <w:trPr>
          <w:trHeight w:val="150"/>
        </w:trPr>
        <w:tc>
          <w:tcPr>
            <w:tcW w:w="5800" w:type="dxa"/>
            <w:vAlign w:val="bottom"/>
            <w:tcBorders>
              <w:top w:val="single" w:sz="8" w:color="CFF0FC"/>
            </w:tcBorders>
            <w:shd w:val="clear" w:color="auto" w:fill="CFF0FC"/>
          </w:tcPr>
          <w:p>
            <w:pPr>
              <w:spacing w:after="0" w:line="150" w:lineRule="exact"/>
              <w:rPr>
                <w:sz w:val="20"/>
                <w:szCs w:val="20"/>
                <w:color w:val="auto"/>
              </w:rPr>
            </w:pPr>
            <w:r>
              <w:rPr>
                <w:rFonts w:ascii="Arial" w:cs="Arial" w:eastAsia="Arial" w:hAnsi="Arial"/>
                <w:sz w:val="15"/>
                <w:szCs w:val="15"/>
                <w:color w:val="auto"/>
              </w:rPr>
              <w:t>Investments in and advances to unconsolidated joint</w:t>
            </w:r>
          </w:p>
        </w:tc>
        <w:tc>
          <w:tcPr>
            <w:tcW w:w="1140" w:type="dxa"/>
            <w:vAlign w:val="bottom"/>
            <w:tcBorders>
              <w:top w:val="single" w:sz="8" w:color="CFF0FC"/>
            </w:tcBorders>
            <w:shd w:val="clear" w:color="auto" w:fill="CFF0FC"/>
          </w:tcPr>
          <w:p>
            <w:pPr>
              <w:spacing w:after="0"/>
              <w:rPr>
                <w:sz w:val="13"/>
                <w:szCs w:val="13"/>
                <w:color w:val="auto"/>
              </w:rPr>
            </w:pPr>
          </w:p>
        </w:tc>
        <w:tc>
          <w:tcPr>
            <w:tcW w:w="46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3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3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7"/>
        </w:trPr>
        <w:tc>
          <w:tcPr>
            <w:tcW w:w="580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ventures</w:t>
            </w:r>
          </w:p>
        </w:tc>
        <w:tc>
          <w:tcPr>
            <w:tcW w:w="1600" w:type="dxa"/>
            <w:vAlign w:val="bottom"/>
            <w:gridSpan w:val="2"/>
            <w:shd w:val="clear" w:color="auto" w:fill="CFF0FC"/>
          </w:tcPr>
          <w:p>
            <w:pPr>
              <w:jc w:val="right"/>
              <w:ind w:right="380"/>
              <w:spacing w:after="0" w:line="167"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68,975</w:t>
            </w:r>
          </w:p>
        </w:tc>
        <w:tc>
          <w:tcPr>
            <w:tcW w:w="380" w:type="dxa"/>
            <w:vAlign w:val="bottom"/>
            <w:gridSpan w:val="2"/>
            <w:shd w:val="clear" w:color="auto" w:fill="CFF0FC"/>
          </w:tcPr>
          <w:p>
            <w:pPr>
              <w:jc w:val="right"/>
              <w:spacing w:after="0" w:line="167" w:lineRule="exact"/>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68,620</w:t>
            </w:r>
          </w:p>
        </w:tc>
        <w:tc>
          <w:tcPr>
            <w:tcW w:w="120" w:type="dxa"/>
            <w:vAlign w:val="bottom"/>
            <w:shd w:val="clear" w:color="auto" w:fill="CFF0FC"/>
          </w:tcPr>
          <w:p>
            <w:pPr>
              <w:spacing w:after="0"/>
              <w:rPr>
                <w:sz w:val="14"/>
                <w:szCs w:val="14"/>
                <w:color w:val="auto"/>
              </w:rPr>
            </w:pPr>
          </w:p>
        </w:tc>
      </w:tr>
      <w:tr>
        <w:trPr>
          <w:trHeight w:val="377"/>
        </w:trPr>
        <w:tc>
          <w:tcPr>
            <w:tcW w:w="5800" w:type="dxa"/>
            <w:vAlign w:val="bottom"/>
          </w:tcPr>
          <w:p>
            <w:pPr>
              <w:spacing w:after="0"/>
              <w:rPr>
                <w:sz w:val="24"/>
                <w:szCs w:val="24"/>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27"/>
              <w:spacing w:after="0"/>
              <w:rPr>
                <w:sz w:val="20"/>
                <w:szCs w:val="20"/>
                <w:color w:val="auto"/>
              </w:rPr>
            </w:pPr>
            <w:r>
              <w:rPr>
                <w:rFonts w:ascii="Arial" w:cs="Arial" w:eastAsia="Arial" w:hAnsi="Arial"/>
                <w:sz w:val="12"/>
                <w:szCs w:val="12"/>
                <w:b w:val="1"/>
                <w:bCs w:val="1"/>
                <w:color w:val="auto"/>
              </w:rPr>
              <w:t>2019</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24"/>
                <w:szCs w:val="24"/>
                <w:color w:val="auto"/>
              </w:rPr>
            </w:pPr>
          </w:p>
        </w:tc>
      </w:tr>
      <w:tr>
        <w:trPr>
          <w:trHeight w:val="168"/>
        </w:trPr>
        <w:tc>
          <w:tcPr>
            <w:tcW w:w="580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16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1,830,802</w:t>
            </w:r>
          </w:p>
        </w:tc>
        <w:tc>
          <w:tcPr>
            <w:tcW w:w="260" w:type="dxa"/>
            <w:vAlign w:val="bottom"/>
          </w:tcPr>
          <w:p>
            <w:pPr>
              <w:spacing w:after="0"/>
              <w:rPr>
                <w:sz w:val="14"/>
                <w:szCs w:val="14"/>
                <w:color w:val="auto"/>
              </w:rPr>
            </w:pPr>
          </w:p>
        </w:tc>
        <w:tc>
          <w:tcPr>
            <w:tcW w:w="480" w:type="dxa"/>
            <w:vAlign w:val="bottom"/>
          </w:tcPr>
          <w:p>
            <w:pPr>
              <w:jc w:val="right"/>
              <w:ind w:right="330"/>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spacing w:after="0" w:line="169" w:lineRule="exact"/>
              <w:rPr>
                <w:sz w:val="20"/>
                <w:szCs w:val="20"/>
                <w:color w:val="auto"/>
              </w:rPr>
            </w:pPr>
            <w:r>
              <w:rPr>
                <w:rFonts w:ascii="Arial" w:cs="Arial" w:eastAsia="Arial" w:hAnsi="Arial"/>
                <w:sz w:val="15"/>
                <w:szCs w:val="15"/>
                <w:color w:val="auto"/>
              </w:rPr>
              <w:t>2,081,341</w:t>
            </w:r>
          </w:p>
        </w:tc>
        <w:tc>
          <w:tcPr>
            <w:tcW w:w="280" w:type="dxa"/>
            <w:vAlign w:val="bottom"/>
          </w:tcPr>
          <w:p>
            <w:pPr>
              <w:spacing w:after="0"/>
              <w:rPr>
                <w:sz w:val="14"/>
                <w:szCs w:val="14"/>
                <w:color w:val="auto"/>
              </w:rPr>
            </w:pPr>
          </w:p>
        </w:tc>
        <w:tc>
          <w:tcPr>
            <w:tcW w:w="280" w:type="dxa"/>
            <w:vAlign w:val="bottom"/>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69" w:lineRule="exact"/>
              <w:rPr>
                <w:sz w:val="20"/>
                <w:szCs w:val="20"/>
                <w:color w:val="auto"/>
              </w:rPr>
            </w:pPr>
            <w:r>
              <w:rPr>
                <w:rFonts w:ascii="Arial" w:cs="Arial" w:eastAsia="Arial" w:hAnsi="Arial"/>
                <w:sz w:val="15"/>
                <w:szCs w:val="15"/>
                <w:color w:val="auto"/>
              </w:rPr>
              <w:t>1,773,037</w:t>
            </w:r>
          </w:p>
        </w:tc>
        <w:tc>
          <w:tcPr>
            <w:tcW w:w="120" w:type="dxa"/>
            <w:vAlign w:val="bottom"/>
          </w:tcPr>
          <w:p>
            <w:pPr>
              <w:spacing w:after="0"/>
              <w:rPr>
                <w:sz w:val="14"/>
                <w:szCs w:val="14"/>
                <w:color w:val="auto"/>
              </w:rPr>
            </w:pPr>
          </w:p>
        </w:tc>
      </w:tr>
      <w:tr>
        <w:trPr>
          <w:trHeight w:val="177"/>
        </w:trPr>
        <w:tc>
          <w:tcPr>
            <w:tcW w:w="5800" w:type="dxa"/>
            <w:vAlign w:val="bottom"/>
            <w:shd w:val="clear" w:color="auto" w:fill="CFF0FC"/>
          </w:tcPr>
          <w:p>
            <w:pPr>
              <w:spacing w:after="0"/>
              <w:rPr>
                <w:sz w:val="20"/>
                <w:szCs w:val="20"/>
                <w:color w:val="auto"/>
              </w:rPr>
            </w:pPr>
            <w:r>
              <w:rPr>
                <w:rFonts w:ascii="Arial" w:cs="Arial" w:eastAsia="Arial" w:hAnsi="Arial"/>
                <w:sz w:val="15"/>
                <w:szCs w:val="15"/>
                <w:color w:val="auto"/>
              </w:rPr>
              <w:t>Costs</w:t>
            </w:r>
          </w:p>
        </w:tc>
        <w:tc>
          <w:tcPr>
            <w:tcW w:w="16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1,709,933</w:t>
            </w:r>
          </w:p>
        </w:tc>
        <w:tc>
          <w:tcPr>
            <w:tcW w:w="260" w:type="dxa"/>
            <w:vAlign w:val="bottom"/>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5"/>
                <w:szCs w:val="15"/>
                <w:color w:val="auto"/>
              </w:rPr>
              <w:t>1,903,582</w:t>
            </w:r>
          </w:p>
        </w:tc>
        <w:tc>
          <w:tcPr>
            <w:tcW w:w="280" w:type="dxa"/>
            <w:vAlign w:val="bottom"/>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1,661,232</w:t>
            </w:r>
          </w:p>
        </w:tc>
        <w:tc>
          <w:tcPr>
            <w:tcW w:w="120" w:type="dxa"/>
            <w:vAlign w:val="bottom"/>
            <w:shd w:val="clear" w:color="auto" w:fill="CFF0FC"/>
          </w:tcPr>
          <w:p>
            <w:pPr>
              <w:spacing w:after="0"/>
              <w:rPr>
                <w:sz w:val="15"/>
                <w:szCs w:val="15"/>
                <w:color w:val="auto"/>
              </w:rPr>
            </w:pPr>
          </w:p>
        </w:tc>
      </w:tr>
      <w:tr>
        <w:trPr>
          <w:trHeight w:val="208"/>
        </w:trPr>
        <w:tc>
          <w:tcPr>
            <w:tcW w:w="5800" w:type="dxa"/>
            <w:vAlign w:val="bottom"/>
            <w:tcBorders>
              <w:bottom w:val="single" w:sz="8" w:color="CFF0FC"/>
            </w:tcBorders>
          </w:tcPr>
          <w:p>
            <w:pPr>
              <w:ind w:left="220"/>
              <w:spacing w:after="0" w:line="169" w:lineRule="exact"/>
              <w:rPr>
                <w:sz w:val="20"/>
                <w:szCs w:val="20"/>
                <w:color w:val="auto"/>
              </w:rPr>
            </w:pPr>
            <w:r>
              <w:rPr>
                <w:rFonts w:ascii="Arial" w:cs="Arial" w:eastAsia="Arial" w:hAnsi="Arial"/>
                <w:sz w:val="15"/>
                <w:szCs w:val="15"/>
                <w:color w:val="auto"/>
              </w:rPr>
              <w:t>Net income</w:t>
            </w:r>
          </w:p>
        </w:tc>
        <w:tc>
          <w:tcPr>
            <w:tcW w:w="1600" w:type="dxa"/>
            <w:vAlign w:val="bottom"/>
            <w:tcBorders>
              <w:bottom w:val="single" w:sz="8" w:color="auto"/>
            </w:tcBorders>
            <w:gridSpan w:val="2"/>
          </w:tcPr>
          <w:p>
            <w:pPr>
              <w:jc w:val="right"/>
              <w:ind w:right="20"/>
              <w:spacing w:after="0" w:line="169" w:lineRule="exact"/>
              <w:rPr>
                <w:sz w:val="20"/>
                <w:szCs w:val="20"/>
                <w:color w:val="auto"/>
              </w:rPr>
            </w:pPr>
            <w:r>
              <w:rPr>
                <w:rFonts w:ascii="Arial" w:cs="Arial" w:eastAsia="Arial" w:hAnsi="Arial"/>
                <w:sz w:val="15"/>
                <w:szCs w:val="15"/>
                <w:color w:val="auto"/>
              </w:rPr>
              <w:t>120,869</w:t>
            </w:r>
          </w:p>
        </w:tc>
        <w:tc>
          <w:tcPr>
            <w:tcW w:w="26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jc w:val="right"/>
              <w:ind w:right="330"/>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gridSpan w:val="3"/>
          </w:tcPr>
          <w:p>
            <w:pPr>
              <w:jc w:val="right"/>
              <w:spacing w:after="0" w:line="169" w:lineRule="exact"/>
              <w:rPr>
                <w:sz w:val="20"/>
                <w:szCs w:val="20"/>
                <w:color w:val="auto"/>
              </w:rPr>
            </w:pPr>
            <w:r>
              <w:rPr>
                <w:rFonts w:ascii="Arial" w:cs="Arial" w:eastAsia="Arial" w:hAnsi="Arial"/>
                <w:sz w:val="15"/>
                <w:szCs w:val="15"/>
                <w:color w:val="auto"/>
              </w:rPr>
              <w:t>177,759</w:t>
            </w:r>
          </w:p>
        </w:tc>
        <w:tc>
          <w:tcPr>
            <w:tcW w:w="28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jc w:val="right"/>
              <w:ind w:right="126"/>
              <w:spacing w:after="0" w:line="169" w:lineRule="exact"/>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111,805</w:t>
            </w:r>
          </w:p>
        </w:tc>
        <w:tc>
          <w:tcPr>
            <w:tcW w:w="120" w:type="dxa"/>
            <w:vAlign w:val="bottom"/>
            <w:tcBorders>
              <w:bottom w:val="single" w:sz="8" w:color="CFF0FC"/>
            </w:tcBorders>
          </w:tcPr>
          <w:p>
            <w:pPr>
              <w:spacing w:after="0"/>
              <w:rPr>
                <w:sz w:val="18"/>
                <w:szCs w:val="18"/>
                <w:color w:val="auto"/>
              </w:rPr>
            </w:pPr>
          </w:p>
        </w:tc>
      </w:tr>
      <w:tr>
        <w:trPr>
          <w:trHeight w:val="151"/>
        </w:trPr>
        <w:tc>
          <w:tcPr>
            <w:tcW w:w="5800" w:type="dxa"/>
            <w:vAlign w:val="bottom"/>
            <w:shd w:val="clear" w:color="auto" w:fill="CFF0FC"/>
          </w:tcPr>
          <w:p>
            <w:pPr>
              <w:spacing w:after="0" w:line="151" w:lineRule="exact"/>
              <w:rPr>
                <w:sz w:val="20"/>
                <w:szCs w:val="20"/>
                <w:color w:val="auto"/>
              </w:rPr>
            </w:pPr>
            <w:r>
              <w:rPr>
                <w:rFonts w:ascii="Arial" w:cs="Arial" w:eastAsia="Arial" w:hAnsi="Arial"/>
                <w:sz w:val="15"/>
                <w:szCs w:val="15"/>
                <w:color w:val="auto"/>
              </w:rPr>
              <w:t>Equity in earnings of unconsolidated joint ventures</w:t>
            </w:r>
          </w:p>
        </w:tc>
        <w:tc>
          <w:tcPr>
            <w:tcW w:w="1600" w:type="dxa"/>
            <w:vAlign w:val="bottom"/>
            <w:gridSpan w:val="2"/>
            <w:shd w:val="clear" w:color="auto" w:fill="CFF0FC"/>
          </w:tcPr>
          <w:p>
            <w:pPr>
              <w:jc w:val="right"/>
              <w:ind w:right="20"/>
              <w:spacing w:after="0" w:line="151" w:lineRule="exact"/>
              <w:rPr>
                <w:sz w:val="20"/>
                <w:szCs w:val="20"/>
                <w:color w:val="auto"/>
              </w:rPr>
            </w:pPr>
            <w:r>
              <w:rPr>
                <w:rFonts w:ascii="Arial" w:cs="Arial" w:eastAsia="Arial" w:hAnsi="Arial"/>
                <w:sz w:val="15"/>
                <w:szCs w:val="15"/>
                <w:color w:val="auto"/>
              </w:rPr>
              <w:t>30,059</w:t>
            </w:r>
          </w:p>
        </w:tc>
        <w:tc>
          <w:tcPr>
            <w:tcW w:w="260" w:type="dxa"/>
            <w:vAlign w:val="bottom"/>
            <w:shd w:val="clear" w:color="auto" w:fill="CFF0FC"/>
          </w:tcPr>
          <w:p>
            <w:pPr>
              <w:spacing w:after="0"/>
              <w:rPr>
                <w:sz w:val="13"/>
                <w:szCs w:val="13"/>
                <w:color w:val="auto"/>
              </w:rPr>
            </w:pPr>
          </w:p>
        </w:tc>
        <w:tc>
          <w:tcPr>
            <w:tcW w:w="480" w:type="dxa"/>
            <w:vAlign w:val="bottom"/>
            <w:shd w:val="clear" w:color="auto" w:fill="CFF0FC"/>
          </w:tcPr>
          <w:p>
            <w:pPr>
              <w:jc w:val="right"/>
              <w:ind w:right="330"/>
              <w:spacing w:after="0" w:line="151" w:lineRule="exact"/>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spacing w:after="0" w:line="151" w:lineRule="exact"/>
              <w:rPr>
                <w:sz w:val="20"/>
                <w:szCs w:val="20"/>
                <w:color w:val="auto"/>
              </w:rPr>
            </w:pPr>
            <w:r>
              <w:rPr>
                <w:rFonts w:ascii="Arial" w:cs="Arial" w:eastAsia="Arial" w:hAnsi="Arial"/>
                <w:sz w:val="15"/>
                <w:szCs w:val="15"/>
                <w:color w:val="auto"/>
              </w:rPr>
              <w:t>41,721</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26"/>
              <w:spacing w:after="0" w:line="151" w:lineRule="exact"/>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line="151" w:lineRule="exact"/>
              <w:rPr>
                <w:sz w:val="20"/>
                <w:szCs w:val="20"/>
                <w:color w:val="auto"/>
              </w:rPr>
            </w:pPr>
            <w:r>
              <w:rPr>
                <w:rFonts w:ascii="Arial" w:cs="Arial" w:eastAsia="Arial" w:hAnsi="Arial"/>
                <w:sz w:val="15"/>
                <w:szCs w:val="15"/>
                <w:color w:val="auto"/>
              </w:rPr>
              <w:t>36,915</w:t>
            </w:r>
          </w:p>
        </w:tc>
        <w:tc>
          <w:tcPr>
            <w:tcW w:w="120" w:type="dxa"/>
            <w:vAlign w:val="bottom"/>
            <w:shd w:val="clear" w:color="auto" w:fill="CFF0FC"/>
          </w:tcPr>
          <w:p>
            <w:pPr>
              <w:spacing w:after="0"/>
              <w:rPr>
                <w:sz w:val="13"/>
                <w:szCs w:val="13"/>
                <w:color w:val="auto"/>
              </w:rPr>
            </w:pPr>
          </w:p>
        </w:tc>
      </w:tr>
    </w:tbl>
    <w:p>
      <w:pPr>
        <w:spacing w:after="0" w:line="199" w:lineRule="exact"/>
        <w:rPr>
          <w:sz w:val="20"/>
          <w:szCs w:val="20"/>
          <w:color w:val="auto"/>
        </w:rPr>
      </w:pPr>
    </w:p>
    <w:p>
      <w:pPr>
        <w:ind w:right="220" w:firstLine="591"/>
        <w:spacing w:after="0" w:line="239" w:lineRule="auto"/>
        <w:rPr>
          <w:sz w:val="20"/>
          <w:szCs w:val="20"/>
          <w:color w:val="auto"/>
        </w:rPr>
      </w:pPr>
      <w:r>
        <w:rPr>
          <w:rFonts w:ascii="Arial" w:cs="Arial" w:eastAsia="Arial" w:hAnsi="Arial"/>
          <w:sz w:val="15"/>
          <w:szCs w:val="15"/>
          <w:color w:val="auto"/>
        </w:rPr>
        <w:t>The Company received net distributions from its unconsolidated joint ventures of $30.5 million, $38.9 million and $41.9 million for the years ended December 31, 2020, December 31, 2019 and December 31, 2018, respectively.</w:t>
      </w:r>
    </w:p>
    <w:p>
      <w:pPr>
        <w:spacing w:after="0" w:line="188" w:lineRule="exact"/>
        <w:rPr>
          <w:sz w:val="20"/>
          <w:szCs w:val="20"/>
          <w:color w:val="auto"/>
        </w:rPr>
      </w:pPr>
    </w:p>
    <w:p>
      <w:pPr>
        <w:ind w:right="60" w:firstLine="591"/>
        <w:spacing w:after="0" w:line="236" w:lineRule="auto"/>
        <w:rPr>
          <w:sz w:val="20"/>
          <w:szCs w:val="20"/>
          <w:color w:val="auto"/>
        </w:rPr>
      </w:pPr>
      <w:r>
        <w:rPr>
          <w:rFonts w:ascii="Arial" w:cs="Arial" w:eastAsia="Arial" w:hAnsi="Arial"/>
          <w:sz w:val="15"/>
          <w:szCs w:val="15"/>
          <w:color w:val="auto"/>
        </w:rPr>
        <w:t>For the year ended December 31, 2020, the Company recorded a $15.5 million write-down on an unconsolidated joint venture in the Critical Infrastructure segment as a result of changes in estimates made by the managing partner. This write-down decreased operating and net income, net of tax at 25.4% by $15.5 million and $11.5 million, respectively, and decreased diluted earnings per share by $0.11.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600" w:hanging="591"/>
        <w:spacing w:after="0"/>
        <w:tabs>
          <w:tab w:leader="none" w:pos="600" w:val="left"/>
        </w:tabs>
        <w:numPr>
          <w:ilvl w:val="0"/>
          <w:numId w:val="66"/>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00" w:lineRule="exact"/>
        <w:rPr>
          <w:sz w:val="20"/>
          <w:szCs w:val="20"/>
          <w:color w:val="auto"/>
        </w:rPr>
      </w:pPr>
    </w:p>
    <w:p>
      <w:pPr>
        <w:ind w:right="20" w:firstLine="591"/>
        <w:spacing w:after="0"/>
        <w:rPr>
          <w:sz w:val="20"/>
          <w:szCs w:val="20"/>
          <w:color w:val="auto"/>
        </w:rPr>
      </w:pPr>
      <w:r>
        <w:rPr>
          <w:rFonts w:ascii="Arial" w:cs="Arial" w:eastAsia="Arial" w:hAnsi="Arial"/>
          <w:sz w:val="15"/>
          <w:szCs w:val="15"/>
          <w:color w:val="auto"/>
        </w:rPr>
        <w:t>The Company often provides services to unconsolidated joint ventures and revenues include amounts related to recovering overhead costs for these services. For the years ended December 31, 2020, December 31, 2019 and December 31, 2018, revenues included $172.2 million, $157.3 million, and $144.7 million, respectively, related to services the Company provided to unconsolidated joint ventures. For the years ended December 31, 2020, December 31, 2019 and December 31, 2018, the Company incurred approximately $133.8 million, $119.1 million and $111.1 million, respectively, of reimbursable costs. Amounts included in the consolidated balance sheets related to services the Company provided to unconsolidated joint ventures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7440" w:type="dxa"/>
            <w:vAlign w:val="bottom"/>
            <w:tcBorders>
              <w:bottom w:val="single" w:sz="8" w:color="CFF0FC"/>
            </w:tcBorders>
          </w:tcPr>
          <w:p>
            <w:pPr>
              <w:spacing w:after="0"/>
              <w:rPr>
                <w:sz w:val="12"/>
                <w:szCs w:val="1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2"/>
                <w:szCs w:val="12"/>
                <w:b w:val="1"/>
                <w:bCs w:val="1"/>
                <w:color w:val="auto"/>
              </w:rPr>
              <w:t>2020</w:t>
            </w:r>
          </w:p>
        </w:tc>
        <w:tc>
          <w:tcPr>
            <w:tcW w:w="60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5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74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Accounts receivable</w:t>
            </w:r>
          </w:p>
        </w:tc>
        <w:tc>
          <w:tcPr>
            <w:tcW w:w="1120" w:type="dxa"/>
            <w:vAlign w:val="bottom"/>
            <w:shd w:val="clear" w:color="auto" w:fill="CFF0FC"/>
          </w:tcPr>
          <w:p>
            <w:pPr>
              <w:jc w:val="right"/>
              <w:ind w:right="974"/>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37,544</w:t>
            </w: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jc w:val="right"/>
              <w:ind w:right="246"/>
              <w:spacing w:after="0" w:line="169"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37,425</w:t>
            </w:r>
          </w:p>
        </w:tc>
        <w:tc>
          <w:tcPr>
            <w:tcW w:w="120" w:type="dxa"/>
            <w:vAlign w:val="bottom"/>
            <w:shd w:val="clear" w:color="auto" w:fill="CFF0FC"/>
          </w:tcPr>
          <w:p>
            <w:pPr>
              <w:spacing w:after="0"/>
              <w:rPr>
                <w:sz w:val="14"/>
                <w:szCs w:val="14"/>
                <w:color w:val="auto"/>
              </w:rPr>
            </w:pPr>
          </w:p>
        </w:tc>
      </w:tr>
      <w:tr>
        <w:trPr>
          <w:trHeight w:val="177"/>
        </w:trPr>
        <w:tc>
          <w:tcPr>
            <w:tcW w:w="7440" w:type="dxa"/>
            <w:vAlign w:val="bottom"/>
          </w:tcPr>
          <w:p>
            <w:pPr>
              <w:spacing w:after="0"/>
              <w:rPr>
                <w:sz w:val="20"/>
                <w:szCs w:val="20"/>
                <w:color w:val="auto"/>
              </w:rPr>
            </w:pPr>
            <w:r>
              <w:rPr>
                <w:rFonts w:ascii="Arial" w:cs="Arial" w:eastAsia="Arial" w:hAnsi="Arial"/>
                <w:sz w:val="15"/>
                <w:szCs w:val="15"/>
                <w:color w:val="auto"/>
              </w:rPr>
              <w:t>Contract assets</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8,889</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6,955</w:t>
            </w:r>
          </w:p>
        </w:tc>
        <w:tc>
          <w:tcPr>
            <w:tcW w:w="120" w:type="dxa"/>
            <w:vAlign w:val="bottom"/>
          </w:tcPr>
          <w:p>
            <w:pPr>
              <w:spacing w:after="0"/>
              <w:rPr>
                <w:sz w:val="15"/>
                <w:szCs w:val="15"/>
                <w:color w:val="auto"/>
              </w:rPr>
            </w:pPr>
          </w:p>
        </w:tc>
      </w:tr>
      <w:tr>
        <w:trPr>
          <w:trHeight w:val="177"/>
        </w:trPr>
        <w:tc>
          <w:tcPr>
            <w:tcW w:w="7440" w:type="dxa"/>
            <w:vAlign w:val="bottom"/>
            <w:shd w:val="clear" w:color="auto" w:fill="CFF0FC"/>
          </w:tcPr>
          <w:p>
            <w:pPr>
              <w:spacing w:after="0"/>
              <w:rPr>
                <w:sz w:val="20"/>
                <w:szCs w:val="20"/>
                <w:color w:val="auto"/>
              </w:rPr>
            </w:pPr>
            <w:r>
              <w:rPr>
                <w:rFonts w:ascii="Arial" w:cs="Arial" w:eastAsia="Arial" w:hAnsi="Arial"/>
                <w:sz w:val="15"/>
                <w:szCs w:val="15"/>
                <w:color w:val="auto"/>
              </w:rPr>
              <w:t>Contract liabilities</w:t>
            </w:r>
          </w:p>
        </w:tc>
        <w:tc>
          <w:tcPr>
            <w:tcW w:w="1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5,720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4,509</w:t>
            </w:r>
          </w:p>
        </w:tc>
        <w:tc>
          <w:tcPr>
            <w:tcW w:w="120" w:type="dxa"/>
            <w:vAlign w:val="bottom"/>
            <w:shd w:val="clear" w:color="auto" w:fill="CFF0FC"/>
          </w:tcPr>
          <w:p>
            <w:pPr>
              <w:spacing w:after="0"/>
              <w:rPr>
                <w:sz w:val="15"/>
                <w:szCs w:val="15"/>
                <w:color w:val="auto"/>
              </w:rPr>
            </w:pPr>
          </w:p>
        </w:tc>
      </w:tr>
    </w:tbl>
    <w:p>
      <w:pPr>
        <w:spacing w:after="0" w:line="303" w:lineRule="exact"/>
        <w:rPr>
          <w:sz w:val="20"/>
          <w:szCs w:val="20"/>
          <w:color w:val="auto"/>
        </w:rPr>
      </w:pPr>
    </w:p>
    <w:p>
      <w:pPr>
        <w:ind w:left="600" w:hanging="591"/>
        <w:spacing w:after="0"/>
        <w:tabs>
          <w:tab w:leader="none" w:pos="600"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of Financial Instruments</w:t>
      </w:r>
    </w:p>
    <w:p>
      <w:pPr>
        <w:spacing w:after="0" w:line="100" w:lineRule="exact"/>
        <w:rPr>
          <w:sz w:val="20"/>
          <w:szCs w:val="20"/>
          <w:color w:val="auto"/>
        </w:rPr>
      </w:pPr>
    </w:p>
    <w:p>
      <w:pPr>
        <w:ind w:right="100" w:firstLine="591"/>
        <w:spacing w:after="0" w:line="235" w:lineRule="auto"/>
        <w:rPr>
          <w:sz w:val="20"/>
          <w:szCs w:val="20"/>
          <w:color w:val="auto"/>
        </w:rPr>
      </w:pPr>
      <w:r>
        <w:rPr>
          <w:rFonts w:ascii="Arial" w:cs="Arial" w:eastAsia="Arial" w:hAnsi="Arial"/>
          <w:sz w:val="15"/>
          <w:szCs w:val="15"/>
          <w:color w:val="auto"/>
        </w:rPr>
        <w:t>The authoritative guidance on fair value measurement defines fair value as the price that would be received to sell an asset or paid to transfer a liability in an orderly transaction between market participants at the measurement date (referred to as an “exit price”). At December 31, 2020 and December 31, 2019, the Company’s financial instruments include cash, cash equivalents, accounts receivable, accounts payable, and other liabilities. The fair values of these financial instruments approximate their carrying values due to their short-term maturities.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Investments measured at fair value are based on one or more of the following three valuation techniques:</w:t>
      </w:r>
    </w:p>
    <w:p>
      <w:pPr>
        <w:spacing w:after="0" w:line="66" w:lineRule="exact"/>
        <w:rPr>
          <w:sz w:val="20"/>
          <w:szCs w:val="20"/>
          <w:color w:val="auto"/>
        </w:rPr>
      </w:pPr>
    </w:p>
    <w:p>
      <w:pPr>
        <w:ind w:left="1180" w:hanging="584"/>
        <w:spacing w:after="0"/>
        <w:tabs>
          <w:tab w:leader="none" w:pos="118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Market approach</w:t>
      </w:r>
      <w:r>
        <w:rPr>
          <w:rFonts w:ascii="Arial" w:cs="Arial" w:eastAsia="Arial" w:hAnsi="Arial"/>
          <w:sz w:val="15"/>
          <w:szCs w:val="15"/>
          <w:color w:val="auto"/>
        </w:rPr>
        <w:t>—Prices and other relevant information generated by market transactions involving identical or comparable assets or liabilities;</w:t>
      </w:r>
    </w:p>
    <w:p>
      <w:pPr>
        <w:spacing w:after="0" w:line="93" w:lineRule="exact"/>
        <w:rPr>
          <w:rFonts w:ascii="Arial" w:cs="Arial" w:eastAsia="Arial" w:hAnsi="Arial"/>
          <w:sz w:val="15"/>
          <w:szCs w:val="15"/>
          <w:color w:val="auto"/>
        </w:rPr>
      </w:pPr>
    </w:p>
    <w:p>
      <w:pPr>
        <w:ind w:left="1180" w:hanging="584"/>
        <w:spacing w:after="0"/>
        <w:tabs>
          <w:tab w:leader="none" w:pos="118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Cost approach</w:t>
      </w:r>
      <w:r>
        <w:rPr>
          <w:rFonts w:ascii="Arial" w:cs="Arial" w:eastAsia="Arial" w:hAnsi="Arial"/>
          <w:sz w:val="15"/>
          <w:szCs w:val="15"/>
          <w:color w:val="auto"/>
        </w:rPr>
        <w:t>—Amount that would be required to replace the service capacity of an asset (i.e., replacement cost); and</w:t>
      </w:r>
    </w:p>
    <w:p>
      <w:pPr>
        <w:spacing w:after="0" w:line="93" w:lineRule="exact"/>
        <w:rPr>
          <w:rFonts w:ascii="Arial" w:cs="Arial" w:eastAsia="Arial" w:hAnsi="Arial"/>
          <w:sz w:val="15"/>
          <w:szCs w:val="15"/>
          <w:color w:val="auto"/>
        </w:rPr>
      </w:pPr>
    </w:p>
    <w:p>
      <w:pPr>
        <w:ind w:left="1180" w:right="160" w:hanging="584"/>
        <w:spacing w:after="0" w:line="260" w:lineRule="auto"/>
        <w:tabs>
          <w:tab w:leader="none" w:pos="1180" w:val="left"/>
        </w:tabs>
        <w:numPr>
          <w:ilvl w:val="0"/>
          <w:numId w:val="68"/>
        </w:numPr>
        <w:rPr>
          <w:rFonts w:ascii="Arial" w:cs="Arial" w:eastAsia="Arial" w:hAnsi="Arial"/>
          <w:sz w:val="15"/>
          <w:szCs w:val="15"/>
          <w:color w:val="auto"/>
        </w:rPr>
      </w:pPr>
      <w:r>
        <w:rPr>
          <w:rFonts w:ascii="Arial" w:cs="Arial" w:eastAsia="Arial" w:hAnsi="Arial"/>
          <w:sz w:val="15"/>
          <w:szCs w:val="15"/>
          <w:i w:val="1"/>
          <w:iCs w:val="1"/>
          <w:color w:val="auto"/>
        </w:rPr>
        <w:t>Income approach</w:t>
      </w:r>
      <w:r>
        <w:rPr>
          <w:rFonts w:ascii="Arial" w:cs="Arial" w:eastAsia="Arial" w:hAnsi="Arial"/>
          <w:sz w:val="15"/>
          <w:szCs w:val="15"/>
          <w:color w:val="auto"/>
        </w:rPr>
        <w:t>—Techniques to convert future amounts to a single present amount based on market expectations (including present value techniques,</w:t>
      </w:r>
      <w:r>
        <w:rPr>
          <w:rFonts w:ascii="Arial" w:cs="Arial" w:eastAsia="Arial" w:hAnsi="Arial"/>
          <w:sz w:val="15"/>
          <w:szCs w:val="15"/>
          <w:i w:val="1"/>
          <w:iCs w:val="1"/>
          <w:color w:val="auto"/>
        </w:rPr>
        <w:t xml:space="preserve"> </w:t>
      </w:r>
      <w:r>
        <w:rPr>
          <w:rFonts w:ascii="Arial" w:cs="Arial" w:eastAsia="Arial" w:hAnsi="Arial"/>
          <w:sz w:val="15"/>
          <w:szCs w:val="15"/>
          <w:color w:val="auto"/>
        </w:rPr>
        <w:t>option-pricing models and lattice models).</w:t>
      </w:r>
    </w:p>
    <w:p>
      <w:pPr>
        <w:spacing w:after="0" w:line="152" w:lineRule="exact"/>
        <w:rPr>
          <w:sz w:val="20"/>
          <w:szCs w:val="20"/>
          <w:color w:val="auto"/>
        </w:rPr>
      </w:pPr>
    </w:p>
    <w:p>
      <w:pPr>
        <w:ind w:right="20" w:firstLine="591"/>
        <w:spacing w:after="0" w:line="236" w:lineRule="auto"/>
        <w:rPr>
          <w:sz w:val="20"/>
          <w:szCs w:val="20"/>
          <w:color w:val="auto"/>
        </w:rPr>
      </w:pPr>
      <w:r>
        <w:rPr>
          <w:rFonts w:ascii="Arial" w:cs="Arial" w:eastAsia="Arial" w:hAnsi="Arial"/>
          <w:sz w:val="15"/>
          <w:szCs w:val="15"/>
          <w:color w:val="auto"/>
        </w:rPr>
        <w:t>In addition, the guidance establishes a fair value hierarchy that prioritizes the inputs to valuation techniques used to measure fair value. The hierarchy gives the highest priority to unadjusted quoted market prices in active markets for identical assets and liabilities (Level 1 measurements) and the lowest priority to unobservable inputs (Level 3 measurements). The three levels of the fair value hierarchy are:</w:t>
      </w:r>
    </w:p>
    <w:p>
      <w:pPr>
        <w:sectPr>
          <w:pgSz w:w="11900" w:h="16838" w:orient="portrait"/>
          <w:cols w:equalWidth="0" w:num="1">
            <w:col w:w="11280"/>
          </w:cols>
          <w:pgMar w:left="300" w:top="122" w:right="319" w:bottom="1440" w:gutter="0" w:footer="0" w:header="0"/>
        </w:sectPr>
      </w:pPr>
    </w:p>
    <w:p>
      <w:pPr>
        <w:spacing w:after="0" w:line="90" w:lineRule="exact"/>
        <w:rPr>
          <w:sz w:val="20"/>
          <w:szCs w:val="20"/>
          <w:color w:val="auto"/>
        </w:rPr>
      </w:pPr>
    </w:p>
    <w:p>
      <w:pPr>
        <w:jc w:val="center"/>
        <w:ind w:left="600"/>
        <w:spacing w:after="0"/>
        <w:rPr>
          <w:sz w:val="20"/>
          <w:szCs w:val="20"/>
          <w:color w:val="auto"/>
        </w:rPr>
      </w:pPr>
      <w:r>
        <w:rPr>
          <w:rFonts w:ascii="Arial" w:cs="Arial" w:eastAsia="Arial" w:hAnsi="Arial"/>
          <w:sz w:val="14"/>
          <w:szCs w:val="14"/>
          <w:color w:val="auto"/>
        </w:rPr>
        <w:t>Level 1</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Unadjusted quoted prices in active markets that are accessible at the measurement date for identical assets and liabilities;</w:t>
      </w:r>
    </w:p>
    <w:p>
      <w:pPr>
        <w:spacing w:after="0" w:line="105" w:lineRule="exact"/>
        <w:rPr>
          <w:sz w:val="20"/>
          <w:szCs w:val="20"/>
          <w:color w:val="auto"/>
        </w:rPr>
      </w:pPr>
    </w:p>
    <w:p>
      <w:pPr>
        <w:sectPr>
          <w:pgSz w:w="11900" w:h="16838" w:orient="portrait"/>
          <w:cols w:equalWidth="0" w:num="2">
            <w:col w:w="1080" w:space="580"/>
            <w:col w:w="9620"/>
          </w:cols>
          <w:pgMar w:left="300" w:top="122" w:right="319" w:bottom="1440" w:gutter="0" w:footer="0" w:header="0"/>
          <w:type w:val="continuous"/>
        </w:sectPr>
      </w:pPr>
    </w:p>
    <w:p>
      <w:pPr>
        <w:jc w:val="center"/>
        <w:ind w:left="600"/>
        <w:spacing w:after="0"/>
        <w:rPr>
          <w:sz w:val="20"/>
          <w:szCs w:val="20"/>
          <w:color w:val="auto"/>
        </w:rPr>
      </w:pPr>
      <w:r>
        <w:rPr>
          <w:rFonts w:ascii="Arial" w:cs="Arial" w:eastAsia="Arial" w:hAnsi="Arial"/>
          <w:sz w:val="14"/>
          <w:szCs w:val="14"/>
          <w:color w:val="auto"/>
        </w:rPr>
        <w:t>Level 2</w:t>
      </w:r>
    </w:p>
    <w:p>
      <w:pPr>
        <w:spacing w:after="0" w:line="20" w:lineRule="exact"/>
        <w:rPr>
          <w:sz w:val="20"/>
          <w:szCs w:val="20"/>
          <w:color w:val="auto"/>
        </w:rPr>
      </w:pPr>
      <w:r>
        <w:rPr>
          <w:sz w:val="20"/>
          <w:szCs w:val="20"/>
          <w:color w:val="auto"/>
        </w:rPr>
        <w:br w:type="column"/>
      </w:r>
    </w:p>
    <w:p>
      <w:pPr>
        <w:ind w:right="260"/>
        <w:spacing w:after="0" w:line="239" w:lineRule="auto"/>
        <w:rPr>
          <w:sz w:val="20"/>
          <w:szCs w:val="20"/>
          <w:color w:val="auto"/>
        </w:rPr>
      </w:pPr>
      <w:r>
        <w:rPr>
          <w:rFonts w:ascii="Arial" w:cs="Arial" w:eastAsia="Arial" w:hAnsi="Arial"/>
          <w:sz w:val="15"/>
          <w:szCs w:val="15"/>
          <w:color w:val="auto"/>
        </w:rPr>
        <w:t>Pricing inputs that include quoted prices for similar assets and liabilities in active markets and inputs that are observable for the asset or liability, either directly or indirectly, for substantially the full term of the derivative instrument; and</w:t>
      </w:r>
    </w:p>
    <w:p>
      <w:pPr>
        <w:spacing w:after="0" w:line="89" w:lineRule="exact"/>
        <w:rPr>
          <w:sz w:val="20"/>
          <w:szCs w:val="20"/>
          <w:color w:val="auto"/>
        </w:rPr>
      </w:pPr>
    </w:p>
    <w:p>
      <w:pPr>
        <w:sectPr>
          <w:pgSz w:w="11900" w:h="16838" w:orient="portrait"/>
          <w:cols w:equalWidth="0" w:num="2">
            <w:col w:w="1080" w:space="580"/>
            <w:col w:w="9620"/>
          </w:cols>
          <w:pgMar w:left="300" w:top="122" w:right="319" w:bottom="1440" w:gutter="0" w:footer="0" w:header="0"/>
          <w:type w:val="continuous"/>
        </w:sectPr>
      </w:pPr>
    </w:p>
    <w:p>
      <w:pPr>
        <w:jc w:val="center"/>
        <w:ind w:left="600"/>
        <w:spacing w:after="0"/>
        <w:rPr>
          <w:sz w:val="20"/>
          <w:szCs w:val="20"/>
          <w:color w:val="auto"/>
        </w:rPr>
      </w:pPr>
      <w:r>
        <w:rPr>
          <w:rFonts w:ascii="Arial" w:cs="Arial" w:eastAsia="Arial" w:hAnsi="Arial"/>
          <w:sz w:val="14"/>
          <w:szCs w:val="14"/>
          <w:color w:val="auto"/>
        </w:rPr>
        <w:t>Level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Prices or valuations that require inputs that are both significant to the fair value measurements and unobservable.</w:t>
      </w:r>
    </w:p>
    <w:p>
      <w:pPr>
        <w:spacing w:after="0" w:line="183" w:lineRule="exact"/>
        <w:rPr>
          <w:sz w:val="20"/>
          <w:szCs w:val="20"/>
          <w:color w:val="auto"/>
        </w:rPr>
      </w:pPr>
    </w:p>
    <w:p>
      <w:pPr>
        <w:sectPr>
          <w:pgSz w:w="11900" w:h="16838" w:orient="portrait"/>
          <w:cols w:equalWidth="0" w:num="2">
            <w:col w:w="1080" w:space="580"/>
            <w:col w:w="9620"/>
          </w:cols>
          <w:pgMar w:left="300" w:top="122" w:right="319" w:bottom="1440" w:gutter="0" w:footer="0" w:header="0"/>
          <w:type w:val="continuous"/>
        </w:sectPr>
      </w:pPr>
    </w:p>
    <w:p>
      <w:pPr>
        <w:ind w:right="60" w:firstLine="591"/>
        <w:spacing w:after="0" w:line="239" w:lineRule="auto"/>
        <w:rPr>
          <w:sz w:val="20"/>
          <w:szCs w:val="20"/>
          <w:color w:val="auto"/>
        </w:rPr>
      </w:pPr>
      <w:r>
        <w:rPr>
          <w:rFonts w:ascii="Arial" w:cs="Arial" w:eastAsia="Arial" w:hAnsi="Arial"/>
          <w:sz w:val="15"/>
          <w:szCs w:val="15"/>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or assumptions to determine the fair value of certain financial instruments could result in a different fair value measurement at the reporting date.</w:t>
      </w:r>
    </w:p>
    <w:p>
      <w:pPr>
        <w:spacing w:after="0" w:line="155" w:lineRule="exact"/>
        <w:rPr>
          <w:sz w:val="20"/>
          <w:szCs w:val="20"/>
          <w:color w:val="auto"/>
        </w:rPr>
      </w:pPr>
    </w:p>
    <w:p>
      <w:pPr>
        <w:ind w:right="320" w:firstLine="591"/>
        <w:spacing w:after="0" w:line="260" w:lineRule="auto"/>
        <w:rPr>
          <w:sz w:val="20"/>
          <w:szCs w:val="20"/>
          <w:color w:val="auto"/>
        </w:rPr>
      </w:pPr>
      <w:r>
        <w:rPr>
          <w:rFonts w:ascii="Arial" w:cs="Arial" w:eastAsia="Arial" w:hAnsi="Arial"/>
          <w:sz w:val="15"/>
          <w:szCs w:val="15"/>
          <w:color w:val="auto"/>
        </w:rPr>
        <w:t>The following table sets forth assets associated with the pension plan in “Note 16—</w:t>
      </w:r>
      <w:r>
        <w:rPr>
          <w:rFonts w:ascii="Arial" w:cs="Arial" w:eastAsia="Arial" w:hAnsi="Arial"/>
          <w:sz w:val="15"/>
          <w:szCs w:val="15"/>
          <w:i w:val="1"/>
          <w:iCs w:val="1"/>
          <w:color w:val="auto"/>
        </w:rPr>
        <w:t>Retirement and Other Benefits Plans</w:t>
      </w:r>
      <w:r>
        <w:rPr>
          <w:rFonts w:ascii="Arial" w:cs="Arial" w:eastAsia="Arial" w:hAnsi="Arial"/>
          <w:sz w:val="15"/>
          <w:szCs w:val="15"/>
          <w:color w:val="auto"/>
        </w:rPr>
        <w:t>” that are accounted for at fair value by Level within the fair value hierarchy.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Fair value as of December 31, 2020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4900" w:type="dxa"/>
            <w:vAlign w:val="bottom"/>
            <w:tcBorders>
              <w:bottom w:val="single" w:sz="8" w:color="CFF0FC"/>
            </w:tcBorders>
          </w:tcPr>
          <w:p>
            <w:pPr>
              <w:spacing w:after="0"/>
              <w:rPr>
                <w:sz w:val="12"/>
                <w:szCs w:val="12"/>
                <w:color w:val="auto"/>
              </w:rPr>
            </w:pPr>
          </w:p>
        </w:tc>
        <w:tc>
          <w:tcPr>
            <w:tcW w:w="94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1</w:t>
            </w: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2</w:t>
            </w:r>
          </w:p>
        </w:tc>
        <w:tc>
          <w:tcPr>
            <w:tcW w:w="24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Level 3</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Mutual funds</w:t>
            </w:r>
          </w:p>
        </w:tc>
        <w:tc>
          <w:tcPr>
            <w:tcW w:w="118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2,847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ind w:right="73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2,847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00" w:type="dxa"/>
            <w:vAlign w:val="bottom"/>
          </w:tcPr>
          <w:p>
            <w:pPr>
              <w:spacing w:after="0"/>
              <w:rPr>
                <w:sz w:val="20"/>
                <w:szCs w:val="20"/>
                <w:color w:val="auto"/>
              </w:rPr>
            </w:pPr>
            <w:r>
              <w:rPr>
                <w:rFonts w:ascii="Arial" w:cs="Arial" w:eastAsia="Arial" w:hAnsi="Arial"/>
                <w:sz w:val="15"/>
                <w:szCs w:val="15"/>
                <w:color w:val="auto"/>
              </w:rPr>
              <w:t>Fixed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10,615</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10,615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571</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118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3,418</w:t>
            </w:r>
          </w:p>
        </w:tc>
        <w:tc>
          <w:tcPr>
            <w:tcW w:w="240" w:type="dxa"/>
            <w:vAlign w:val="bottom"/>
          </w:tcPr>
          <w:p>
            <w:pPr>
              <w:spacing w:after="0"/>
              <w:rPr>
                <w:sz w:val="14"/>
                <w:szCs w:val="14"/>
                <w:color w:val="auto"/>
              </w:rPr>
            </w:pP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10,615</w:t>
            </w:r>
          </w:p>
        </w:tc>
        <w:tc>
          <w:tcPr>
            <w:tcW w:w="240" w:type="dxa"/>
            <w:vAlign w:val="bottom"/>
          </w:tcPr>
          <w:p>
            <w:pPr>
              <w:spacing w:after="0"/>
              <w:rPr>
                <w:sz w:val="14"/>
                <w:szCs w:val="14"/>
                <w:color w:val="auto"/>
              </w:rPr>
            </w:pPr>
          </w:p>
        </w:tc>
        <w:tc>
          <w:tcPr>
            <w:tcW w:w="880" w:type="dxa"/>
            <w:vAlign w:val="bottom"/>
          </w:tcPr>
          <w:p>
            <w:pPr>
              <w:jc w:val="right"/>
              <w:ind w:right="73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14,033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ind w:left="600"/>
              <w:spacing w:after="0"/>
              <w:rPr>
                <w:sz w:val="20"/>
                <w:szCs w:val="20"/>
                <w:color w:val="auto"/>
              </w:rPr>
            </w:pPr>
            <w:r>
              <w:rPr>
                <w:rFonts w:ascii="Arial" w:cs="Arial" w:eastAsia="Arial" w:hAnsi="Arial"/>
                <w:sz w:val="15"/>
                <w:szCs w:val="15"/>
                <w:color w:val="auto"/>
              </w:rPr>
              <w:t>Fair value as of December 31, 2019 (in thousands):</w:t>
            </w: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9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900" w:type="dxa"/>
            <w:vAlign w:val="bottom"/>
            <w:tcBorders>
              <w:bottom w:val="single" w:sz="8" w:color="CFF0FC"/>
            </w:tcBorders>
          </w:tcPr>
          <w:p>
            <w:pPr>
              <w:spacing w:after="0"/>
              <w:rPr>
                <w:sz w:val="24"/>
                <w:szCs w:val="24"/>
                <w:color w:val="auto"/>
              </w:rPr>
            </w:pPr>
          </w:p>
        </w:tc>
        <w:tc>
          <w:tcPr>
            <w:tcW w:w="94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1</w:t>
            </w:r>
          </w:p>
        </w:tc>
        <w:tc>
          <w:tcPr>
            <w:tcW w:w="240" w:type="dxa"/>
            <w:vAlign w:val="bottom"/>
            <w:tcBorders>
              <w:bottom w:val="single" w:sz="8" w:color="CFF0F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Level 2</w:t>
            </w:r>
          </w:p>
        </w:tc>
        <w:tc>
          <w:tcPr>
            <w:tcW w:w="240" w:type="dxa"/>
            <w:vAlign w:val="bottom"/>
            <w:tcBorders>
              <w:bottom w:val="single" w:sz="8" w:color="CFF0FC"/>
            </w:tcBorders>
          </w:tcPr>
          <w:p>
            <w:pPr>
              <w:spacing w:after="0"/>
              <w:rPr>
                <w:sz w:val="24"/>
                <w:szCs w:val="24"/>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Level 3</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9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Mutual funds</w:t>
            </w: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2,987</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2,987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900" w:type="dxa"/>
            <w:vAlign w:val="bottom"/>
          </w:tcPr>
          <w:p>
            <w:pPr>
              <w:spacing w:after="0"/>
              <w:rPr>
                <w:sz w:val="20"/>
                <w:szCs w:val="20"/>
                <w:color w:val="auto"/>
              </w:rPr>
            </w:pPr>
            <w:r>
              <w:rPr>
                <w:rFonts w:ascii="Arial" w:cs="Arial" w:eastAsia="Arial" w:hAnsi="Arial"/>
                <w:sz w:val="15"/>
                <w:szCs w:val="15"/>
                <w:color w:val="auto"/>
              </w:rPr>
              <w:t>Fixed income</w:t>
            </w: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10,447</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10,447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900" w:type="dxa"/>
            <w:vAlign w:val="bottom"/>
            <w:shd w:val="clear" w:color="auto" w:fill="CFF0FC"/>
          </w:tcPr>
          <w:p>
            <w:pPr>
              <w:spacing w:after="0"/>
              <w:rPr>
                <w:sz w:val="20"/>
                <w:szCs w:val="20"/>
                <w:color w:val="auto"/>
              </w:rPr>
            </w:pPr>
            <w:r>
              <w:rPr>
                <w:rFonts w:ascii="Arial" w:cs="Arial" w:eastAsia="Arial" w:hAnsi="Arial"/>
                <w:sz w:val="15"/>
                <w:szCs w:val="15"/>
                <w:color w:val="auto"/>
              </w:rPr>
              <w:t>Cash and cash equivalents</w:t>
            </w:r>
          </w:p>
        </w:tc>
        <w:tc>
          <w:tcPr>
            <w:tcW w:w="94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334</w:t>
            </w:r>
          </w:p>
        </w:tc>
        <w:tc>
          <w:tcPr>
            <w:tcW w:w="24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3,321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line="169" w:lineRule="exact"/>
              <w:rPr>
                <w:sz w:val="20"/>
                <w:szCs w:val="20"/>
                <w:color w:val="auto"/>
              </w:rPr>
            </w:pPr>
            <w:r>
              <w:rPr>
                <w:rFonts w:ascii="Arial" w:cs="Arial" w:eastAsia="Arial" w:hAnsi="Arial"/>
                <w:sz w:val="15"/>
                <w:szCs w:val="15"/>
                <w:color w:val="auto"/>
              </w:rPr>
              <w:t>10,447</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13,768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ind w:right="40" w:firstLine="591"/>
        <w:spacing w:after="0" w:line="264" w:lineRule="auto"/>
        <w:rPr>
          <w:sz w:val="20"/>
          <w:szCs w:val="20"/>
          <w:color w:val="auto"/>
        </w:rPr>
      </w:pPr>
      <w:r>
        <w:rPr>
          <w:rFonts w:ascii="Arial" w:cs="Arial" w:eastAsia="Arial" w:hAnsi="Arial"/>
          <w:sz w:val="14"/>
          <w:szCs w:val="14"/>
          <w:color w:val="auto"/>
        </w:rPr>
        <w:t>As described in “Note 16—</w:t>
      </w:r>
      <w:r>
        <w:rPr>
          <w:rFonts w:ascii="Arial" w:cs="Arial" w:eastAsia="Arial" w:hAnsi="Arial"/>
          <w:sz w:val="14"/>
          <w:szCs w:val="14"/>
          <w:i w:val="1"/>
          <w:iCs w:val="1"/>
          <w:color w:val="auto"/>
        </w:rPr>
        <w:t>Retirement and Other Benefits Plans</w:t>
      </w:r>
      <w:r>
        <w:rPr>
          <w:rFonts w:ascii="Arial" w:cs="Arial" w:eastAsia="Arial" w:hAnsi="Arial"/>
          <w:sz w:val="14"/>
          <w:szCs w:val="14"/>
          <w:color w:val="auto"/>
        </w:rPr>
        <w:t>”, the Company acquired a defined contribution pension plan, a defined benefit pension plan, and supplemental retirement plans. At December 31, 2020 and December 31, 2019, the Company measured the mutual funds held within the defined benefit pension plan at fair value using unadjusted quoted prices in active markets that are accessible for identical assets. The Company measured the fixed income securities using market bid and ask prices. The inputs that are significant to the valuation of fixed income securities are generally observable, and therefore have been classified as Level 2.</w:t>
      </w:r>
    </w:p>
    <w:p>
      <w:pPr>
        <w:spacing w:after="0" w:line="134" w:lineRule="exact"/>
        <w:rPr>
          <w:sz w:val="20"/>
          <w:szCs w:val="20"/>
          <w:color w:val="auto"/>
        </w:rPr>
      </w:pPr>
    </w:p>
    <w:p>
      <w:pPr>
        <w:ind w:right="100" w:firstLine="591"/>
        <w:spacing w:after="0" w:line="260" w:lineRule="auto"/>
        <w:rPr>
          <w:sz w:val="20"/>
          <w:szCs w:val="20"/>
          <w:color w:val="auto"/>
        </w:rPr>
      </w:pPr>
      <w:r>
        <w:rPr>
          <w:rFonts w:ascii="Arial" w:cs="Arial" w:eastAsia="Arial" w:hAnsi="Arial"/>
          <w:sz w:val="15"/>
          <w:szCs w:val="15"/>
          <w:color w:val="auto"/>
        </w:rPr>
        <w:t>The following table sets forth redeemable common stock associated with the ESOP in “Note 16—R</w:t>
      </w:r>
      <w:r>
        <w:rPr>
          <w:rFonts w:ascii="Arial" w:cs="Arial" w:eastAsia="Arial" w:hAnsi="Arial"/>
          <w:sz w:val="15"/>
          <w:szCs w:val="15"/>
          <w:i w:val="1"/>
          <w:iCs w:val="1"/>
          <w:color w:val="auto"/>
        </w:rPr>
        <w:t>etirement and Other Benefits Plans”</w:t>
      </w:r>
      <w:r>
        <w:rPr>
          <w:rFonts w:ascii="Arial" w:cs="Arial" w:eastAsia="Arial" w:hAnsi="Arial"/>
          <w:sz w:val="15"/>
          <w:szCs w:val="15"/>
          <w:color w:val="auto"/>
        </w:rPr>
        <w:t xml:space="preserve"> that is accounted for at fair value by Level within the fair value hierarchy.</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Fair value as of December 31, 2018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880" w:type="dxa"/>
            <w:vAlign w:val="bottom"/>
            <w:tcBorders>
              <w:bottom w:val="single" w:sz="8" w:color="CFF0FC"/>
            </w:tcBorders>
          </w:tcPr>
          <w:p>
            <w:pPr>
              <w:spacing w:after="0"/>
              <w:rPr>
                <w:sz w:val="12"/>
                <w:szCs w:val="12"/>
                <w:color w:val="auto"/>
              </w:rPr>
            </w:pPr>
          </w:p>
        </w:tc>
        <w:tc>
          <w:tcPr>
            <w:tcW w:w="1960" w:type="dxa"/>
            <w:vAlign w:val="bottom"/>
            <w:tcBorders>
              <w:bottom w:val="single" w:sz="8" w:color="CFF0FC"/>
            </w:tcBorders>
          </w:tcPr>
          <w:p>
            <w:pPr>
              <w:spacing w:after="0"/>
              <w:rPr>
                <w:sz w:val="12"/>
                <w:szCs w:val="12"/>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2"/>
                <w:szCs w:val="12"/>
                <w:b w:val="1"/>
                <w:bCs w:val="1"/>
                <w:color w:val="auto"/>
              </w:rPr>
              <w:t>Level 1</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2"/>
                <w:szCs w:val="12"/>
                <w:b w:val="1"/>
                <w:bCs w:val="1"/>
                <w:color w:val="auto"/>
              </w:rPr>
              <w:t>Level 2</w:t>
            </w:r>
          </w:p>
        </w:tc>
        <w:tc>
          <w:tcPr>
            <w:tcW w:w="28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Level 3</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bottom w:val="single" w:sz="8" w:color="CFF0FC"/>
            </w:tcBorders>
          </w:tcPr>
          <w:p>
            <w:pPr>
              <w:spacing w:after="0"/>
              <w:rPr>
                <w:sz w:val="12"/>
                <w:szCs w:val="12"/>
                <w:color w:val="auto"/>
              </w:rPr>
            </w:pPr>
          </w:p>
        </w:tc>
      </w:tr>
      <w:tr>
        <w:trPr>
          <w:trHeight w:val="168"/>
        </w:trPr>
        <w:tc>
          <w:tcPr>
            <w:tcW w:w="388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Redeemable Common Stock</w:t>
            </w:r>
          </w:p>
        </w:tc>
        <w:tc>
          <w:tcPr>
            <w:tcW w:w="196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ind w:right="714"/>
              <w:spacing w:after="0" w:line="169" w:lineRule="exact"/>
              <w:rPr>
                <w:sz w:val="20"/>
                <w:szCs w:val="20"/>
                <w:color w:val="auto"/>
              </w:rPr>
            </w:pPr>
            <w:r>
              <w:rPr>
                <w:rFonts w:ascii="Arial" w:cs="Arial" w:eastAsia="Arial" w:hAnsi="Arial"/>
                <w:sz w:val="15"/>
                <w:szCs w:val="15"/>
                <w:color w:val="auto"/>
                <w:w w:val="95"/>
              </w:rPr>
              <w:t>$</w:t>
            </w:r>
          </w:p>
        </w:tc>
        <w:tc>
          <w:tcPr>
            <w:tcW w:w="280" w:type="dxa"/>
            <w:vAlign w:val="bottom"/>
            <w:tcBorders>
              <w:bottom w:val="single" w:sz="8" w:color="auto"/>
            </w:tcBorders>
            <w:shd w:val="clear" w:color="auto" w:fill="CFF0FC"/>
          </w:tcPr>
          <w:p>
            <w:pPr>
              <w:ind w:left="120"/>
              <w:spacing w:after="0" w:line="169" w:lineRule="exact"/>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711"/>
              <w:spacing w:after="0" w:line="169" w:lineRule="exact"/>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ind w:left="120"/>
              <w:spacing w:after="0" w:line="169" w:lineRule="exact"/>
              <w:rPr>
                <w:sz w:val="20"/>
                <w:szCs w:val="20"/>
                <w:color w:val="auto"/>
              </w:rPr>
            </w:pPr>
            <w:r>
              <w:rPr>
                <w:rFonts w:ascii="Arial" w:cs="Arial" w:eastAsia="Arial" w:hAnsi="Arial"/>
                <w:sz w:val="15"/>
                <w:szCs w:val="15"/>
                <w:color w:val="auto"/>
                <w:w w:val="93"/>
              </w:rPr>
              <w:t>—</w:t>
            </w:r>
          </w:p>
        </w:tc>
        <w:tc>
          <w:tcPr>
            <w:tcW w:w="240" w:type="dxa"/>
            <w:vAlign w:val="bottom"/>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1,876,309</w:t>
            </w:r>
          </w:p>
        </w:tc>
        <w:tc>
          <w:tcPr>
            <w:tcW w:w="2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1,876,309</w:t>
            </w:r>
          </w:p>
        </w:tc>
        <w:tc>
          <w:tcPr>
            <w:tcW w:w="120" w:type="dxa"/>
            <w:vAlign w:val="bottom"/>
            <w:shd w:val="clear" w:color="auto" w:fill="CFF0FC"/>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2840" w:type="dxa"/>
            <w:vAlign w:val="bottom"/>
            <w:gridSpan w:val="2"/>
          </w:tcPr>
          <w:p>
            <w:pPr>
              <w:jc w:val="right"/>
              <w:ind w:right="714"/>
              <w:spacing w:after="0" w:line="169" w:lineRule="exact"/>
              <w:rPr>
                <w:sz w:val="20"/>
                <w:szCs w:val="20"/>
                <w:color w:val="auto"/>
              </w:rPr>
            </w:pPr>
            <w:r>
              <w:rPr>
                <w:rFonts w:ascii="Arial" w:cs="Arial" w:eastAsia="Arial" w:hAnsi="Arial"/>
                <w:sz w:val="15"/>
                <w:szCs w:val="15"/>
                <w:color w:val="auto"/>
              </w:rPr>
              <w:t>$</w:t>
            </w: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860" w:type="dxa"/>
            <w:vAlign w:val="bottom"/>
          </w:tcPr>
          <w:p>
            <w:pPr>
              <w:jc w:val="right"/>
              <w:ind w:right="711"/>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gridSpan w:val="2"/>
          </w:tcPr>
          <w:p>
            <w:pPr>
              <w:ind w:left="120"/>
              <w:spacing w:after="0" w:line="169" w:lineRule="exact"/>
              <w:rPr>
                <w:sz w:val="20"/>
                <w:szCs w:val="20"/>
                <w:color w:val="auto"/>
              </w:rPr>
            </w:pPr>
            <w:r>
              <w:rPr>
                <w:rFonts w:ascii="Arial" w:cs="Arial" w:eastAsia="Arial" w:hAnsi="Arial"/>
                <w:sz w:val="15"/>
                <w:szCs w:val="15"/>
                <w:color w:val="auto"/>
              </w:rPr>
              <w:t>—</w:t>
            </w:r>
          </w:p>
        </w:tc>
        <w:tc>
          <w:tcPr>
            <w:tcW w:w="220" w:type="dxa"/>
            <w:vAlign w:val="bottom"/>
          </w:tcPr>
          <w:p>
            <w:pPr>
              <w:jc w:val="right"/>
              <w:ind w:right="66"/>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1,876,309</w:t>
            </w:r>
          </w:p>
        </w:tc>
        <w:tc>
          <w:tcPr>
            <w:tcW w:w="240" w:type="dxa"/>
            <w:vAlign w:val="bottom"/>
          </w:tcPr>
          <w:p>
            <w:pPr>
              <w:spacing w:after="0"/>
              <w:rPr>
                <w:sz w:val="14"/>
                <w:szCs w:val="14"/>
                <w:color w:val="auto"/>
              </w:rPr>
            </w:pPr>
          </w:p>
        </w:tc>
        <w:tc>
          <w:tcPr>
            <w:tcW w:w="260" w:type="dxa"/>
            <w:vAlign w:val="bottom"/>
          </w:tcPr>
          <w:p>
            <w:pPr>
              <w:jc w:val="right"/>
              <w:ind w:right="106"/>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69" w:lineRule="exact"/>
              <w:rPr>
                <w:sz w:val="20"/>
                <w:szCs w:val="20"/>
                <w:color w:val="auto"/>
              </w:rPr>
            </w:pPr>
            <w:r>
              <w:rPr>
                <w:rFonts w:ascii="Arial" w:cs="Arial" w:eastAsia="Arial" w:hAnsi="Arial"/>
                <w:sz w:val="15"/>
                <w:szCs w:val="15"/>
                <w:color w:val="auto"/>
              </w:rPr>
              <w:t>1,876,309</w:t>
            </w:r>
          </w:p>
        </w:tc>
        <w:tc>
          <w:tcPr>
            <w:tcW w:w="120" w:type="dxa"/>
            <w:vAlign w:val="bottom"/>
          </w:tcPr>
          <w:p>
            <w:pPr>
              <w:spacing w:after="0"/>
              <w:rPr>
                <w:sz w:val="14"/>
                <w:szCs w:val="14"/>
                <w:color w:val="auto"/>
              </w:rPr>
            </w:pPr>
          </w:p>
        </w:tc>
      </w:tr>
      <w:tr>
        <w:trPr>
          <w:trHeight w:val="20"/>
        </w:trPr>
        <w:tc>
          <w:tcPr>
            <w:tcW w:w="3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3" w:lineRule="exact"/>
        <w:rPr>
          <w:sz w:val="20"/>
          <w:szCs w:val="20"/>
          <w:color w:val="auto"/>
        </w:rPr>
      </w:pPr>
    </w:p>
    <w:p>
      <w:pPr>
        <w:ind w:right="80" w:firstLine="591"/>
        <w:spacing w:after="0" w:line="235" w:lineRule="auto"/>
        <w:rPr>
          <w:sz w:val="20"/>
          <w:szCs w:val="20"/>
          <w:color w:val="auto"/>
        </w:rPr>
      </w:pPr>
      <w:r>
        <w:rPr>
          <w:rFonts w:ascii="Arial" w:cs="Arial" w:eastAsia="Arial" w:hAnsi="Arial"/>
          <w:sz w:val="15"/>
          <w:szCs w:val="15"/>
          <w:color w:val="auto"/>
        </w:rPr>
        <w:t>As described in “Note 16—</w:t>
      </w:r>
      <w:r>
        <w:rPr>
          <w:rFonts w:ascii="Arial" w:cs="Arial" w:eastAsia="Arial" w:hAnsi="Arial"/>
          <w:sz w:val="15"/>
          <w:szCs w:val="15"/>
          <w:i w:val="1"/>
          <w:iCs w:val="1"/>
          <w:color w:val="auto"/>
        </w:rPr>
        <w:t>Retirement and Other Benefits Plans</w:t>
      </w:r>
      <w:r>
        <w:rPr>
          <w:rFonts w:ascii="Arial" w:cs="Arial" w:eastAsia="Arial" w:hAnsi="Arial"/>
          <w:sz w:val="15"/>
          <w:szCs w:val="15"/>
          <w:color w:val="auto"/>
        </w:rPr>
        <w:t>”, the Company was obligated to redeem eligible participants’ interests in their ESOP accounts for cash upon an employee’s election until the conclusion of the 180-day lock-up period on November 3, 2019. Prior to the conclusion of the 180-day lock-up period, all shares held by the ESOP were redeemable in the future for cash at the option of the holder once vesting and eligibility requirements had been met. At December 31, 2018, 78,172,809 shares of the Company’s common stock were held by the ESOP which the Company recorded at their redemption values of $1.9 billion and presented as temporary equity on the consolidated balance sheet. The redemption value was based on a share price established by the ESOP trustee, taking into account, among other things, the advice of a third-party valuation consultant for the ESOP trustee, as well as the ESOP trustee’s knowledge of the Company. The share price valuation was determined using a combination of income- and market-based methods that utilized unobservable Level 3 inputs, including significant assumptions such as forecasted revenue and operating margins, working capital requirements, and weighted average cost of capital. At December 31, 2019, all outstanding shares of common stock are included in permanent equity in the consolidated balance sheet.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55"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a reconciliation of the beginning and ending balances of the fair value measurements using significant unobservable inputs (Level 3)</w:t>
      </w:r>
    </w:p>
    <w:p>
      <w:pPr>
        <w:spacing w:after="0"/>
        <w:rPr>
          <w:sz w:val="20"/>
          <w:szCs w:val="20"/>
          <w:color w:val="auto"/>
        </w:rPr>
      </w:pPr>
      <w:r>
        <w:rPr>
          <w:rFonts w:ascii="Arial" w:cs="Arial" w:eastAsia="Arial" w:hAnsi="Arial"/>
          <w:sz w:val="15"/>
          <w:szCs w:val="15"/>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040" w:type="dxa"/>
            <w:vAlign w:val="bottom"/>
            <w:tcBorders>
              <w:bottom w:val="single" w:sz="8" w:color="CFF0FC"/>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868"/>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168"/>
        </w:trPr>
        <w:tc>
          <w:tcPr>
            <w:tcW w:w="90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Balance at beginning of year</w:t>
            </w:r>
          </w:p>
        </w:tc>
        <w:tc>
          <w:tcPr>
            <w:tcW w:w="500" w:type="dxa"/>
            <w:vAlign w:val="bottom"/>
            <w:shd w:val="clear" w:color="auto" w:fill="CFF0FC"/>
          </w:tcPr>
          <w:p>
            <w:pPr>
              <w:jc w:val="right"/>
              <w:ind w:right="346"/>
              <w:spacing w:after="0" w:line="169" w:lineRule="exact"/>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1,876,309</w:t>
            </w:r>
          </w:p>
        </w:tc>
        <w:tc>
          <w:tcPr>
            <w:tcW w:w="120" w:type="dxa"/>
            <w:vAlign w:val="bottom"/>
            <w:shd w:val="clear" w:color="auto" w:fill="CFF0FC"/>
          </w:tcPr>
          <w:p>
            <w:pPr>
              <w:spacing w:after="0"/>
              <w:rPr>
                <w:sz w:val="14"/>
                <w:szCs w:val="14"/>
                <w:color w:val="auto"/>
              </w:rPr>
            </w:pPr>
          </w:p>
        </w:tc>
      </w:tr>
      <w:tr>
        <w:trPr>
          <w:trHeight w:val="177"/>
        </w:trPr>
        <w:tc>
          <w:tcPr>
            <w:tcW w:w="9040" w:type="dxa"/>
            <w:vAlign w:val="bottom"/>
          </w:tcPr>
          <w:p>
            <w:pPr>
              <w:spacing w:after="0"/>
              <w:rPr>
                <w:sz w:val="20"/>
                <w:szCs w:val="20"/>
                <w:color w:val="auto"/>
              </w:rPr>
            </w:pPr>
            <w:r>
              <w:rPr>
                <w:rFonts w:ascii="Arial" w:cs="Arial" w:eastAsia="Arial" w:hAnsi="Arial"/>
                <w:sz w:val="15"/>
                <w:szCs w:val="15"/>
                <w:color w:val="auto"/>
              </w:rPr>
              <w:t>Purchases of treasury stock</w:t>
            </w:r>
          </w:p>
        </w:tc>
        <w:tc>
          <w:tcPr>
            <w:tcW w:w="500" w:type="dxa"/>
            <w:vAlign w:val="bottom"/>
          </w:tcPr>
          <w:p>
            <w:pPr>
              <w:spacing w:after="0"/>
              <w:rPr>
                <w:sz w:val="15"/>
                <w:szCs w:val="15"/>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5"/>
                <w:szCs w:val="15"/>
                <w:color w:val="auto"/>
              </w:rPr>
              <w:t>(6,219)</w:t>
            </w:r>
          </w:p>
        </w:tc>
      </w:tr>
      <w:tr>
        <w:trPr>
          <w:trHeight w:val="177"/>
        </w:trPr>
        <w:tc>
          <w:tcPr>
            <w:tcW w:w="9040" w:type="dxa"/>
            <w:vAlign w:val="bottom"/>
            <w:shd w:val="clear" w:color="auto" w:fill="CFF0FC"/>
          </w:tcPr>
          <w:p>
            <w:pPr>
              <w:spacing w:after="0"/>
              <w:rPr>
                <w:sz w:val="20"/>
                <w:szCs w:val="20"/>
                <w:color w:val="auto"/>
              </w:rPr>
            </w:pPr>
            <w:r>
              <w:rPr>
                <w:rFonts w:ascii="Arial" w:cs="Arial" w:eastAsia="Arial" w:hAnsi="Arial"/>
                <w:sz w:val="15"/>
                <w:szCs w:val="15"/>
                <w:color w:val="auto"/>
              </w:rPr>
              <w:t>Contributions of treasury stock to ESOP</w:t>
            </w: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r>
      <w:tr>
        <w:trPr>
          <w:trHeight w:val="177"/>
        </w:trPr>
        <w:tc>
          <w:tcPr>
            <w:tcW w:w="9040" w:type="dxa"/>
            <w:vAlign w:val="bottom"/>
          </w:tcPr>
          <w:p>
            <w:pPr>
              <w:spacing w:after="0"/>
              <w:rPr>
                <w:sz w:val="20"/>
                <w:szCs w:val="20"/>
                <w:color w:val="auto"/>
              </w:rPr>
            </w:pPr>
            <w:r>
              <w:rPr>
                <w:rFonts w:ascii="Arial" w:cs="Arial" w:eastAsia="Arial" w:hAnsi="Arial"/>
                <w:sz w:val="15"/>
                <w:szCs w:val="15"/>
                <w:color w:val="auto"/>
              </w:rPr>
              <w:t>Share price adjustment</w:t>
            </w:r>
          </w:p>
        </w:tc>
        <w:tc>
          <w:tcPr>
            <w:tcW w:w="5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883,436</w:t>
            </w:r>
          </w:p>
        </w:tc>
        <w:tc>
          <w:tcPr>
            <w:tcW w:w="120" w:type="dxa"/>
            <w:vAlign w:val="bottom"/>
          </w:tcPr>
          <w:p>
            <w:pPr>
              <w:spacing w:after="0"/>
              <w:rPr>
                <w:sz w:val="15"/>
                <w:szCs w:val="15"/>
                <w:color w:val="auto"/>
              </w:rPr>
            </w:pPr>
          </w:p>
        </w:tc>
      </w:tr>
      <w:tr>
        <w:trPr>
          <w:trHeight w:val="177"/>
        </w:trPr>
        <w:tc>
          <w:tcPr>
            <w:tcW w:w="9040" w:type="dxa"/>
            <w:vAlign w:val="bottom"/>
            <w:shd w:val="clear" w:color="auto" w:fill="CFF0FC"/>
          </w:tcPr>
          <w:p>
            <w:pPr>
              <w:spacing w:after="0"/>
              <w:rPr>
                <w:sz w:val="20"/>
                <w:szCs w:val="20"/>
                <w:color w:val="auto"/>
              </w:rPr>
            </w:pPr>
            <w:r>
              <w:rPr>
                <w:rFonts w:ascii="Arial" w:cs="Arial" w:eastAsia="Arial" w:hAnsi="Arial"/>
                <w:sz w:val="15"/>
                <w:szCs w:val="15"/>
                <w:color w:val="auto"/>
              </w:rPr>
              <w:t>Transfer to permanent equity</w:t>
            </w:r>
          </w:p>
        </w:tc>
        <w:tc>
          <w:tcPr>
            <w:tcW w:w="500" w:type="dxa"/>
            <w:vAlign w:val="bottom"/>
            <w:shd w:val="clear" w:color="auto" w:fill="CFF0FC"/>
          </w:tcPr>
          <w:p>
            <w:pPr>
              <w:jc w:val="right"/>
              <w:ind w:right="346"/>
              <w:spacing w:after="0"/>
              <w:rPr>
                <w:sz w:val="20"/>
                <w:szCs w:val="20"/>
                <w:color w:val="auto"/>
              </w:rPr>
            </w:pPr>
            <w:r>
              <w:rPr>
                <w:rFonts w:ascii="Arial" w:cs="Arial" w:eastAsia="Arial" w:hAnsi="Arial"/>
                <w:sz w:val="15"/>
                <w:szCs w:val="15"/>
                <w:color w:val="auto"/>
                <w:w w:val="71"/>
              </w:rPr>
              <w:t>$</w:t>
            </w: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(2,753,526)</w:t>
            </w:r>
          </w:p>
        </w:tc>
      </w:tr>
      <w:tr>
        <w:trPr>
          <w:trHeight w:val="179"/>
        </w:trPr>
        <w:tc>
          <w:tcPr>
            <w:tcW w:w="9040" w:type="dxa"/>
            <w:vAlign w:val="bottom"/>
          </w:tcPr>
          <w:p>
            <w:pPr>
              <w:spacing w:after="0"/>
              <w:rPr>
                <w:sz w:val="20"/>
                <w:szCs w:val="20"/>
                <w:color w:val="auto"/>
              </w:rPr>
            </w:pPr>
            <w:r>
              <w:rPr>
                <w:rFonts w:ascii="Arial" w:cs="Arial" w:eastAsia="Arial" w:hAnsi="Arial"/>
                <w:sz w:val="15"/>
                <w:szCs w:val="15"/>
                <w:color w:val="auto"/>
              </w:rPr>
              <w:t>Balance at end of year</w:t>
            </w:r>
          </w:p>
        </w:tc>
        <w:tc>
          <w:tcPr>
            <w:tcW w:w="50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5741035</wp:posOffset>
            </wp:positionH>
            <wp:positionV relativeFrom="paragraph">
              <wp:posOffset>-6350</wp:posOffset>
            </wp:positionV>
            <wp:extent cx="134429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1344295" cy="6985"/>
                    </a:xfrm>
                    <a:prstGeom prst="rect">
                      <a:avLst/>
                    </a:prstGeom>
                    <a:noFill/>
                  </pic:spPr>
                </pic:pic>
              </a:graphicData>
            </a:graphic>
          </wp:anchor>
        </w:drawing>
        <w:drawing>
          <wp:anchor simplePos="0" relativeHeight="251657728" behindDoc="1" locked="0" layoutInCell="0" allowOverlap="1">
            <wp:simplePos x="0" y="0"/>
            <wp:positionH relativeFrom="column">
              <wp:posOffset>5741035</wp:posOffset>
            </wp:positionH>
            <wp:positionV relativeFrom="paragraph">
              <wp:posOffset>6985</wp:posOffset>
            </wp:positionV>
            <wp:extent cx="134429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1344295" cy="6985"/>
                    </a:xfrm>
                    <a:prstGeom prst="rect">
                      <a:avLst/>
                    </a:prstGeom>
                    <a:noFill/>
                  </pic:spPr>
                </pic:pic>
              </a:graphicData>
            </a:graphic>
          </wp:anchor>
        </w:drawing>
      </w:r>
    </w:p>
    <w:p>
      <w:pPr>
        <w:spacing w:after="0" w:line="2" w:lineRule="exact"/>
        <w:rPr>
          <w:sz w:val="20"/>
          <w:szCs w:val="20"/>
          <w:color w:val="auto"/>
        </w:rPr>
      </w:pPr>
    </w:p>
    <w:p>
      <w:pPr>
        <w:ind w:right="120" w:firstLine="591"/>
        <w:spacing w:after="0" w:line="252" w:lineRule="auto"/>
        <w:rPr>
          <w:sz w:val="20"/>
          <w:szCs w:val="20"/>
          <w:color w:val="auto"/>
        </w:rPr>
      </w:pPr>
      <w:r>
        <w:rPr>
          <w:rFonts w:ascii="Arial" w:cs="Arial" w:eastAsia="Arial" w:hAnsi="Arial"/>
          <w:sz w:val="14"/>
          <w:szCs w:val="14"/>
          <w:color w:val="auto"/>
        </w:rPr>
        <w:t>With respect to equity-based compensation, we estimate the fair value of SARs using the Black-Scholes option-pricing model. Like all option-pricing models, the Black-Scholes option-pricing model requires the use of subjective assumptions, including (i) the expected volatility of the market price of the underlying stock, and (ii) the expected term of the award, among others. Accordingly, changes in assumptions and any subsequent adjustments to those assumptions can cause different fair values to be assigned to SARs. Fair value for cash settled awards (excluding SARs prior to vesting) is determined based on the 60-trading day weighted average closing price of the Company’s common stock on the NYSE at the end of each reporting period and on the vesting date. For restricted stock units containing service conditions or service and performance conditions, fair value is based on the closing stock price of a share of the Company’s common stock on the NYSE on the grant date.</w:t>
      </w:r>
    </w:p>
    <w:p>
      <w:pPr>
        <w:spacing w:after="0" w:line="65" w:lineRule="exact"/>
        <w:rPr>
          <w:sz w:val="20"/>
          <w:szCs w:val="20"/>
          <w:color w:val="auto"/>
        </w:rPr>
      </w:pPr>
    </w:p>
    <w:p>
      <w:pPr>
        <w:ind w:left="600" w:hanging="591"/>
        <w:spacing w:after="0"/>
        <w:tabs>
          <w:tab w:leader="none" w:pos="60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w:t>
      </w:r>
    </w:p>
    <w:p>
      <w:pPr>
        <w:spacing w:after="0" w:line="100" w:lineRule="exact"/>
        <w:rPr>
          <w:sz w:val="20"/>
          <w:szCs w:val="20"/>
          <w:color w:val="auto"/>
        </w:rPr>
      </w:pPr>
    </w:p>
    <w:p>
      <w:pPr>
        <w:ind w:right="20" w:firstLine="835"/>
        <w:spacing w:after="0" w:line="234" w:lineRule="auto"/>
        <w:rPr>
          <w:sz w:val="20"/>
          <w:szCs w:val="20"/>
          <w:color w:val="auto"/>
        </w:rPr>
      </w:pPr>
      <w:r>
        <w:rPr>
          <w:rFonts w:ascii="Arial" w:cs="Arial" w:eastAsia="Arial" w:hAnsi="Arial"/>
          <w:sz w:val="15"/>
          <w:szCs w:val="15"/>
          <w:color w:val="auto"/>
        </w:rPr>
        <w:t>The tables below reconcile the denominator and numerator used to compute basic earnings per share (“EPS”) to the denominator and numerator used to compute diluted EPS for the years ended December 31, 2020, December 31, 2019 and December 31, 2018. Basic EPS is computed using the weighted average number of shares outstanding during the period and income available to shareholders. Diluted EPS is computed similar to basic EPS, except the income available to shareholders is adjusted to add back interest expense, after tax related to the Convertible Senior Note, and the weighted average number of shares outstanding is adjusted to reflect the dilutive effects of equity-based awards and shares underlying the Convertible Senior Note.</w:t>
      </w:r>
    </w:p>
    <w:p>
      <w:pPr>
        <w:spacing w:after="0" w:line="157" w:lineRule="exact"/>
        <w:rPr>
          <w:sz w:val="20"/>
          <w:szCs w:val="20"/>
          <w:color w:val="auto"/>
        </w:rPr>
      </w:pPr>
    </w:p>
    <w:p>
      <w:pPr>
        <w:ind w:right="20" w:firstLine="451"/>
        <w:spacing w:after="0" w:line="234" w:lineRule="auto"/>
        <w:rPr>
          <w:sz w:val="20"/>
          <w:szCs w:val="20"/>
          <w:color w:val="auto"/>
        </w:rPr>
      </w:pPr>
      <w:r>
        <w:rPr>
          <w:rFonts w:ascii="Arial" w:cs="Arial" w:eastAsia="Arial" w:hAnsi="Arial"/>
          <w:sz w:val="15"/>
          <w:szCs w:val="15"/>
          <w:color w:val="auto"/>
        </w:rPr>
        <w:t>Convertible Senior Note dilution impact is calculated using the if-converted method which will be required upon adoption of ASU 2020-06. As a result, the Company elected to adopt the if-converted method under the present accounting. In connection with the offerings of our note, the Company entered into a convertible note hedge and warrants (see Note 12 Debt and Credit Facilities); however, the convertible note hedge is not considered when calculating dilutive shares given its impact is anti-dilutive. The impact of the bond hedge would offset the dilutive impact of the shares underlying the Convertible Senior Note. The warrants have a strike price above our average share price during the period and are out of the money and not included in the tables below.</w:t>
      </w:r>
    </w:p>
    <w:p>
      <w:pPr>
        <w:spacing w:after="0" w:line="79" w:lineRule="exact"/>
        <w:rPr>
          <w:sz w:val="20"/>
          <w:szCs w:val="20"/>
          <w:color w:val="auto"/>
        </w:rPr>
      </w:pPr>
    </w:p>
    <w:p>
      <w:pPr>
        <w:ind w:right="100" w:firstLine="835"/>
        <w:spacing w:after="0" w:line="258" w:lineRule="auto"/>
        <w:rPr>
          <w:sz w:val="20"/>
          <w:szCs w:val="20"/>
          <w:color w:val="auto"/>
        </w:rPr>
      </w:pPr>
      <w:r>
        <w:rPr>
          <w:rFonts w:ascii="Arial" w:cs="Arial" w:eastAsia="Arial" w:hAnsi="Arial"/>
          <w:sz w:val="14"/>
          <w:szCs w:val="14"/>
          <w:color w:val="auto"/>
        </w:rPr>
        <w:t>Dilutive potential common shares include, when circumstances require, shares the Company could be obligated to issue from its Convertible Senior Notes and warrants (see Note 12 for further discussion) and equity-based awards. Shares to be provided to the Company from its bond hedge purchased concurrently with the issuance of Convertible Senior Notes are anti-dilutive and are not included in its diluted shares. Anti-dilutive equity-based awards excluded from the calculation of earnings</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per share for the years ended December 31, 2020 and December 31, 2019 were 5,327 and 0,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weighted average number of shares used to compute basic and diluted EPS were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6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79"/>
        </w:trPr>
        <w:tc>
          <w:tcPr>
            <w:tcW w:w="706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Basic weighted average number of shares outstanding</w:t>
            </w:r>
          </w:p>
        </w:tc>
        <w:tc>
          <w:tcPr>
            <w:tcW w:w="9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100,848</w:t>
            </w:r>
          </w:p>
        </w:tc>
        <w:tc>
          <w:tcPr>
            <w:tcW w:w="2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92,419</w:t>
            </w: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80,014</w:t>
            </w:r>
          </w:p>
        </w:tc>
        <w:tc>
          <w:tcPr>
            <w:tcW w:w="120" w:type="dxa"/>
            <w:vAlign w:val="bottom"/>
            <w:shd w:val="clear" w:color="auto" w:fill="CFF0FC"/>
          </w:tcPr>
          <w:p>
            <w:pPr>
              <w:spacing w:after="0"/>
              <w:rPr>
                <w:sz w:val="15"/>
                <w:szCs w:val="15"/>
                <w:color w:val="auto"/>
              </w:rPr>
            </w:pPr>
          </w:p>
        </w:tc>
      </w:tr>
      <w:tr>
        <w:trPr>
          <w:trHeight w:val="188"/>
        </w:trPr>
        <w:tc>
          <w:tcPr>
            <w:tcW w:w="7060" w:type="dxa"/>
            <w:vAlign w:val="bottom"/>
            <w:gridSpan w:val="2"/>
          </w:tcPr>
          <w:p>
            <w:pPr>
              <w:spacing w:after="0"/>
              <w:rPr>
                <w:sz w:val="20"/>
                <w:szCs w:val="20"/>
                <w:color w:val="auto"/>
              </w:rPr>
            </w:pPr>
            <w:r>
              <w:rPr>
                <w:rFonts w:ascii="Arial" w:cs="Arial" w:eastAsia="Arial" w:hAnsi="Arial"/>
                <w:sz w:val="15"/>
                <w:szCs w:val="15"/>
                <w:color w:val="auto"/>
              </w:rPr>
              <w:t>Equity-based awards</w:t>
            </w:r>
          </w:p>
        </w:tc>
        <w:tc>
          <w:tcPr>
            <w:tcW w:w="920" w:type="dxa"/>
            <w:vAlign w:val="bottom"/>
          </w:tcPr>
          <w:p>
            <w:pPr>
              <w:jc w:val="right"/>
              <w:spacing w:after="0"/>
              <w:rPr>
                <w:sz w:val="20"/>
                <w:szCs w:val="20"/>
                <w:color w:val="auto"/>
              </w:rPr>
            </w:pPr>
            <w:r>
              <w:rPr>
                <w:rFonts w:ascii="Arial" w:cs="Arial" w:eastAsia="Arial" w:hAnsi="Arial"/>
                <w:sz w:val="15"/>
                <w:szCs w:val="15"/>
                <w:color w:val="auto"/>
              </w:rPr>
              <w:t>357</w:t>
            </w: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334</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r>
      <w:tr>
        <w:trPr>
          <w:trHeight w:val="188"/>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Convertible senior notes</w:t>
            </w:r>
          </w:p>
        </w:tc>
        <w:tc>
          <w:tcPr>
            <w:tcW w:w="40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r>
      <w:tr>
        <w:trPr>
          <w:trHeight w:val="179"/>
        </w:trPr>
        <w:tc>
          <w:tcPr>
            <w:tcW w:w="7060" w:type="dxa"/>
            <w:vAlign w:val="bottom"/>
            <w:gridSpan w:val="2"/>
          </w:tcPr>
          <w:p>
            <w:pPr>
              <w:spacing w:after="0"/>
              <w:rPr>
                <w:sz w:val="20"/>
                <w:szCs w:val="20"/>
                <w:color w:val="auto"/>
              </w:rPr>
            </w:pPr>
            <w:r>
              <w:rPr>
                <w:rFonts w:ascii="Arial" w:cs="Arial" w:eastAsia="Arial" w:hAnsi="Arial"/>
                <w:sz w:val="15"/>
                <w:szCs w:val="15"/>
                <w:color w:val="auto"/>
              </w:rPr>
              <w:t>Diluted weighted average number of shares outstanding</w:t>
            </w:r>
          </w:p>
        </w:tc>
        <w:tc>
          <w:tcPr>
            <w:tcW w:w="920" w:type="dxa"/>
            <w:vAlign w:val="bottom"/>
          </w:tcPr>
          <w:p>
            <w:pPr>
              <w:jc w:val="right"/>
              <w:spacing w:after="0"/>
              <w:rPr>
                <w:sz w:val="20"/>
                <w:szCs w:val="20"/>
                <w:color w:val="auto"/>
              </w:rPr>
            </w:pPr>
            <w:r>
              <w:rPr>
                <w:rFonts w:ascii="Arial" w:cs="Arial" w:eastAsia="Arial" w:hAnsi="Arial"/>
                <w:sz w:val="15"/>
                <w:szCs w:val="15"/>
                <w:color w:val="auto"/>
              </w:rPr>
              <w:t>101,205</w:t>
            </w:r>
          </w:p>
        </w:tc>
        <w:tc>
          <w:tcPr>
            <w:tcW w:w="2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92,753</w:t>
            </w:r>
          </w:p>
        </w:tc>
        <w:tc>
          <w:tcPr>
            <w:tcW w:w="2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80,014</w:t>
            </w:r>
          </w:p>
        </w:tc>
        <w:tc>
          <w:tcPr>
            <w:tcW w:w="12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4"/>
        </w:trPr>
        <w:tc>
          <w:tcPr>
            <w:tcW w:w="7060" w:type="dxa"/>
            <w:vAlign w:val="bottom"/>
            <w:gridSpan w:val="2"/>
          </w:tcPr>
          <w:p>
            <w:pPr>
              <w:ind w:left="600"/>
              <w:spacing w:after="0"/>
              <w:rPr>
                <w:sz w:val="20"/>
                <w:szCs w:val="20"/>
                <w:color w:val="auto"/>
              </w:rPr>
            </w:pPr>
            <w:r>
              <w:rPr>
                <w:rFonts w:ascii="Arial" w:cs="Arial" w:eastAsia="Arial" w:hAnsi="Arial"/>
                <w:sz w:val="15"/>
                <w:szCs w:val="15"/>
                <w:color w:val="auto"/>
              </w:rPr>
              <w:t>The net income available to shareholders to compute basic and diluted EPS were (in thousands):</w:t>
            </w: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54"/>
        </w:trPr>
        <w:tc>
          <w:tcPr>
            <w:tcW w:w="6660" w:type="dxa"/>
            <w:vAlign w:val="bottom"/>
            <w:tcBorders>
              <w:bottom w:val="single" w:sz="8" w:color="CFF0FC"/>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24"/>
                <w:szCs w:val="24"/>
                <w:color w:val="auto"/>
              </w:rPr>
            </w:pPr>
          </w:p>
        </w:tc>
        <w:tc>
          <w:tcPr>
            <w:tcW w:w="132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24"/>
                <w:szCs w:val="24"/>
                <w:color w:val="auto"/>
              </w:rPr>
            </w:pPr>
          </w:p>
        </w:tc>
        <w:tc>
          <w:tcPr>
            <w:tcW w:w="1320" w:type="dxa"/>
            <w:vAlign w:val="bottom"/>
            <w:tcBorders>
              <w:bottom w:val="single" w:sz="8" w:color="auto"/>
            </w:tcBorders>
          </w:tcPr>
          <w:p>
            <w:pPr>
              <w:jc w:val="right"/>
              <w:ind w:right="469"/>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24"/>
                <w:szCs w:val="24"/>
                <w:color w:val="auto"/>
              </w:rPr>
            </w:pPr>
          </w:p>
        </w:tc>
      </w:tr>
      <w:tr>
        <w:trPr>
          <w:trHeight w:val="168"/>
        </w:trPr>
        <w:tc>
          <w:tcPr>
            <w:tcW w:w="70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Net income attributable to Parsons Corporation</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98,541</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120,534</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222,337</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Convertible senior notes if-converted method interest adjustment</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FF0FC"/>
            </w:tcBorders>
          </w:tcPr>
          <w:p>
            <w:pPr>
              <w:spacing w:after="0"/>
              <w:rPr>
                <w:sz w:val="15"/>
                <w:szCs w:val="15"/>
                <w:color w:val="auto"/>
              </w:rPr>
            </w:pPr>
          </w:p>
        </w:tc>
      </w:tr>
      <w:tr>
        <w:trPr>
          <w:trHeight w:val="168"/>
        </w:trPr>
        <w:tc>
          <w:tcPr>
            <w:tcW w:w="7060" w:type="dxa"/>
            <w:vAlign w:val="bottom"/>
            <w:gridSpan w:val="2"/>
            <w:shd w:val="clear" w:color="auto" w:fill="CFF0FC"/>
          </w:tcPr>
          <w:p>
            <w:pPr>
              <w:spacing w:after="0" w:line="169" w:lineRule="exact"/>
              <w:rPr>
                <w:sz w:val="20"/>
                <w:szCs w:val="20"/>
                <w:color w:val="auto"/>
              </w:rPr>
            </w:pPr>
            <w:r>
              <w:rPr>
                <w:rFonts w:ascii="Arial" w:cs="Arial" w:eastAsia="Arial" w:hAnsi="Arial"/>
                <w:sz w:val="15"/>
                <w:szCs w:val="15"/>
                <w:color w:val="auto"/>
              </w:rPr>
              <w:t>Diluted net income attributable to Parsons Corporation</w:t>
            </w:r>
          </w:p>
        </w:tc>
        <w:tc>
          <w:tcPr>
            <w:tcW w:w="9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98,541</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120,534</w:t>
            </w:r>
          </w:p>
        </w:tc>
        <w:tc>
          <w:tcPr>
            <w:tcW w:w="26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222,337</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80" w:lineRule="exact"/>
        <w:rPr>
          <w:sz w:val="20"/>
          <w:szCs w:val="20"/>
          <w:color w:val="auto"/>
        </w:rPr>
      </w:pPr>
    </w:p>
    <w:p>
      <w:pPr>
        <w:ind w:left="600" w:hanging="591"/>
        <w:spacing w:after="0"/>
        <w:tabs>
          <w:tab w:leader="none" w:pos="600"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Segments Information</w:t>
      </w:r>
    </w:p>
    <w:p>
      <w:pPr>
        <w:spacing w:after="0" w:line="100" w:lineRule="exact"/>
        <w:rPr>
          <w:rFonts w:ascii="Arial" w:cs="Arial" w:eastAsia="Arial" w:hAnsi="Arial"/>
          <w:sz w:val="15"/>
          <w:szCs w:val="15"/>
          <w:b w:val="1"/>
          <w:bCs w:val="1"/>
          <w:color w:val="auto"/>
        </w:rPr>
      </w:pPr>
    </w:p>
    <w:p>
      <w:pPr>
        <w:ind w:left="600"/>
        <w:spacing w:after="0"/>
        <w:rPr>
          <w:rFonts w:ascii="Arial" w:cs="Arial" w:eastAsia="Arial" w:hAnsi="Arial"/>
          <w:sz w:val="15"/>
          <w:szCs w:val="15"/>
          <w:b w:val="1"/>
          <w:bCs w:val="1"/>
          <w:color w:val="auto"/>
        </w:rPr>
      </w:pPr>
      <w:r>
        <w:rPr>
          <w:rFonts w:ascii="Arial" w:cs="Arial" w:eastAsia="Arial" w:hAnsi="Arial"/>
          <w:sz w:val="15"/>
          <w:szCs w:val="15"/>
          <w:color w:val="auto"/>
        </w:rPr>
        <w:t>The Company operates in two reportable segments: Federal Solutions and Critical Infrastructure.</w:t>
      </w:r>
    </w:p>
    <w:p>
      <w:pPr>
        <w:spacing w:after="0" w:line="171" w:lineRule="exact"/>
        <w:rPr>
          <w:sz w:val="20"/>
          <w:szCs w:val="20"/>
          <w:color w:val="auto"/>
        </w:rPr>
      </w:pPr>
    </w:p>
    <w:p>
      <w:pPr>
        <w:ind w:right="80" w:firstLine="591"/>
        <w:spacing w:after="0" w:line="236" w:lineRule="auto"/>
        <w:rPr>
          <w:sz w:val="20"/>
          <w:szCs w:val="20"/>
          <w:color w:val="auto"/>
        </w:rPr>
      </w:pPr>
      <w:r>
        <w:rPr>
          <w:rFonts w:ascii="Arial" w:cs="Arial" w:eastAsia="Arial" w:hAnsi="Arial"/>
          <w:sz w:val="15"/>
          <w:szCs w:val="15"/>
          <w:color w:val="auto"/>
        </w:rPr>
        <w:t>The Federal Solutions segment provides advanced technical solutions to the U.S. government, delivering timely, cost-effective hardware, software and services for mission-critical projects. The segment provides advanced technologies, supporting national security missions in cybersecurity, missile defense, and military facility modernization, logistics support, hazardous material remediation and engineering services.</w:t>
      </w:r>
    </w:p>
    <w:p>
      <w:pPr>
        <w:spacing w:after="0" w:line="167" w:lineRule="exact"/>
        <w:rPr>
          <w:sz w:val="20"/>
          <w:szCs w:val="20"/>
          <w:color w:val="auto"/>
        </w:rPr>
      </w:pPr>
    </w:p>
    <w:p>
      <w:pPr>
        <w:jc w:val="both"/>
        <w:ind w:right="40" w:firstLine="591"/>
        <w:spacing w:after="0" w:line="260" w:lineRule="auto"/>
        <w:rPr>
          <w:sz w:val="20"/>
          <w:szCs w:val="20"/>
          <w:color w:val="auto"/>
        </w:rPr>
      </w:pPr>
      <w:r>
        <w:rPr>
          <w:rFonts w:ascii="Arial" w:cs="Arial" w:eastAsia="Arial" w:hAnsi="Arial"/>
          <w:sz w:val="14"/>
          <w:szCs w:val="14"/>
          <w:color w:val="auto"/>
        </w:rPr>
        <w:t>The Critical Infrastructure segment provides integrated engineering and management services for complex physical and digital infrastructure around the globe. The Critical Infrastructure segment is a technology innovator focused on next generation digital systems and complex structures. Industry leading capabilities in engineering and project management allow the Company to deliver significant value to customers by employing cutting-edge technologies, improving timelines and reducing costs.</w:t>
      </w:r>
    </w:p>
    <w:p>
      <w:pPr>
        <w:spacing w:after="0" w:line="153" w:lineRule="exact"/>
        <w:rPr>
          <w:sz w:val="20"/>
          <w:szCs w:val="20"/>
          <w:color w:val="auto"/>
        </w:rPr>
      </w:pPr>
    </w:p>
    <w:p>
      <w:pPr>
        <w:jc w:val="both"/>
        <w:ind w:right="80" w:firstLine="591"/>
        <w:spacing w:after="0" w:line="236" w:lineRule="auto"/>
        <w:rPr>
          <w:sz w:val="20"/>
          <w:szCs w:val="20"/>
          <w:color w:val="auto"/>
        </w:rPr>
      </w:pPr>
      <w:r>
        <w:rPr>
          <w:rFonts w:ascii="Arial" w:cs="Arial" w:eastAsia="Arial" w:hAnsi="Arial"/>
          <w:sz w:val="15"/>
          <w:szCs w:val="15"/>
          <w:color w:val="auto"/>
        </w:rPr>
        <w:t>The Company defines its reportable segments based on the way the chief operating decision maker (“CODM”), currently its Chairman and Chief Executive Officer, evaluates the performance of each segment and manages the operations of the Company for purposes of allocating resources among the segments. The CODM evaluates segment operating performance using segment Revenue and segment Adjusted EBITDA attributable to Parsons Corporation.</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summarizes business segment information for the periods presented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540" w:type="dxa"/>
            <w:vAlign w:val="bottom"/>
            <w:tcBorders>
              <w:bottom w:val="single" w:sz="8" w:color="CFF0FC"/>
            </w:tcBorders>
          </w:tcPr>
          <w:p>
            <w:pPr>
              <w:spacing w:after="0"/>
              <w:rPr>
                <w:sz w:val="12"/>
                <w:szCs w:val="12"/>
                <w:color w:val="auto"/>
              </w:rPr>
            </w:pPr>
          </w:p>
        </w:tc>
        <w:tc>
          <w:tcPr>
            <w:tcW w:w="3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2"/>
                <w:szCs w:val="12"/>
                <w:b w:val="1"/>
                <w:bCs w:val="1"/>
                <w:color w:val="auto"/>
              </w:rPr>
              <w:t>2020</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2019</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68"/>
        </w:trPr>
        <w:tc>
          <w:tcPr>
            <w:tcW w:w="354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Revenues:</w:t>
            </w:r>
          </w:p>
        </w:tc>
        <w:tc>
          <w:tcPr>
            <w:tcW w:w="3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77"/>
        </w:trPr>
        <w:tc>
          <w:tcPr>
            <w:tcW w:w="3540" w:type="dxa"/>
            <w:vAlign w:val="bottom"/>
          </w:tcPr>
          <w:p>
            <w:pPr>
              <w:ind w:left="220"/>
              <w:spacing w:after="0"/>
              <w:rPr>
                <w:sz w:val="20"/>
                <w:szCs w:val="20"/>
                <w:color w:val="auto"/>
              </w:rPr>
            </w:pPr>
            <w:r>
              <w:rPr>
                <w:rFonts w:ascii="Arial" w:cs="Arial" w:eastAsia="Arial" w:hAnsi="Arial"/>
                <w:sz w:val="15"/>
                <w:szCs w:val="15"/>
                <w:color w:val="auto"/>
              </w:rPr>
              <w:t>Federal Solutions</w:t>
            </w:r>
          </w:p>
        </w:tc>
        <w:tc>
          <w:tcPr>
            <w:tcW w:w="34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1,911,910</w:t>
            </w: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1,887,907</w:t>
            </w:r>
          </w:p>
        </w:tc>
        <w:tc>
          <w:tcPr>
            <w:tcW w:w="5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1,479,007</w:t>
            </w:r>
          </w:p>
        </w:tc>
        <w:tc>
          <w:tcPr>
            <w:tcW w:w="120" w:type="dxa"/>
            <w:vAlign w:val="bottom"/>
          </w:tcPr>
          <w:p>
            <w:pPr>
              <w:spacing w:after="0"/>
              <w:rPr>
                <w:sz w:val="15"/>
                <w:szCs w:val="15"/>
                <w:color w:val="auto"/>
              </w:rPr>
            </w:pPr>
          </w:p>
        </w:tc>
      </w:tr>
      <w:tr>
        <w:trPr>
          <w:trHeight w:val="177"/>
        </w:trPr>
        <w:tc>
          <w:tcPr>
            <w:tcW w:w="35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Critical Infrastructure</w:t>
            </w:r>
          </w:p>
        </w:tc>
        <w:tc>
          <w:tcPr>
            <w:tcW w:w="312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2,007,036</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2,066,905</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2,081,501</w:t>
            </w:r>
          </w:p>
        </w:tc>
        <w:tc>
          <w:tcPr>
            <w:tcW w:w="120" w:type="dxa"/>
            <w:vAlign w:val="bottom"/>
            <w:shd w:val="clear" w:color="auto" w:fill="CFF0FC"/>
          </w:tcPr>
          <w:p>
            <w:pPr>
              <w:spacing w:after="0"/>
              <w:rPr>
                <w:sz w:val="15"/>
                <w:szCs w:val="15"/>
                <w:color w:val="auto"/>
              </w:rPr>
            </w:pPr>
          </w:p>
        </w:tc>
      </w:tr>
      <w:tr>
        <w:trPr>
          <w:trHeight w:val="168"/>
        </w:trPr>
        <w:tc>
          <w:tcPr>
            <w:tcW w:w="3540" w:type="dxa"/>
            <w:vAlign w:val="bottom"/>
          </w:tcPr>
          <w:p>
            <w:pPr>
              <w:spacing w:after="0" w:line="169" w:lineRule="exact"/>
              <w:rPr>
                <w:sz w:val="20"/>
                <w:szCs w:val="20"/>
                <w:color w:val="auto"/>
              </w:rPr>
            </w:pPr>
            <w:r>
              <w:rPr>
                <w:rFonts w:ascii="Arial" w:cs="Arial" w:eastAsia="Arial" w:hAnsi="Arial"/>
                <w:sz w:val="15"/>
                <w:szCs w:val="15"/>
                <w:color w:val="auto"/>
              </w:rPr>
              <w:t>Total revenues</w:t>
            </w:r>
          </w:p>
        </w:tc>
        <w:tc>
          <w:tcPr>
            <w:tcW w:w="344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3,918,946</w:t>
            </w: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3,954,812</w:t>
            </w:r>
          </w:p>
        </w:tc>
        <w:tc>
          <w:tcPr>
            <w:tcW w:w="56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3,560,508</w:t>
            </w:r>
          </w:p>
        </w:tc>
        <w:tc>
          <w:tcPr>
            <w:tcW w:w="120" w:type="dxa"/>
            <w:vAlign w:val="bottom"/>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8"/>
        </w:trPr>
        <w:tc>
          <w:tcPr>
            <w:tcW w:w="3540" w:type="dxa"/>
            <w:vAlign w:val="bottom"/>
          </w:tcPr>
          <w:p>
            <w:pPr>
              <w:spacing w:after="0"/>
              <w:rPr>
                <w:sz w:val="24"/>
                <w:szCs w:val="24"/>
                <w:color w:val="auto"/>
              </w:rPr>
            </w:pPr>
          </w:p>
        </w:tc>
        <w:tc>
          <w:tcPr>
            <w:tcW w:w="3440" w:type="dxa"/>
            <w:vAlign w:val="bottom"/>
            <w:gridSpan w:val="2"/>
          </w:tcPr>
          <w:p>
            <w:pPr>
              <w:jc w:val="right"/>
              <w:ind w:right="1180"/>
              <w:spacing w:after="0"/>
              <w:rPr>
                <w:sz w:val="20"/>
                <w:szCs w:val="20"/>
                <w:color w:val="auto"/>
              </w:rPr>
            </w:pPr>
            <w:r>
              <w:rPr>
                <w:rFonts w:ascii="Arial" w:cs="Arial" w:eastAsia="Arial" w:hAnsi="Arial"/>
                <w:sz w:val="15"/>
                <w:szCs w:val="15"/>
                <w:color w:val="auto"/>
              </w:rPr>
              <w:t>F-54</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3540" w:type="dxa"/>
            <w:vAlign w:val="bottom"/>
            <w:tcBorders>
              <w:bottom w:val="single" w:sz="8" w:color="9A9A9A"/>
            </w:tcBorders>
          </w:tcPr>
          <w:p>
            <w:pPr>
              <w:spacing w:after="0"/>
              <w:rPr>
                <w:sz w:val="6"/>
                <w:szCs w:val="6"/>
                <w:color w:val="auto"/>
              </w:rPr>
            </w:pPr>
          </w:p>
        </w:tc>
        <w:tc>
          <w:tcPr>
            <w:tcW w:w="312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84" w:lineRule="exact"/>
        <w:rPr>
          <w:sz w:val="20"/>
          <w:szCs w:val="20"/>
          <w:color w:val="auto"/>
        </w:rPr>
      </w:pPr>
    </w:p>
    <w:p>
      <w:pPr>
        <w:ind w:right="60" w:firstLine="591"/>
        <w:spacing w:after="0" w:line="233" w:lineRule="auto"/>
        <w:rPr>
          <w:sz w:val="20"/>
          <w:szCs w:val="20"/>
          <w:color w:val="auto"/>
        </w:rPr>
      </w:pPr>
      <w:r>
        <w:rPr>
          <w:rFonts w:ascii="Arial" w:cs="Arial" w:eastAsia="Arial" w:hAnsi="Arial"/>
          <w:sz w:val="15"/>
          <w:szCs w:val="15"/>
          <w:color w:val="auto"/>
        </w:rPr>
        <w:t>The Company defines Adjusted EBITDA attributable to Parsons Corporation as Adjusted EBITDA excluding Adjusted EBITDA attributable to noncontrolling interests. The Company defines Adjusted EBITDA as net income (loss) attributable to Parsons Corporation, adjusted to include net income (loss) attributable to noncontrolling interests and to exclude interest expense (net of interest income), provision for income taxes, depreciation and amortization and certain other items that are not considered in the evaluation of ongoing operating performance. These other items include net income (loss) attributable to noncontrolling interests, asset impairment charges, income and expense recognized on litigation matters, expenses incurred in connection with acquisitions and other non-recurring transaction costs and expenses related to our prior restructuring. The following table summarizes business segment Adjusted EBITDA and a reconciliation to net income attributable to Parsons Corporation for the periods presented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b w:val="1"/>
                <w:bCs w:val="1"/>
                <w:color w:val="auto"/>
              </w:rPr>
              <w:t>2020</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179"/>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Parsons Corporation</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Federal Solutions</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167,340</w:t>
            </w:r>
          </w:p>
        </w:tc>
        <w:tc>
          <w:tcPr>
            <w:tcW w:w="160" w:type="dxa"/>
            <w:vAlign w:val="bottom"/>
          </w:tcPr>
          <w:p>
            <w:pPr>
              <w:spacing w:after="0"/>
              <w:rPr>
                <w:sz w:val="15"/>
                <w:szCs w:val="15"/>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169,100</w:t>
            </w:r>
          </w:p>
        </w:tc>
        <w:tc>
          <w:tcPr>
            <w:tcW w:w="16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121,986</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Critical Infrastructure</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154,528</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138,851</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106,851</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spacing w:after="0" w:line="168" w:lineRule="exact"/>
              <w:rPr>
                <w:sz w:val="20"/>
                <w:szCs w:val="20"/>
                <w:color w:val="auto"/>
              </w:rPr>
            </w:pPr>
            <w:r>
              <w:rPr>
                <w:rFonts w:ascii="Arial" w:cs="Arial" w:eastAsia="Arial" w:hAnsi="Arial"/>
                <w:sz w:val="15"/>
                <w:szCs w:val="15"/>
                <w:color w:val="auto"/>
              </w:rPr>
              <w:t>Adjusted EBITDA attributable to Parsons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6660" w:type="dxa"/>
            <w:vAlign w:val="bottom"/>
          </w:tcPr>
          <w:p>
            <w:pPr>
              <w:ind w:left="140"/>
              <w:spacing w:after="0" w:line="167" w:lineRule="exact"/>
              <w:rPr>
                <w:sz w:val="20"/>
                <w:szCs w:val="20"/>
                <w:color w:val="auto"/>
              </w:rPr>
            </w:pPr>
            <w:r>
              <w:rPr>
                <w:rFonts w:ascii="Arial" w:cs="Arial" w:eastAsia="Arial" w:hAnsi="Arial"/>
                <w:sz w:val="15"/>
                <w:szCs w:val="15"/>
                <w:color w:val="auto"/>
              </w:rPr>
              <w:t>Corporation</w:t>
            </w:r>
          </w:p>
        </w:tc>
        <w:tc>
          <w:tcPr>
            <w:tcW w:w="320" w:type="dxa"/>
            <w:vAlign w:val="bottom"/>
          </w:tcPr>
          <w:p>
            <w:pPr>
              <w:spacing w:after="0"/>
              <w:rPr>
                <w:sz w:val="14"/>
                <w:szCs w:val="14"/>
                <w:color w:val="auto"/>
              </w:rPr>
            </w:pPr>
          </w:p>
        </w:tc>
        <w:tc>
          <w:tcPr>
            <w:tcW w:w="1000" w:type="dxa"/>
            <w:vAlign w:val="bottom"/>
          </w:tcPr>
          <w:p>
            <w:pPr>
              <w:jc w:val="right"/>
              <w:spacing w:after="0" w:line="167" w:lineRule="exact"/>
              <w:rPr>
                <w:sz w:val="20"/>
                <w:szCs w:val="20"/>
                <w:color w:val="auto"/>
              </w:rPr>
            </w:pPr>
            <w:r>
              <w:rPr>
                <w:rFonts w:ascii="Arial" w:cs="Arial" w:eastAsia="Arial" w:hAnsi="Arial"/>
                <w:sz w:val="15"/>
                <w:szCs w:val="15"/>
                <w:color w:val="auto"/>
              </w:rPr>
              <w:t>321,868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5"/>
                <w:szCs w:val="15"/>
                <w:color w:val="auto"/>
              </w:rPr>
              <w:t>307,951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5"/>
                <w:szCs w:val="15"/>
                <w:color w:val="auto"/>
              </w:rPr>
              <w:t>228,837</w:t>
            </w: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Adjusted EBITDA attributable to noncontrolling</w:t>
            </w: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interests</w:t>
            </w:r>
          </w:p>
        </w:tc>
        <w:tc>
          <w:tcPr>
            <w:tcW w:w="3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20,753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17,096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17,407</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Depreciation and amortization</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(127,980)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(125,700)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(69,869)</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Interest expense, net</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(20,169)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(22,429)</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(18,132)</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Income tax (expense) benefit</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(42,492)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69,886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(20,367)</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Litigation-related expenses (a)</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129,674</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Amortization of deferred gain resulting from sale-leaseback transactions (b)</w:t>
            </w:r>
          </w:p>
        </w:tc>
        <w:tc>
          <w:tcPr>
            <w:tcW w:w="3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7,253</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Equity-based compensation (c)</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(9,785)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(65,744)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(16,487)</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Transaction-related costs (d)</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(19,922)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(34,353)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(12,942)</w:t>
            </w:r>
          </w:p>
        </w:tc>
      </w:tr>
      <w:tr>
        <w:trPr>
          <w:trHeight w:val="177"/>
        </w:trPr>
        <w:tc>
          <w:tcPr>
            <w:tcW w:w="6660" w:type="dxa"/>
            <w:vAlign w:val="bottom"/>
            <w:shd w:val="clear" w:color="auto" w:fill="CFF0FC"/>
          </w:tcPr>
          <w:p>
            <w:pPr>
              <w:spacing w:after="0"/>
              <w:rPr>
                <w:sz w:val="20"/>
                <w:szCs w:val="20"/>
                <w:color w:val="auto"/>
              </w:rPr>
            </w:pPr>
            <w:r>
              <w:rPr>
                <w:rFonts w:ascii="Arial" w:cs="Arial" w:eastAsia="Arial" w:hAnsi="Arial"/>
                <w:sz w:val="15"/>
                <w:szCs w:val="15"/>
                <w:color w:val="auto"/>
              </w:rPr>
              <w:t>Restructuring (e)</w:t>
            </w:r>
          </w:p>
        </w:tc>
        <w:tc>
          <w:tcPr>
            <w:tcW w:w="3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5"/>
                <w:szCs w:val="15"/>
                <w:color w:val="auto"/>
              </w:rPr>
              <w:t>(2,193)</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(3,424)</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Other (f)</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(1,159)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(6,155)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(5,938)</w:t>
            </w:r>
          </w:p>
        </w:tc>
      </w:tr>
      <w:tr>
        <w:trPr>
          <w:trHeight w:val="168"/>
        </w:trPr>
        <w:tc>
          <w:tcPr>
            <w:tcW w:w="6660" w:type="dxa"/>
            <w:vAlign w:val="bottom"/>
            <w:tcBorders>
              <w:top w:val="single" w:sz="8" w:color="CFF0FC"/>
            </w:tcBorders>
            <w:shd w:val="clear" w:color="auto" w:fill="CFF0FC"/>
          </w:tcPr>
          <w:p>
            <w:pPr>
              <w:spacing w:after="0" w:line="168" w:lineRule="exact"/>
              <w:rPr>
                <w:sz w:val="20"/>
                <w:szCs w:val="20"/>
                <w:color w:val="auto"/>
              </w:rPr>
            </w:pPr>
            <w:r>
              <w:rPr>
                <w:rFonts w:ascii="Arial" w:cs="Arial" w:eastAsia="Arial" w:hAnsi="Arial"/>
                <w:sz w:val="15"/>
                <w:szCs w:val="15"/>
                <w:color w:val="auto"/>
              </w:rPr>
              <w:t>Net income including noncontrolling</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interests</w:t>
            </w:r>
          </w:p>
        </w:tc>
        <w:tc>
          <w:tcPr>
            <w:tcW w:w="320" w:type="dxa"/>
            <w:vAlign w:val="bottom"/>
            <w:shd w:val="clear" w:color="auto" w:fill="CFF0FC"/>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118,921</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137,128</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239,436</w:t>
            </w:r>
          </w:p>
        </w:tc>
        <w:tc>
          <w:tcPr>
            <w:tcW w:w="120" w:type="dxa"/>
            <w:vAlign w:val="bottom"/>
            <w:shd w:val="clear" w:color="auto" w:fill="CFF0FC"/>
          </w:tcPr>
          <w:p>
            <w:pPr>
              <w:spacing w:after="0"/>
              <w:rPr>
                <w:sz w:val="14"/>
                <w:szCs w:val="14"/>
                <w:color w:val="auto"/>
              </w:rPr>
            </w:pPr>
          </w:p>
        </w:tc>
      </w:tr>
      <w:tr>
        <w:trPr>
          <w:trHeight w:val="177"/>
        </w:trPr>
        <w:tc>
          <w:tcPr>
            <w:tcW w:w="6660" w:type="dxa"/>
            <w:vAlign w:val="bottom"/>
          </w:tcPr>
          <w:p>
            <w:pPr>
              <w:spacing w:after="0"/>
              <w:rPr>
                <w:sz w:val="20"/>
                <w:szCs w:val="20"/>
                <w:color w:val="auto"/>
              </w:rPr>
            </w:pPr>
            <w:r>
              <w:rPr>
                <w:rFonts w:ascii="Arial" w:cs="Arial" w:eastAsia="Arial" w:hAnsi="Arial"/>
                <w:sz w:val="15"/>
                <w:szCs w:val="15"/>
                <w:color w:val="auto"/>
              </w:rPr>
              <w:t>Net income attributable to noncontrolling interests</w:t>
            </w:r>
          </w:p>
        </w:tc>
        <w:tc>
          <w:tcPr>
            <w:tcW w:w="32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(20,380)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(16,594)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5"/>
                <w:szCs w:val="15"/>
                <w:color w:val="auto"/>
              </w:rPr>
              <w:t>(17,099)</w:t>
            </w:r>
          </w:p>
        </w:tc>
      </w:tr>
      <w:tr>
        <w:trPr>
          <w:trHeight w:val="168"/>
        </w:trPr>
        <w:tc>
          <w:tcPr>
            <w:tcW w:w="6660" w:type="dxa"/>
            <w:vAlign w:val="bottom"/>
            <w:tcBorders>
              <w:top w:val="single" w:sz="8" w:color="CFF0FC"/>
            </w:tcBorders>
            <w:shd w:val="clear" w:color="auto" w:fill="CFF0FC"/>
          </w:tcPr>
          <w:p>
            <w:pPr>
              <w:spacing w:after="0" w:line="168" w:lineRule="exact"/>
              <w:rPr>
                <w:sz w:val="20"/>
                <w:szCs w:val="20"/>
                <w:color w:val="auto"/>
              </w:rPr>
            </w:pPr>
            <w:r>
              <w:rPr>
                <w:rFonts w:ascii="Arial" w:cs="Arial" w:eastAsia="Arial" w:hAnsi="Arial"/>
                <w:sz w:val="15"/>
                <w:szCs w:val="15"/>
                <w:color w:val="auto"/>
              </w:rPr>
              <w:t>Net income attributable to Parsons</w:t>
            </w:r>
          </w:p>
        </w:tc>
        <w:tc>
          <w:tcPr>
            <w:tcW w:w="3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67"/>
        </w:trPr>
        <w:tc>
          <w:tcPr>
            <w:tcW w:w="6660" w:type="dxa"/>
            <w:vAlign w:val="bottom"/>
            <w:shd w:val="clear" w:color="auto" w:fill="CFF0FC"/>
          </w:tcPr>
          <w:p>
            <w:pPr>
              <w:ind w:left="140"/>
              <w:spacing w:after="0" w:line="167" w:lineRule="exact"/>
              <w:rPr>
                <w:sz w:val="20"/>
                <w:szCs w:val="20"/>
                <w:color w:val="auto"/>
              </w:rPr>
            </w:pPr>
            <w:r>
              <w:rPr>
                <w:rFonts w:ascii="Arial" w:cs="Arial" w:eastAsia="Arial" w:hAnsi="Arial"/>
                <w:sz w:val="15"/>
                <w:szCs w:val="15"/>
                <w:color w:val="auto"/>
              </w:rPr>
              <w:t>Corporation</w:t>
            </w:r>
          </w:p>
        </w:tc>
        <w:tc>
          <w:tcPr>
            <w:tcW w:w="320" w:type="dxa"/>
            <w:vAlign w:val="bottom"/>
            <w:shd w:val="clear" w:color="auto" w:fill="CFF0FC"/>
          </w:tcPr>
          <w:p>
            <w:pPr>
              <w:jc w:val="right"/>
              <w:ind w:right="146"/>
              <w:spacing w:after="0" w:line="167" w:lineRule="exact"/>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98,541</w:t>
            </w:r>
          </w:p>
        </w:tc>
        <w:tc>
          <w:tcPr>
            <w:tcW w:w="16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120,534</w:t>
            </w:r>
          </w:p>
        </w:tc>
        <w:tc>
          <w:tcPr>
            <w:tcW w:w="160" w:type="dxa"/>
            <w:vAlign w:val="bottom"/>
            <w:shd w:val="clear" w:color="auto" w:fill="CFF0FC"/>
          </w:tcPr>
          <w:p>
            <w:pPr>
              <w:spacing w:after="0"/>
              <w:rPr>
                <w:sz w:val="14"/>
                <w:szCs w:val="14"/>
                <w:color w:val="auto"/>
              </w:rPr>
            </w:pPr>
          </w:p>
        </w:tc>
        <w:tc>
          <w:tcPr>
            <w:tcW w:w="400" w:type="dxa"/>
            <w:vAlign w:val="bottom"/>
            <w:gridSpan w:val="2"/>
            <w:shd w:val="clear" w:color="auto" w:fill="CFF0FC"/>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7" w:lineRule="exact"/>
              <w:rPr>
                <w:sz w:val="20"/>
                <w:szCs w:val="20"/>
                <w:color w:val="auto"/>
              </w:rPr>
            </w:pPr>
            <w:r>
              <w:rPr>
                <w:rFonts w:ascii="Arial" w:cs="Arial" w:eastAsia="Arial" w:hAnsi="Arial"/>
                <w:sz w:val="15"/>
                <w:szCs w:val="15"/>
                <w:color w:val="auto"/>
              </w:rPr>
              <w:t>222,337</w:t>
            </w:r>
          </w:p>
        </w:tc>
        <w:tc>
          <w:tcPr>
            <w:tcW w:w="120" w:type="dxa"/>
            <w:vAlign w:val="bottom"/>
            <w:shd w:val="clear" w:color="auto" w:fill="CFF0FC"/>
          </w:tcPr>
          <w:p>
            <w:pPr>
              <w:spacing w:after="0"/>
              <w:rPr>
                <w:sz w:val="14"/>
                <w:szCs w:val="14"/>
                <w:color w:val="auto"/>
              </w:rPr>
            </w:pPr>
          </w:p>
        </w:tc>
      </w:tr>
      <w:tr>
        <w:trPr>
          <w:trHeight w:val="20"/>
        </w:trPr>
        <w:tc>
          <w:tcPr>
            <w:tcW w:w="6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6985</wp:posOffset>
            </wp:positionV>
            <wp:extent cx="285686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1" w:lineRule="exact"/>
        <w:rPr>
          <w:sz w:val="20"/>
          <w:szCs w:val="20"/>
          <w:color w:val="auto"/>
        </w:rPr>
      </w:pPr>
    </w:p>
    <w:p>
      <w:pPr>
        <w:ind w:left="760" w:right="20" w:hanging="751"/>
        <w:spacing w:after="0" w:line="231"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Fiscal 2018 reflects a reversal of an accrued liability, with $55.1 million recorded to revenue and $74.6 million recorded to other income in our results of operations related to a judgment entered against the Company in 2014 in connection with a lawsuit against a joint venture in which the Company is the managing partner. See “Management’s Discussion and Analysis of Financial Condition and Results of Operations” in this Annual Report on Form 10-K for a description of this matter, which was resolved in favor of the Company on June 13, 2018.</w:t>
      </w:r>
    </w:p>
    <w:p>
      <w:pPr>
        <w:ind w:left="760" w:hanging="751"/>
        <w:spacing w:after="0" w:line="231"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 xml:space="preserve">Reflects recognized deferred gains related to sales-leaseback transactions described in “Note 10— </w:t>
      </w:r>
      <w:r>
        <w:rPr>
          <w:rFonts w:ascii="Arial" w:cs="Arial" w:eastAsia="Arial" w:hAnsi="Arial"/>
          <w:sz w:val="15"/>
          <w:szCs w:val="15"/>
          <w:i w:val="1"/>
          <w:iCs w:val="1"/>
          <w:color w:val="auto"/>
        </w:rPr>
        <w:t>Sale-Leasebacks</w:t>
      </w:r>
      <w:r>
        <w:rPr>
          <w:rFonts w:ascii="Arial" w:cs="Arial" w:eastAsia="Arial" w:hAnsi="Arial"/>
          <w:sz w:val="15"/>
          <w:szCs w:val="15"/>
          <w:color w:val="auto"/>
        </w:rPr>
        <w:t>.”</w:t>
      </w:r>
    </w:p>
    <w:p>
      <w:pPr>
        <w:ind w:left="760" w:right="320" w:hanging="751"/>
        <w:spacing w:after="0" w:line="231"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ind w:left="760" w:right="20" w:hanging="751"/>
        <w:spacing w:after="0" w:line="231"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Reflects costs incurred in connection with acquisitions, IPO, and other non-recurring transaction costs, primarily fees paid for professional services and employee retention.</w:t>
      </w:r>
    </w:p>
    <w:p>
      <w:pPr>
        <w:ind w:left="760" w:hanging="751"/>
        <w:spacing w:after="0" w:line="231"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Reflects costs associated with and related to our corporate restructuring initiatives.</w:t>
      </w:r>
    </w:p>
    <w:p>
      <w:pPr>
        <w:ind w:left="760" w:right="60" w:hanging="751"/>
        <w:spacing w:after="0" w:line="269" w:lineRule="auto"/>
        <w:tabs>
          <w:tab w:leader="none" w:pos="760"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Includes a combination of gain/loss related to sale of fixed assets, software implementation costs, and other individually insignificant items that are non-recurring in nature.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36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Asset information by segment is not a key measure of performance used by the CODM.</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revenues and property and equipment, net by geographic area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66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Revenues: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North America</w:t>
            </w:r>
          </w:p>
        </w:tc>
        <w:tc>
          <w:tcPr>
            <w:tcW w:w="32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3,215,874</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3,249,054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2,870,494</w:t>
            </w:r>
          </w:p>
        </w:tc>
        <w:tc>
          <w:tcPr>
            <w:tcW w:w="120" w:type="dxa"/>
            <w:vAlign w:val="bottom"/>
            <w:shd w:val="clear" w:color="auto" w:fill="CFF0FC"/>
          </w:tcPr>
          <w:p>
            <w:pPr>
              <w:spacing w:after="0"/>
              <w:rPr>
                <w:sz w:val="15"/>
                <w:szCs w:val="15"/>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Middle East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684,353</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689,067</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671,925</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Rest of World</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18,719</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16,691</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18,089</w:t>
            </w:r>
          </w:p>
        </w:tc>
        <w:tc>
          <w:tcPr>
            <w:tcW w:w="120" w:type="dxa"/>
            <w:vAlign w:val="bottom"/>
            <w:shd w:val="clear" w:color="auto" w:fill="CFF0FC"/>
          </w:tcPr>
          <w:p>
            <w:pPr>
              <w:spacing w:after="0"/>
              <w:rPr>
                <w:sz w:val="15"/>
                <w:szCs w:val="15"/>
                <w:color w:val="auto"/>
              </w:rPr>
            </w:pPr>
          </w:p>
        </w:tc>
      </w:tr>
      <w:tr>
        <w:trPr>
          <w:trHeight w:val="208"/>
        </w:trPr>
        <w:tc>
          <w:tcPr>
            <w:tcW w:w="6660" w:type="dxa"/>
            <w:vAlign w:val="bottom"/>
          </w:tcPr>
          <w:p>
            <w:pPr>
              <w:spacing w:after="0" w:line="169" w:lineRule="exact"/>
              <w:rPr>
                <w:sz w:val="20"/>
                <w:szCs w:val="20"/>
                <w:color w:val="auto"/>
              </w:rPr>
            </w:pPr>
            <w:r>
              <w:rPr>
                <w:rFonts w:ascii="Arial" w:cs="Arial" w:eastAsia="Arial" w:hAnsi="Arial"/>
                <w:sz w:val="15"/>
                <w:szCs w:val="15"/>
                <w:color w:val="auto"/>
              </w:rPr>
              <w:t>Total revenues</w:t>
            </w:r>
          </w:p>
        </w:tc>
        <w:tc>
          <w:tcPr>
            <w:tcW w:w="32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3,918,946</w:t>
            </w: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3,954,812</w:t>
            </w:r>
          </w:p>
        </w:tc>
        <w:tc>
          <w:tcPr>
            <w:tcW w:w="260" w:type="dxa"/>
            <w:vAlign w:val="bottom"/>
          </w:tcPr>
          <w:p>
            <w:pPr>
              <w:spacing w:after="0"/>
              <w:rPr>
                <w:sz w:val="18"/>
                <w:szCs w:val="18"/>
                <w:color w:val="auto"/>
              </w:rPr>
            </w:pPr>
          </w:p>
        </w:tc>
        <w:tc>
          <w:tcPr>
            <w:tcW w:w="30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3,560,508</w:t>
            </w:r>
          </w:p>
        </w:tc>
        <w:tc>
          <w:tcPr>
            <w:tcW w:w="120" w:type="dxa"/>
            <w:vAlign w:val="bottom"/>
          </w:tcPr>
          <w:p>
            <w:pPr>
              <w:spacing w:after="0"/>
              <w:rPr>
                <w:sz w:val="18"/>
                <w:szCs w:val="18"/>
                <w:color w:val="auto"/>
              </w:rPr>
            </w:pPr>
          </w:p>
        </w:tc>
      </w:tr>
      <w:tr>
        <w:trPr>
          <w:trHeight w:val="151"/>
        </w:trPr>
        <w:tc>
          <w:tcPr>
            <w:tcW w:w="6660" w:type="dxa"/>
            <w:vAlign w:val="bottom"/>
            <w:tcBorders>
              <w:top w:val="single" w:sz="8" w:color="CFF0FC"/>
            </w:tcBorders>
            <w:shd w:val="clear" w:color="auto" w:fill="CFF0FC"/>
          </w:tcPr>
          <w:p>
            <w:pPr>
              <w:spacing w:after="0" w:line="151" w:lineRule="exact"/>
              <w:rPr>
                <w:sz w:val="20"/>
                <w:szCs w:val="20"/>
                <w:color w:val="auto"/>
              </w:rPr>
            </w:pPr>
            <w:r>
              <w:rPr>
                <w:rFonts w:ascii="Arial" w:cs="Arial" w:eastAsia="Arial" w:hAnsi="Arial"/>
                <w:sz w:val="15"/>
                <w:szCs w:val="15"/>
                <w:color w:val="auto"/>
              </w:rPr>
              <w:t>Property and equipment, net</w:t>
            </w:r>
          </w:p>
        </w:tc>
        <w:tc>
          <w:tcPr>
            <w:tcW w:w="3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77"/>
        </w:trPr>
        <w:tc>
          <w:tcPr>
            <w:tcW w:w="6660" w:type="dxa"/>
            <w:vAlign w:val="bottom"/>
          </w:tcPr>
          <w:p>
            <w:pPr>
              <w:ind w:left="220"/>
              <w:spacing w:after="0"/>
              <w:rPr>
                <w:sz w:val="20"/>
                <w:szCs w:val="20"/>
                <w:color w:val="auto"/>
              </w:rPr>
            </w:pPr>
            <w:r>
              <w:rPr>
                <w:rFonts w:ascii="Arial" w:cs="Arial" w:eastAsia="Arial" w:hAnsi="Arial"/>
                <w:sz w:val="15"/>
                <w:szCs w:val="15"/>
                <w:color w:val="auto"/>
              </w:rPr>
              <w:t>North America</w:t>
            </w:r>
          </w:p>
        </w:tc>
        <w:tc>
          <w:tcPr>
            <w:tcW w:w="320" w:type="dxa"/>
            <w:vAlign w:val="bottom"/>
          </w:tcPr>
          <w:p>
            <w:pPr>
              <w:jc w:val="right"/>
              <w:ind w:right="146"/>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116,460</w:t>
            </w: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117,606</w:t>
            </w:r>
          </w:p>
        </w:tc>
        <w:tc>
          <w:tcPr>
            <w:tcW w:w="260" w:type="dxa"/>
            <w:vAlign w:val="bottom"/>
          </w:tcPr>
          <w:p>
            <w:pPr>
              <w:spacing w:after="0"/>
              <w:rPr>
                <w:sz w:val="15"/>
                <w:szCs w:val="15"/>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86,847</w:t>
            </w:r>
          </w:p>
        </w:tc>
        <w:tc>
          <w:tcPr>
            <w:tcW w:w="120" w:type="dxa"/>
            <w:vAlign w:val="bottom"/>
          </w:tcPr>
          <w:p>
            <w:pPr>
              <w:spacing w:after="0"/>
              <w:rPr>
                <w:sz w:val="15"/>
                <w:szCs w:val="15"/>
                <w:color w:val="auto"/>
              </w:rPr>
            </w:pPr>
          </w:p>
        </w:tc>
      </w:tr>
      <w:tr>
        <w:trPr>
          <w:trHeight w:val="177"/>
        </w:trPr>
        <w:tc>
          <w:tcPr>
            <w:tcW w:w="6660" w:type="dxa"/>
            <w:vAlign w:val="bottom"/>
            <w:shd w:val="clear" w:color="auto" w:fill="CFF0FC"/>
          </w:tcPr>
          <w:p>
            <w:pPr>
              <w:ind w:left="220"/>
              <w:spacing w:after="0"/>
              <w:rPr>
                <w:sz w:val="20"/>
                <w:szCs w:val="20"/>
                <w:color w:val="auto"/>
              </w:rPr>
            </w:pPr>
            <w:r>
              <w:rPr>
                <w:rFonts w:ascii="Arial" w:cs="Arial" w:eastAsia="Arial" w:hAnsi="Arial"/>
                <w:sz w:val="15"/>
                <w:szCs w:val="15"/>
                <w:color w:val="auto"/>
              </w:rPr>
              <w:t>Middle East</w:t>
            </w: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4,567</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5,145</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5,002</w:t>
            </w:r>
          </w:p>
        </w:tc>
        <w:tc>
          <w:tcPr>
            <w:tcW w:w="120" w:type="dxa"/>
            <w:vAlign w:val="bottom"/>
            <w:shd w:val="clear" w:color="auto" w:fill="CFF0FC"/>
          </w:tcPr>
          <w:p>
            <w:pPr>
              <w:spacing w:after="0"/>
              <w:rPr>
                <w:sz w:val="15"/>
                <w:szCs w:val="15"/>
                <w:color w:val="auto"/>
              </w:rPr>
            </w:pPr>
          </w:p>
        </w:tc>
      </w:tr>
      <w:tr>
        <w:trPr>
          <w:trHeight w:val="168"/>
        </w:trPr>
        <w:tc>
          <w:tcPr>
            <w:tcW w:w="6660" w:type="dxa"/>
            <w:vAlign w:val="bottom"/>
          </w:tcPr>
          <w:p>
            <w:pPr>
              <w:spacing w:after="0" w:line="169" w:lineRule="exact"/>
              <w:rPr>
                <w:sz w:val="20"/>
                <w:szCs w:val="20"/>
                <w:color w:val="auto"/>
              </w:rPr>
            </w:pPr>
            <w:r>
              <w:rPr>
                <w:rFonts w:ascii="Arial" w:cs="Arial" w:eastAsia="Arial" w:hAnsi="Arial"/>
                <w:sz w:val="15"/>
                <w:szCs w:val="15"/>
                <w:color w:val="auto"/>
              </w:rPr>
              <w:t>Total property and equipment, net</w:t>
            </w:r>
          </w:p>
        </w:tc>
        <w:tc>
          <w:tcPr>
            <w:tcW w:w="32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121,027</w:t>
            </w:r>
          </w:p>
        </w:tc>
        <w:tc>
          <w:tcPr>
            <w:tcW w:w="580" w:type="dxa"/>
            <w:vAlign w:val="bottom"/>
            <w:gridSpan w:val="2"/>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122,751</w:t>
            </w:r>
          </w:p>
        </w:tc>
        <w:tc>
          <w:tcPr>
            <w:tcW w:w="260" w:type="dxa"/>
            <w:vAlign w:val="bottom"/>
          </w:tcPr>
          <w:p>
            <w:pPr>
              <w:spacing w:after="0"/>
              <w:rPr>
                <w:sz w:val="14"/>
                <w:szCs w:val="14"/>
                <w:color w:val="auto"/>
              </w:rPr>
            </w:pPr>
          </w:p>
        </w:tc>
        <w:tc>
          <w:tcPr>
            <w:tcW w:w="300" w:type="dxa"/>
            <w:vAlign w:val="bottom"/>
          </w:tcPr>
          <w:p>
            <w:pPr>
              <w:jc w:val="right"/>
              <w:ind w:right="146"/>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91,849</w:t>
            </w:r>
          </w:p>
        </w:tc>
        <w:tc>
          <w:tcPr>
            <w:tcW w:w="120" w:type="dxa"/>
            <w:vAlign w:val="bottom"/>
          </w:tcPr>
          <w:p>
            <w:pPr>
              <w:spacing w:after="0"/>
              <w:rPr>
                <w:sz w:val="14"/>
                <w:szCs w:val="14"/>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ind w:right="20" w:firstLine="591"/>
        <w:spacing w:after="0" w:line="236" w:lineRule="auto"/>
        <w:rPr>
          <w:sz w:val="20"/>
          <w:szCs w:val="20"/>
          <w:color w:val="auto"/>
        </w:rPr>
      </w:pPr>
      <w:r>
        <w:rPr>
          <w:rFonts w:ascii="Arial" w:cs="Arial" w:eastAsia="Arial" w:hAnsi="Arial"/>
          <w:sz w:val="15"/>
          <w:szCs w:val="15"/>
          <w:color w:val="auto"/>
        </w:rPr>
        <w:t>North America revenue includes $3.0 billion, $3.0 billion and $2.6 billion of United States revenue for the years ended December 31, 2020, December 31, 2019 and December 31, 2018, respectively. North America property and equipment, net includes $109.6 million, $109.9 million and $79.9 million of property and equipment, net in the United States at December 31, 2020, December 31, 2019 and December 31, 2018, respectively.</w:t>
      </w:r>
    </w:p>
    <w:p>
      <w:pPr>
        <w:spacing w:after="0" w:line="79" w:lineRule="exact"/>
        <w:rPr>
          <w:sz w:val="20"/>
          <w:szCs w:val="20"/>
          <w:color w:val="auto"/>
        </w:rPr>
      </w:pPr>
    </w:p>
    <w:p>
      <w:pPr>
        <w:ind w:right="100" w:firstLine="745"/>
        <w:spacing w:after="0" w:line="239" w:lineRule="auto"/>
        <w:rPr>
          <w:sz w:val="20"/>
          <w:szCs w:val="20"/>
          <w:color w:val="auto"/>
        </w:rPr>
      </w:pPr>
      <w:r>
        <w:rPr>
          <w:rFonts w:ascii="Arial" w:cs="Arial" w:eastAsia="Arial" w:hAnsi="Arial"/>
          <w:sz w:val="15"/>
          <w:szCs w:val="15"/>
          <w:color w:val="auto"/>
        </w:rPr>
        <w:t>The geographic location of revenue is determined by the location of the customer. The prior reporting of revenue by geographic location has been conformed to the current presentation.</w:t>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presents revenues by business lines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39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2020</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2019</w:t>
            </w: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2"/>
                <w:szCs w:val="12"/>
                <w:color w:val="auto"/>
              </w:rPr>
            </w:pPr>
          </w:p>
        </w:tc>
      </w:tr>
      <w:tr>
        <w:trPr>
          <w:trHeight w:val="168"/>
        </w:trPr>
        <w:tc>
          <w:tcPr>
            <w:tcW w:w="3920" w:type="dxa"/>
            <w:vAlign w:val="bottom"/>
          </w:tcPr>
          <w:p>
            <w:pPr>
              <w:spacing w:after="0" w:line="169" w:lineRule="exact"/>
              <w:rPr>
                <w:sz w:val="20"/>
                <w:szCs w:val="20"/>
                <w:color w:val="auto"/>
              </w:rPr>
            </w:pPr>
            <w:r>
              <w:rPr>
                <w:rFonts w:ascii="Arial" w:cs="Arial" w:eastAsia="Arial" w:hAnsi="Arial"/>
                <w:sz w:val="15"/>
                <w:szCs w:val="15"/>
                <w:color w:val="auto"/>
              </w:rPr>
              <w:t>Revenue:</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7"/>
        </w:trPr>
        <w:tc>
          <w:tcPr>
            <w:tcW w:w="39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Cyber &amp; Intelligence</w:t>
            </w:r>
          </w:p>
        </w:tc>
        <w:tc>
          <w:tcPr>
            <w:tcW w:w="30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402,470</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349,085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248,343</w:t>
            </w:r>
          </w:p>
        </w:tc>
        <w:tc>
          <w:tcPr>
            <w:tcW w:w="120" w:type="dxa"/>
            <w:vAlign w:val="bottom"/>
            <w:shd w:val="clear" w:color="auto" w:fill="CFF0FC"/>
          </w:tcPr>
          <w:p>
            <w:pPr>
              <w:spacing w:after="0"/>
              <w:rPr>
                <w:sz w:val="15"/>
                <w:szCs w:val="15"/>
                <w:color w:val="auto"/>
              </w:rPr>
            </w:pPr>
          </w:p>
        </w:tc>
      </w:tr>
      <w:tr>
        <w:trPr>
          <w:trHeight w:val="177"/>
        </w:trPr>
        <w:tc>
          <w:tcPr>
            <w:tcW w:w="3920" w:type="dxa"/>
            <w:vAlign w:val="bottom"/>
          </w:tcPr>
          <w:p>
            <w:pPr>
              <w:ind w:left="420"/>
              <w:spacing w:after="0"/>
              <w:rPr>
                <w:sz w:val="20"/>
                <w:szCs w:val="20"/>
                <w:color w:val="auto"/>
              </w:rPr>
            </w:pPr>
            <w:r>
              <w:rPr>
                <w:rFonts w:ascii="Arial" w:cs="Arial" w:eastAsia="Arial" w:hAnsi="Arial"/>
                <w:sz w:val="15"/>
                <w:szCs w:val="15"/>
                <w:color w:val="auto"/>
              </w:rPr>
              <w:t>Space &amp; Geospatial Solutions</w:t>
            </w:r>
          </w:p>
        </w:tc>
        <w:tc>
          <w:tcPr>
            <w:tcW w:w="2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238,809</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215,330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48,894</w:t>
            </w:r>
          </w:p>
        </w:tc>
        <w:tc>
          <w:tcPr>
            <w:tcW w:w="120" w:type="dxa"/>
            <w:vAlign w:val="bottom"/>
          </w:tcPr>
          <w:p>
            <w:pPr>
              <w:spacing w:after="0"/>
              <w:rPr>
                <w:sz w:val="15"/>
                <w:szCs w:val="15"/>
                <w:color w:val="auto"/>
              </w:rPr>
            </w:pPr>
          </w:p>
        </w:tc>
      </w:tr>
      <w:tr>
        <w:trPr>
          <w:trHeight w:val="177"/>
        </w:trPr>
        <w:tc>
          <w:tcPr>
            <w:tcW w:w="39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Missile Defense &amp; C5ISR</w:t>
            </w:r>
          </w:p>
        </w:tc>
        <w:tc>
          <w:tcPr>
            <w:tcW w:w="2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610,025</w:t>
            </w:r>
          </w:p>
        </w:tc>
        <w:tc>
          <w:tcPr>
            <w:tcW w:w="2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655,224</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564,425</w:t>
            </w:r>
          </w:p>
        </w:tc>
        <w:tc>
          <w:tcPr>
            <w:tcW w:w="120" w:type="dxa"/>
            <w:vAlign w:val="bottom"/>
            <w:shd w:val="clear" w:color="auto" w:fill="CFF0FC"/>
          </w:tcPr>
          <w:p>
            <w:pPr>
              <w:spacing w:after="0"/>
              <w:rPr>
                <w:sz w:val="15"/>
                <w:szCs w:val="15"/>
                <w:color w:val="auto"/>
              </w:rPr>
            </w:pPr>
          </w:p>
        </w:tc>
      </w:tr>
      <w:tr>
        <w:trPr>
          <w:trHeight w:val="177"/>
        </w:trPr>
        <w:tc>
          <w:tcPr>
            <w:tcW w:w="3920" w:type="dxa"/>
            <w:vAlign w:val="bottom"/>
            <w:tcBorders>
              <w:bottom w:val="single" w:sz="8" w:color="CFF0FC"/>
            </w:tcBorders>
          </w:tcPr>
          <w:p>
            <w:pPr>
              <w:ind w:left="420"/>
              <w:spacing w:after="0"/>
              <w:rPr>
                <w:sz w:val="20"/>
                <w:szCs w:val="20"/>
                <w:color w:val="auto"/>
              </w:rPr>
            </w:pPr>
            <w:r>
              <w:rPr>
                <w:rFonts w:ascii="Arial" w:cs="Arial" w:eastAsia="Arial" w:hAnsi="Arial"/>
                <w:sz w:val="15"/>
                <w:szCs w:val="15"/>
                <w:color w:val="auto"/>
              </w:rPr>
              <w:t>Engineered Systems</w:t>
            </w:r>
          </w:p>
        </w:tc>
        <w:tc>
          <w:tcPr>
            <w:tcW w:w="27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660,606</w:t>
            </w:r>
          </w:p>
        </w:tc>
        <w:tc>
          <w:tcPr>
            <w:tcW w:w="28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668,268</w:t>
            </w:r>
          </w:p>
        </w:tc>
        <w:tc>
          <w:tcPr>
            <w:tcW w:w="26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617,345</w:t>
            </w:r>
          </w:p>
        </w:tc>
        <w:tc>
          <w:tcPr>
            <w:tcW w:w="120" w:type="dxa"/>
            <w:vAlign w:val="bottom"/>
            <w:tcBorders>
              <w:bottom w:val="single" w:sz="8" w:color="CFF0FC"/>
            </w:tcBorders>
          </w:tcPr>
          <w:p>
            <w:pPr>
              <w:spacing w:after="0"/>
              <w:rPr>
                <w:sz w:val="15"/>
                <w:szCs w:val="15"/>
                <w:color w:val="auto"/>
              </w:rPr>
            </w:pPr>
          </w:p>
        </w:tc>
      </w:tr>
      <w:tr>
        <w:trPr>
          <w:trHeight w:val="168"/>
        </w:trPr>
        <w:tc>
          <w:tcPr>
            <w:tcW w:w="3920" w:type="dxa"/>
            <w:vAlign w:val="bottom"/>
            <w:shd w:val="clear" w:color="auto" w:fill="CFF0FC"/>
          </w:tcPr>
          <w:p>
            <w:pPr>
              <w:ind w:left="220"/>
              <w:spacing w:after="0" w:line="169" w:lineRule="exact"/>
              <w:rPr>
                <w:sz w:val="20"/>
                <w:szCs w:val="20"/>
                <w:color w:val="auto"/>
              </w:rPr>
            </w:pPr>
            <w:r>
              <w:rPr>
                <w:rFonts w:ascii="Arial" w:cs="Arial" w:eastAsia="Arial" w:hAnsi="Arial"/>
                <w:sz w:val="15"/>
                <w:szCs w:val="15"/>
                <w:color w:val="auto"/>
              </w:rPr>
              <w:t>Federal Solutions revenues</w:t>
            </w:r>
          </w:p>
        </w:tc>
        <w:tc>
          <w:tcPr>
            <w:tcW w:w="274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1,911,910</w:t>
            </w:r>
          </w:p>
        </w:tc>
        <w:tc>
          <w:tcPr>
            <w:tcW w:w="28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1,887,907</w:t>
            </w:r>
          </w:p>
        </w:tc>
        <w:tc>
          <w:tcPr>
            <w:tcW w:w="260" w:type="dxa"/>
            <w:vAlign w:val="bottom"/>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1,479,007</w:t>
            </w:r>
          </w:p>
        </w:tc>
        <w:tc>
          <w:tcPr>
            <w:tcW w:w="120" w:type="dxa"/>
            <w:vAlign w:val="bottom"/>
            <w:shd w:val="clear" w:color="auto" w:fill="CFF0FC"/>
          </w:tcPr>
          <w:p>
            <w:pPr>
              <w:spacing w:after="0"/>
              <w:rPr>
                <w:sz w:val="14"/>
                <w:szCs w:val="14"/>
                <w:color w:val="auto"/>
              </w:rPr>
            </w:pPr>
          </w:p>
        </w:tc>
      </w:tr>
      <w:tr>
        <w:trPr>
          <w:trHeight w:val="168"/>
        </w:trPr>
        <w:tc>
          <w:tcPr>
            <w:tcW w:w="3920" w:type="dxa"/>
            <w:vAlign w:val="bottom"/>
          </w:tcPr>
          <w:p>
            <w:pPr>
              <w:ind w:left="420"/>
              <w:spacing w:after="0" w:line="169" w:lineRule="exact"/>
              <w:rPr>
                <w:sz w:val="20"/>
                <w:szCs w:val="20"/>
                <w:color w:val="auto"/>
              </w:rPr>
            </w:pPr>
            <w:r>
              <w:rPr>
                <w:rFonts w:ascii="Arial" w:cs="Arial" w:eastAsia="Arial" w:hAnsi="Arial"/>
                <w:sz w:val="15"/>
                <w:szCs w:val="15"/>
                <w:color w:val="auto"/>
              </w:rPr>
              <w:t>Connected Communities</w:t>
            </w:r>
          </w:p>
        </w:tc>
        <w:tc>
          <w:tcPr>
            <w:tcW w:w="2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spacing w:after="0" w:line="169" w:lineRule="exact"/>
              <w:rPr>
                <w:sz w:val="20"/>
                <w:szCs w:val="20"/>
                <w:color w:val="auto"/>
              </w:rPr>
            </w:pPr>
            <w:r>
              <w:rPr>
                <w:rFonts w:ascii="Arial" w:cs="Arial" w:eastAsia="Arial" w:hAnsi="Arial"/>
                <w:sz w:val="15"/>
                <w:szCs w:val="15"/>
                <w:color w:val="auto"/>
              </w:rPr>
              <w:t>431,497</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419,215</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Arial" w:cs="Arial" w:eastAsia="Arial" w:hAnsi="Arial"/>
                <w:sz w:val="15"/>
                <w:szCs w:val="15"/>
                <w:color w:val="auto"/>
              </w:rPr>
              <w:t>540,580</w:t>
            </w:r>
          </w:p>
        </w:tc>
        <w:tc>
          <w:tcPr>
            <w:tcW w:w="120" w:type="dxa"/>
            <w:vAlign w:val="bottom"/>
          </w:tcPr>
          <w:p>
            <w:pPr>
              <w:spacing w:after="0"/>
              <w:rPr>
                <w:sz w:val="14"/>
                <w:szCs w:val="14"/>
                <w:color w:val="auto"/>
              </w:rPr>
            </w:pPr>
          </w:p>
        </w:tc>
      </w:tr>
      <w:tr>
        <w:trPr>
          <w:trHeight w:val="177"/>
        </w:trPr>
        <w:tc>
          <w:tcPr>
            <w:tcW w:w="39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Mobility Solutions</w:t>
            </w:r>
          </w:p>
        </w:tc>
        <w:tc>
          <w:tcPr>
            <w:tcW w:w="2740" w:type="dxa"/>
            <w:vAlign w:val="bottom"/>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1,575,539</w:t>
            </w:r>
          </w:p>
        </w:tc>
        <w:tc>
          <w:tcPr>
            <w:tcW w:w="28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1,647,690</w:t>
            </w:r>
          </w:p>
        </w:tc>
        <w:tc>
          <w:tcPr>
            <w:tcW w:w="26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1,540,921</w:t>
            </w:r>
          </w:p>
        </w:tc>
        <w:tc>
          <w:tcPr>
            <w:tcW w:w="120" w:type="dxa"/>
            <w:vAlign w:val="bottom"/>
            <w:shd w:val="clear" w:color="auto" w:fill="CFF0FC"/>
          </w:tcPr>
          <w:p>
            <w:pPr>
              <w:spacing w:after="0"/>
              <w:rPr>
                <w:sz w:val="15"/>
                <w:szCs w:val="15"/>
                <w:color w:val="auto"/>
              </w:rPr>
            </w:pPr>
          </w:p>
        </w:tc>
      </w:tr>
      <w:tr>
        <w:trPr>
          <w:trHeight w:val="168"/>
        </w:trPr>
        <w:tc>
          <w:tcPr>
            <w:tcW w:w="3920" w:type="dxa"/>
            <w:vAlign w:val="bottom"/>
            <w:tcBorders>
              <w:bottom w:val="single" w:sz="8" w:color="CFF0FC"/>
            </w:tcBorders>
          </w:tcPr>
          <w:p>
            <w:pPr>
              <w:ind w:left="220"/>
              <w:spacing w:after="0" w:line="169" w:lineRule="exact"/>
              <w:rPr>
                <w:sz w:val="20"/>
                <w:szCs w:val="20"/>
                <w:color w:val="auto"/>
              </w:rPr>
            </w:pPr>
            <w:r>
              <w:rPr>
                <w:rFonts w:ascii="Arial" w:cs="Arial" w:eastAsia="Arial" w:hAnsi="Arial"/>
                <w:sz w:val="15"/>
                <w:szCs w:val="15"/>
                <w:color w:val="auto"/>
              </w:rPr>
              <w:t>Critical Infrastructure revenues</w:t>
            </w:r>
          </w:p>
        </w:tc>
        <w:tc>
          <w:tcPr>
            <w:tcW w:w="27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2,007,036</w:t>
            </w:r>
          </w:p>
        </w:tc>
        <w:tc>
          <w:tcPr>
            <w:tcW w:w="2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2,066,905</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2,081,501</w:t>
            </w:r>
          </w:p>
        </w:tc>
        <w:tc>
          <w:tcPr>
            <w:tcW w:w="120" w:type="dxa"/>
            <w:vAlign w:val="bottom"/>
            <w:tcBorders>
              <w:bottom w:val="single" w:sz="8" w:color="CFF0FC"/>
            </w:tcBorders>
          </w:tcPr>
          <w:p>
            <w:pPr>
              <w:spacing w:after="0"/>
              <w:rPr>
                <w:sz w:val="14"/>
                <w:szCs w:val="14"/>
                <w:color w:val="auto"/>
              </w:rPr>
            </w:pPr>
          </w:p>
        </w:tc>
      </w:tr>
      <w:tr>
        <w:trPr>
          <w:trHeight w:val="168"/>
        </w:trPr>
        <w:tc>
          <w:tcPr>
            <w:tcW w:w="392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Total revenues</w:t>
            </w:r>
          </w:p>
        </w:tc>
        <w:tc>
          <w:tcPr>
            <w:tcW w:w="30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3,918,946</w:t>
            </w:r>
          </w:p>
        </w:tc>
        <w:tc>
          <w:tcPr>
            <w:tcW w:w="58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3,954,812</w:t>
            </w:r>
          </w:p>
        </w:tc>
        <w:tc>
          <w:tcPr>
            <w:tcW w:w="56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3,560,508</w:t>
            </w:r>
          </w:p>
        </w:tc>
        <w:tc>
          <w:tcPr>
            <w:tcW w:w="120" w:type="dxa"/>
            <w:vAlign w:val="bottom"/>
            <w:shd w:val="clear" w:color="auto" w:fill="CFF0FC"/>
          </w:tcPr>
          <w:p>
            <w:pPr>
              <w:spacing w:after="0"/>
              <w:rPr>
                <w:sz w:val="14"/>
                <w:szCs w:val="14"/>
                <w:color w:val="auto"/>
              </w:rPr>
            </w:pPr>
          </w:p>
        </w:tc>
      </w:tr>
      <w:tr>
        <w:trPr>
          <w:trHeight w:val="20"/>
        </w:trPr>
        <w:tc>
          <w:tcPr>
            <w:tcW w:w="3920" w:type="dxa"/>
            <w:vAlign w:val="bottom"/>
            <w:tcBorders>
              <w:top w:val="single" w:sz="8" w:color="CFF0FC"/>
            </w:tcBorders>
          </w:tcPr>
          <w:p>
            <w:pPr>
              <w:spacing w:after="0" w:line="20" w:lineRule="exact"/>
              <w:rPr>
                <w:sz w:val="1"/>
                <w:szCs w:val="1"/>
                <w:color w:val="auto"/>
              </w:rPr>
            </w:pPr>
          </w:p>
        </w:tc>
        <w:tc>
          <w:tcPr>
            <w:tcW w:w="27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826"/>
        </w:trPr>
        <w:tc>
          <w:tcPr>
            <w:tcW w:w="3920" w:type="dxa"/>
            <w:vAlign w:val="bottom"/>
          </w:tcPr>
          <w:p>
            <w:pPr>
              <w:spacing w:after="0"/>
              <w:rPr>
                <w:sz w:val="24"/>
                <w:szCs w:val="24"/>
                <w:color w:val="auto"/>
              </w:rPr>
            </w:pPr>
          </w:p>
        </w:tc>
        <w:tc>
          <w:tcPr>
            <w:tcW w:w="3060" w:type="dxa"/>
            <w:vAlign w:val="bottom"/>
            <w:gridSpan w:val="2"/>
          </w:tcPr>
          <w:p>
            <w:pPr>
              <w:jc w:val="right"/>
              <w:ind w:right="1180"/>
              <w:spacing w:after="0"/>
              <w:rPr>
                <w:sz w:val="20"/>
                <w:szCs w:val="20"/>
                <w:color w:val="auto"/>
              </w:rPr>
            </w:pPr>
            <w:r>
              <w:rPr>
                <w:rFonts w:ascii="Arial" w:cs="Arial" w:eastAsia="Arial" w:hAnsi="Arial"/>
                <w:sz w:val="15"/>
                <w:szCs w:val="15"/>
                <w:color w:val="auto"/>
              </w:rPr>
              <w:t>F-56</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80"/>
        </w:trPr>
        <w:tc>
          <w:tcPr>
            <w:tcW w:w="3920" w:type="dxa"/>
            <w:vAlign w:val="bottom"/>
            <w:tcBorders>
              <w:bottom w:val="single" w:sz="8" w:color="9A9A9A"/>
            </w:tcBorders>
          </w:tcPr>
          <w:p>
            <w:pPr>
              <w:spacing w:after="0"/>
              <w:rPr>
                <w:sz w:val="6"/>
                <w:szCs w:val="6"/>
                <w:color w:val="auto"/>
              </w:rPr>
            </w:pPr>
          </w:p>
        </w:tc>
        <w:tc>
          <w:tcPr>
            <w:tcW w:w="27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7155180</wp:posOffset>
            </wp:positionH>
            <wp:positionV relativeFrom="paragraph">
              <wp:posOffset>-6350</wp:posOffset>
            </wp:positionV>
            <wp:extent cx="698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4" w:lineRule="exact"/>
        <w:rPr>
          <w:sz w:val="20"/>
          <w:szCs w:val="20"/>
          <w:color w:val="auto"/>
        </w:rPr>
      </w:pPr>
    </w:p>
    <w:p>
      <w:pPr>
        <w:ind w:right="40" w:firstLine="737"/>
        <w:spacing w:after="0" w:line="256" w:lineRule="auto"/>
        <w:rPr>
          <w:sz w:val="20"/>
          <w:szCs w:val="20"/>
          <w:color w:val="auto"/>
        </w:rPr>
      </w:pPr>
      <w:r>
        <w:rPr>
          <w:rFonts w:ascii="Arial" w:cs="Arial" w:eastAsia="Arial" w:hAnsi="Arial"/>
          <w:sz w:val="14"/>
          <w:szCs w:val="14"/>
          <w:color w:val="auto"/>
        </w:rPr>
        <w:t>Revenue for the year ended December 31, 2018 included $55.1 million related to the settlement of a claim that was resolved in favor of the Company in the Mobility Solutions business line of our Critical Infrastructure segment. See “Management’s Discussion and Analysis of Financial Condition and Results of Operations” in this Annual Report on Form 10-K for a description of this matter, which was resolved in favor of the Company on June 13, 2018. Excluding the claim settlement, revenue for the year ended December 31, 2018 for the Critical Infrastructure segment was $2.0 billion and for the Mobility Solutions revenue business line revenue was $1.5 billion.</w:t>
      </w:r>
    </w:p>
    <w:p>
      <w:pPr>
        <w:spacing w:after="0" w:line="155" w:lineRule="exact"/>
        <w:rPr>
          <w:sz w:val="20"/>
          <w:szCs w:val="20"/>
          <w:color w:val="auto"/>
        </w:rPr>
      </w:pPr>
    </w:p>
    <w:p>
      <w:pPr>
        <w:ind w:right="140" w:firstLine="434"/>
        <w:spacing w:after="0" w:line="239" w:lineRule="auto"/>
        <w:rPr>
          <w:sz w:val="20"/>
          <w:szCs w:val="20"/>
          <w:color w:val="auto"/>
        </w:rPr>
      </w:pPr>
      <w:r>
        <w:rPr>
          <w:rFonts w:ascii="Arial" w:cs="Arial" w:eastAsia="Arial" w:hAnsi="Arial"/>
          <w:sz w:val="15"/>
          <w:szCs w:val="15"/>
          <w:color w:val="auto"/>
        </w:rPr>
        <w:t>Effective January 1, 2020, the Company made changes to its business lines as described below. The prior year information in the table above has been reclassified to conform to the business line changes.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Federal Solutions Business Line Changes</w:t>
      </w:r>
    </w:p>
    <w:p>
      <w:pPr>
        <w:spacing w:after="0" w:line="189" w:lineRule="exact"/>
        <w:rPr>
          <w:sz w:val="20"/>
          <w:szCs w:val="20"/>
          <w:color w:val="auto"/>
        </w:rPr>
      </w:pPr>
    </w:p>
    <w:p>
      <w:pPr>
        <w:ind w:right="100" w:firstLine="434"/>
        <w:spacing w:after="0" w:line="235" w:lineRule="auto"/>
        <w:rPr>
          <w:sz w:val="20"/>
          <w:szCs w:val="20"/>
          <w:color w:val="auto"/>
        </w:rPr>
      </w:pPr>
      <w:r>
        <w:rPr>
          <w:rFonts w:ascii="Arial" w:cs="Arial" w:eastAsia="Arial" w:hAnsi="Arial"/>
          <w:sz w:val="15"/>
          <w:szCs w:val="15"/>
          <w:color w:val="auto"/>
        </w:rPr>
        <w:t>As a result of the acquisitions of Polaris Alpha, OGSystems and QRC, we realigned the five business lines within our Federal Solutions segment into four business lines. We consolidated all space and geospatial programs from the former Geospatial Solutions, Defense and Cyber &amp; Intelligence markets into a new Space &amp; Geospatial Solutions business line to increase focus on the critical, evolving space market. This new business line better aligns capabilities and customers to drive growth and performance execution through improved agile, end-to-end solutions and dedicated customer focus.</w:t>
      </w:r>
    </w:p>
    <w:p>
      <w:pPr>
        <w:spacing w:after="0" w:line="167" w:lineRule="exact"/>
        <w:rPr>
          <w:sz w:val="20"/>
          <w:szCs w:val="20"/>
          <w:color w:val="auto"/>
        </w:rPr>
      </w:pPr>
    </w:p>
    <w:p>
      <w:pPr>
        <w:ind w:right="300" w:firstLine="434"/>
        <w:spacing w:after="0" w:line="236" w:lineRule="auto"/>
        <w:rPr>
          <w:sz w:val="20"/>
          <w:szCs w:val="20"/>
          <w:color w:val="auto"/>
        </w:rPr>
      </w:pPr>
      <w:r>
        <w:rPr>
          <w:rFonts w:ascii="Arial" w:cs="Arial" w:eastAsia="Arial" w:hAnsi="Arial"/>
          <w:sz w:val="15"/>
          <w:szCs w:val="15"/>
          <w:color w:val="auto"/>
        </w:rPr>
        <w:t>Further, we re-named our Defense business line to Missile Defense &amp; C5ISR. We moved our Missions Solutions business line into our Missile Defense &amp; C5ISR, Engineered Systems and Cyber &amp; Intelligence business lines, for better customer and capability alignment. These changes were the next logical step in our acquisition integration process, to optimize performance delivery and growth.</w:t>
      </w:r>
    </w:p>
    <w:p>
      <w:pPr>
        <w:spacing w:after="0" w:line="349" w:lineRule="exact"/>
        <w:rPr>
          <w:sz w:val="20"/>
          <w:szCs w:val="20"/>
          <w:color w:val="auto"/>
        </w:rPr>
      </w:pPr>
    </w:p>
    <w:p>
      <w:pPr>
        <w:ind w:left="600" w:hanging="591"/>
        <w:spacing w:after="0"/>
        <w:tabs>
          <w:tab w:leader="none" w:pos="60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Information - Unaudited</w:t>
      </w:r>
    </w:p>
    <w:p>
      <w:pPr>
        <w:spacing w:after="0" w:line="100"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 following tables present selected quarterly financial information (in thousands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5"/>
          </w:tcPr>
          <w:p>
            <w:pPr>
              <w:ind w:left="440"/>
              <w:spacing w:after="0"/>
              <w:rPr>
                <w:sz w:val="20"/>
                <w:szCs w:val="20"/>
                <w:color w:val="auto"/>
              </w:rPr>
            </w:pPr>
            <w:r>
              <w:rPr>
                <w:rFonts w:ascii="Arial" w:cs="Arial" w:eastAsia="Arial" w:hAnsi="Arial"/>
                <w:sz w:val="12"/>
                <w:szCs w:val="12"/>
                <w:b w:val="1"/>
                <w:bCs w:val="1"/>
                <w:color w:val="auto"/>
              </w:rPr>
              <w:t>Quarter Ended</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322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December 31,</w:t>
            </w:r>
          </w:p>
        </w:tc>
        <w:tc>
          <w:tcPr>
            <w:tcW w:w="20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September 30,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March 31,</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December 31,</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September 30,</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June 30, 2020</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7"/>
              </w:rPr>
              <w:t>June 30, 2019</w:t>
            </w:r>
          </w:p>
        </w:tc>
        <w:tc>
          <w:tcPr>
            <w:tcW w:w="20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March 31, 2019</w:t>
            </w:r>
          </w:p>
        </w:tc>
        <w:tc>
          <w:tcPr>
            <w:tcW w:w="120" w:type="dxa"/>
            <w:vAlign w:val="bottom"/>
            <w:tcBorders>
              <w:bottom w:val="single" w:sz="8" w:color="CFF0FC"/>
            </w:tcBorders>
          </w:tcPr>
          <w:p>
            <w:pPr>
              <w:spacing w:after="0"/>
              <w:rPr>
                <w:sz w:val="12"/>
                <w:szCs w:val="12"/>
                <w:color w:val="auto"/>
              </w:rPr>
            </w:pPr>
          </w:p>
        </w:tc>
      </w:tr>
      <w:tr>
        <w:trPr>
          <w:trHeight w:val="135"/>
        </w:trPr>
        <w:tc>
          <w:tcPr>
            <w:tcW w:w="322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Federal Solutions revenue</w:t>
            </w: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453,973</w:t>
            </w:r>
          </w:p>
        </w:tc>
        <w:tc>
          <w:tcPr>
            <w:tcW w:w="380" w:type="dxa"/>
            <w:vAlign w:val="bottom"/>
            <w:gridSpan w:val="2"/>
            <w:shd w:val="clear" w:color="auto" w:fill="CFF0FC"/>
          </w:tcPr>
          <w:p>
            <w:pPr>
              <w:ind w:left="200"/>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498,156</w:t>
            </w:r>
          </w:p>
        </w:tc>
        <w:tc>
          <w:tcPr>
            <w:tcW w:w="420" w:type="dxa"/>
            <w:vAlign w:val="bottom"/>
            <w:gridSpan w:val="2"/>
            <w:shd w:val="clear" w:color="auto" w:fill="CFF0FC"/>
          </w:tcPr>
          <w:p>
            <w:pPr>
              <w:ind w:left="20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482,210</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477,571</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500,423</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486,175</w:t>
            </w:r>
          </w:p>
        </w:tc>
        <w:tc>
          <w:tcPr>
            <w:tcW w:w="420" w:type="dxa"/>
            <w:vAlign w:val="bottom"/>
            <w:gridSpan w:val="2"/>
            <w:shd w:val="clear" w:color="auto" w:fill="CFF0FC"/>
          </w:tcPr>
          <w:p>
            <w:pPr>
              <w:ind w:left="20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478,497</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422,812</w:t>
            </w:r>
          </w:p>
        </w:tc>
        <w:tc>
          <w:tcPr>
            <w:tcW w:w="120" w:type="dxa"/>
            <w:vAlign w:val="bottom"/>
            <w:shd w:val="clear" w:color="auto" w:fill="CFF0FC"/>
          </w:tcPr>
          <w:p>
            <w:pPr>
              <w:spacing w:after="0"/>
              <w:rPr>
                <w:sz w:val="11"/>
                <w:szCs w:val="11"/>
                <w:color w:val="auto"/>
              </w:rPr>
            </w:pPr>
          </w:p>
        </w:tc>
      </w:tr>
      <w:tr>
        <w:trPr>
          <w:trHeight w:val="144"/>
        </w:trPr>
        <w:tc>
          <w:tcPr>
            <w:tcW w:w="3220" w:type="dxa"/>
            <w:vAlign w:val="bottom"/>
            <w:tcBorders>
              <w:bottom w:val="single" w:sz="8" w:color="CFF0FC"/>
            </w:tcBorders>
          </w:tcPr>
          <w:p>
            <w:pPr>
              <w:spacing w:after="0"/>
              <w:rPr>
                <w:sz w:val="20"/>
                <w:szCs w:val="20"/>
                <w:color w:val="auto"/>
              </w:rPr>
            </w:pPr>
            <w:r>
              <w:rPr>
                <w:rFonts w:ascii="Arial" w:cs="Arial" w:eastAsia="Arial" w:hAnsi="Arial"/>
                <w:sz w:val="12"/>
                <w:szCs w:val="12"/>
                <w:color w:val="auto"/>
              </w:rPr>
              <w:t>Critical Infrastructure revenue</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510,285</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506,080</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497,249</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493,422</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536,965</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537,102</w:t>
            </w:r>
          </w:p>
        </w:tc>
        <w:tc>
          <w:tcPr>
            <w:tcW w:w="20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511,245</w:t>
            </w:r>
          </w:p>
        </w:tc>
        <w:tc>
          <w:tcPr>
            <w:tcW w:w="2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481,593</w:t>
            </w:r>
          </w:p>
        </w:tc>
        <w:tc>
          <w:tcPr>
            <w:tcW w:w="120" w:type="dxa"/>
            <w:vAlign w:val="bottom"/>
            <w:tcBorders>
              <w:bottom w:val="single" w:sz="8" w:color="CFF0FC"/>
            </w:tcBorders>
          </w:tcPr>
          <w:p>
            <w:pPr>
              <w:spacing w:after="0"/>
              <w:rPr>
                <w:sz w:val="12"/>
                <w:szCs w:val="12"/>
                <w:color w:val="auto"/>
              </w:rPr>
            </w:pPr>
          </w:p>
        </w:tc>
      </w:tr>
      <w:tr>
        <w:trPr>
          <w:trHeight w:val="135"/>
        </w:trPr>
        <w:tc>
          <w:tcPr>
            <w:tcW w:w="322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Total revenue</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964,258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1,004,236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979,459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970,993</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1,037,388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1,023,277</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989,742</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904,405</w:t>
            </w:r>
          </w:p>
        </w:tc>
        <w:tc>
          <w:tcPr>
            <w:tcW w:w="120" w:type="dxa"/>
            <w:vAlign w:val="bottom"/>
            <w:shd w:val="clear" w:color="auto" w:fill="CFF0FC"/>
          </w:tcPr>
          <w:p>
            <w:pPr>
              <w:spacing w:after="0"/>
              <w:rPr>
                <w:sz w:val="11"/>
                <w:szCs w:val="11"/>
                <w:color w:val="auto"/>
              </w:rPr>
            </w:pPr>
          </w:p>
        </w:tc>
      </w:tr>
      <w:tr>
        <w:trPr>
          <w:trHeight w:val="144"/>
        </w:trPr>
        <w:tc>
          <w:tcPr>
            <w:tcW w:w="3220" w:type="dxa"/>
            <w:vAlign w:val="bottom"/>
          </w:tcPr>
          <w:p>
            <w:pPr>
              <w:spacing w:after="0"/>
              <w:rPr>
                <w:sz w:val="20"/>
                <w:szCs w:val="20"/>
                <w:color w:val="auto"/>
              </w:rPr>
            </w:pPr>
            <w:r>
              <w:rPr>
                <w:rFonts w:ascii="Arial" w:cs="Arial" w:eastAsia="Arial" w:hAnsi="Arial"/>
                <w:sz w:val="12"/>
                <w:szCs w:val="12"/>
                <w:color w:val="auto"/>
              </w:rPr>
              <w:t>Operating income</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41,579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66,271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46,264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23,701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24,274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53,449</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(8,706)</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23,046</w:t>
            </w:r>
          </w:p>
        </w:tc>
        <w:tc>
          <w:tcPr>
            <w:tcW w:w="120" w:type="dxa"/>
            <w:vAlign w:val="bottom"/>
          </w:tcPr>
          <w:p>
            <w:pPr>
              <w:spacing w:after="0"/>
              <w:rPr>
                <w:sz w:val="12"/>
                <w:szCs w:val="12"/>
                <w:color w:val="auto"/>
              </w:rPr>
            </w:pPr>
          </w:p>
        </w:tc>
      </w:tr>
      <w:tr>
        <w:trPr>
          <w:trHeight w:val="144"/>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Parsons Corporation</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21,611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40,658</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23,299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12,973</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13,722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56,812</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40,259</w:t>
            </w: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9,741</w:t>
            </w:r>
          </w:p>
        </w:tc>
        <w:tc>
          <w:tcPr>
            <w:tcW w:w="120" w:type="dxa"/>
            <w:vAlign w:val="bottom"/>
            <w:shd w:val="clear" w:color="auto" w:fill="CFF0FC"/>
          </w:tcPr>
          <w:p>
            <w:pPr>
              <w:spacing w:after="0"/>
              <w:rPr>
                <w:sz w:val="12"/>
                <w:szCs w:val="12"/>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2"/>
                <w:szCs w:val="12"/>
                <w:color w:val="auto"/>
              </w:rPr>
              <w:t>Federal Solutions Adjusted EBITDA attributable to Parsons</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3220" w:type="dxa"/>
            <w:vAlign w:val="bottom"/>
          </w:tcPr>
          <w:p>
            <w:pPr>
              <w:spacing w:after="0" w:line="129" w:lineRule="exact"/>
              <w:rPr>
                <w:sz w:val="20"/>
                <w:szCs w:val="20"/>
                <w:color w:val="auto"/>
              </w:rPr>
            </w:pPr>
            <w:r>
              <w:rPr>
                <w:rFonts w:ascii="Arial" w:cs="Arial" w:eastAsia="Arial" w:hAnsi="Arial"/>
                <w:sz w:val="12"/>
                <w:szCs w:val="12"/>
                <w:color w:val="auto"/>
              </w:rPr>
              <w:t>Corporation</w:t>
            </w:r>
          </w:p>
        </w:tc>
        <w:tc>
          <w:tcPr>
            <w:tcW w:w="16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rPr>
              <w:t>42,149</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45,874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47,700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31,617</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rPr>
              <w:t>42,442</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50,359</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rPr>
              <w:t>35,700</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2"/>
                <w:szCs w:val="12"/>
                <w:color w:val="auto"/>
              </w:rPr>
              <w:t>40,599</w:t>
            </w:r>
          </w:p>
        </w:tc>
        <w:tc>
          <w:tcPr>
            <w:tcW w:w="120" w:type="dxa"/>
            <w:vAlign w:val="bottom"/>
          </w:tcPr>
          <w:p>
            <w:pPr>
              <w:spacing w:after="0"/>
              <w:rPr>
                <w:sz w:val="11"/>
                <w:szCs w:val="11"/>
                <w:color w:val="auto"/>
              </w:rPr>
            </w:pPr>
          </w:p>
        </w:tc>
      </w:tr>
      <w:tr>
        <w:trPr>
          <w:trHeight w:val="148"/>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Critical Infrastructure Adjusted EBITDA attributable to</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29"/>
        </w:trPr>
        <w:tc>
          <w:tcPr>
            <w:tcW w:w="3220" w:type="dxa"/>
            <w:vAlign w:val="bottom"/>
            <w:shd w:val="clear" w:color="auto" w:fill="CFF0FC"/>
          </w:tcPr>
          <w:p>
            <w:pPr>
              <w:spacing w:after="0" w:line="129" w:lineRule="exact"/>
              <w:rPr>
                <w:sz w:val="20"/>
                <w:szCs w:val="20"/>
                <w:color w:val="auto"/>
              </w:rPr>
            </w:pPr>
            <w:r>
              <w:rPr>
                <w:rFonts w:ascii="Arial" w:cs="Arial" w:eastAsia="Arial" w:hAnsi="Arial"/>
                <w:sz w:val="12"/>
                <w:szCs w:val="12"/>
                <w:color w:val="auto"/>
              </w:rPr>
              <w:t>Parsons Corporation</w:t>
            </w:r>
          </w:p>
        </w:tc>
        <w:tc>
          <w:tcPr>
            <w:tcW w:w="16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42,796</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48,856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35,519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27,357</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36,674</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33,976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40,525</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2"/>
                <w:szCs w:val="12"/>
                <w:color w:val="auto"/>
              </w:rPr>
              <w:t>27,676</w:t>
            </w:r>
          </w:p>
        </w:tc>
        <w:tc>
          <w:tcPr>
            <w:tcW w:w="120" w:type="dxa"/>
            <w:vAlign w:val="bottom"/>
            <w:shd w:val="clear" w:color="auto" w:fill="CFF0FC"/>
          </w:tcPr>
          <w:p>
            <w:pPr>
              <w:spacing w:after="0"/>
              <w:rPr>
                <w:sz w:val="11"/>
                <w:szCs w:val="11"/>
                <w:color w:val="auto"/>
              </w:rPr>
            </w:pPr>
          </w:p>
        </w:tc>
      </w:tr>
      <w:tr>
        <w:trPr>
          <w:trHeight w:val="144"/>
        </w:trPr>
        <w:tc>
          <w:tcPr>
            <w:tcW w:w="3220" w:type="dxa"/>
            <w:vAlign w:val="bottom"/>
          </w:tcPr>
          <w:p>
            <w:pPr>
              <w:spacing w:after="0"/>
              <w:rPr>
                <w:sz w:val="20"/>
                <w:szCs w:val="20"/>
                <w:color w:val="auto"/>
              </w:rPr>
            </w:pPr>
            <w:r>
              <w:rPr>
                <w:rFonts w:ascii="Arial" w:cs="Arial" w:eastAsia="Arial" w:hAnsi="Arial"/>
                <w:sz w:val="12"/>
                <w:szCs w:val="12"/>
                <w:color w:val="auto"/>
              </w:rPr>
              <w:t>Adjusted EBITDA attributable to noncontrolling interests</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5,218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6,071</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7,942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8,712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4,655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3,749</w:t>
            </w:r>
          </w:p>
        </w:tc>
        <w:tc>
          <w:tcPr>
            <w:tcW w:w="120" w:type="dxa"/>
            <w:vAlign w:val="bottom"/>
          </w:tcPr>
          <w:p>
            <w:pPr>
              <w:spacing w:after="0"/>
              <w:rPr>
                <w:sz w:val="12"/>
                <w:szCs w:val="12"/>
                <w:color w:val="auto"/>
              </w:rPr>
            </w:pPr>
          </w:p>
        </w:tc>
      </w:tr>
      <w:tr>
        <w:trPr>
          <w:trHeight w:val="20"/>
        </w:trPr>
        <w:tc>
          <w:tcPr>
            <w:tcW w:w="3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35"/>
        </w:trPr>
        <w:tc>
          <w:tcPr>
            <w:tcW w:w="322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Total Adjusted EBITDA (1)</w:t>
            </w: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90,163</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100,801</w:t>
            </w:r>
          </w:p>
        </w:tc>
        <w:tc>
          <w:tcPr>
            <w:tcW w:w="420" w:type="dxa"/>
            <w:vAlign w:val="bottom"/>
            <w:gridSpan w:val="2"/>
            <w:shd w:val="clear" w:color="auto" w:fill="CFF0FC"/>
          </w:tcPr>
          <w:p>
            <w:pPr>
              <w:ind w:left="20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91,161</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60,496</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87,828</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88,990</w:t>
            </w:r>
          </w:p>
        </w:tc>
        <w:tc>
          <w:tcPr>
            <w:tcW w:w="420" w:type="dxa"/>
            <w:vAlign w:val="bottom"/>
            <w:gridSpan w:val="2"/>
            <w:shd w:val="clear" w:color="auto" w:fill="CFF0FC"/>
          </w:tcPr>
          <w:p>
            <w:pPr>
              <w:ind w:left="20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76,205</w:t>
            </w:r>
          </w:p>
        </w:tc>
        <w:tc>
          <w:tcPr>
            <w:tcW w:w="2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72,024</w:t>
            </w:r>
          </w:p>
        </w:tc>
        <w:tc>
          <w:tcPr>
            <w:tcW w:w="120" w:type="dxa"/>
            <w:vAlign w:val="bottom"/>
            <w:shd w:val="clear" w:color="auto" w:fill="CFF0FC"/>
          </w:tcPr>
          <w:p>
            <w:pPr>
              <w:spacing w:after="0"/>
              <w:rPr>
                <w:sz w:val="11"/>
                <w:szCs w:val="1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3" w:lineRule="exact"/>
        <w:rPr>
          <w:sz w:val="20"/>
          <w:szCs w:val="20"/>
          <w:color w:val="auto"/>
        </w:rPr>
      </w:pPr>
    </w:p>
    <w:p>
      <w:pPr>
        <w:ind w:left="440" w:right="300" w:hanging="431"/>
        <w:spacing w:after="0" w:line="279" w:lineRule="auto"/>
        <w:tabs>
          <w:tab w:leader="none" w:pos="440" w:val="left"/>
        </w:tabs>
        <w:numPr>
          <w:ilvl w:val="0"/>
          <w:numId w:val="73"/>
        </w:numPr>
        <w:rPr>
          <w:rFonts w:ascii="Arial" w:cs="Arial" w:eastAsia="Arial" w:hAnsi="Arial"/>
          <w:sz w:val="11"/>
          <w:szCs w:val="11"/>
          <w:color w:val="auto"/>
        </w:rPr>
      </w:pPr>
      <w:r>
        <w:rPr>
          <w:rFonts w:ascii="Arial" w:cs="Arial" w:eastAsia="Arial" w:hAnsi="Arial"/>
          <w:sz w:val="11"/>
          <w:szCs w:val="11"/>
          <w:color w:val="auto"/>
        </w:rPr>
        <w:t>The following table presents a reconciliation of net income attributable to Parsons Corporation to Adjusted EBITDA. For more information on our use of Adjusted EBITDA, how we use this metric, why we present this metric and the material limitations on usefulness of this metric, see “Note 21—</w:t>
      </w:r>
      <w:r>
        <w:rPr>
          <w:rFonts w:ascii="Arial" w:cs="Arial" w:eastAsia="Arial" w:hAnsi="Arial"/>
          <w:sz w:val="11"/>
          <w:szCs w:val="11"/>
          <w:i w:val="1"/>
          <w:iCs w:val="1"/>
          <w:color w:val="auto"/>
        </w:rPr>
        <w:t>Segments Information</w:t>
      </w:r>
      <w:r>
        <w:rPr>
          <w:rFonts w:ascii="Arial" w:cs="Arial" w:eastAsia="Arial" w:hAnsi="Arial"/>
          <w:sz w:val="11"/>
          <w:szCs w:val="11"/>
          <w:color w:val="auto"/>
        </w:rPr>
        <w:t>” in the “Other Information” table located in “Selected Consolidated Financial Data”.</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5"/>
          <w:szCs w:val="15"/>
          <w:b w:val="1"/>
          <w:bCs w:val="1"/>
          <w:color w:val="auto"/>
        </w:rPr>
        <w:t>PARSONS CORPORATION AND 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Consolidated Financial Statements</w:t>
      </w:r>
    </w:p>
    <w:p>
      <w:pPr>
        <w:jc w:val="center"/>
        <w:spacing w:after="0"/>
        <w:rPr>
          <w:sz w:val="20"/>
          <w:szCs w:val="20"/>
          <w:color w:val="auto"/>
        </w:rPr>
      </w:pPr>
      <w:r>
        <w:rPr>
          <w:rFonts w:ascii="Arial" w:cs="Arial" w:eastAsia="Arial" w:hAnsi="Arial"/>
          <w:sz w:val="15"/>
          <w:szCs w:val="15"/>
          <w:b w:val="1"/>
          <w:bCs w:val="1"/>
          <w:color w:val="auto"/>
        </w:rPr>
        <w:t>December 31, 2020, December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715708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7157085" cy="698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220" w:type="dxa"/>
            <w:vAlign w:val="bottom"/>
          </w:tcPr>
          <w:p>
            <w:pPr>
              <w:spacing w:after="0"/>
              <w:rPr>
                <w:sz w:val="12"/>
                <w:szCs w:val="12"/>
                <w:color w:val="auto"/>
              </w:rPr>
            </w:pP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December 31,</w:t>
            </w:r>
          </w:p>
        </w:tc>
        <w:tc>
          <w:tcPr>
            <w:tcW w:w="80" w:type="dxa"/>
            <w:vAlign w:val="bottom"/>
          </w:tcPr>
          <w:p>
            <w:pPr>
              <w:spacing w:after="0"/>
              <w:rPr>
                <w:sz w:val="12"/>
                <w:szCs w:val="12"/>
                <w:color w:val="auto"/>
              </w:rPr>
            </w:pP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March 31,</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December 31,</w:t>
            </w:r>
          </w:p>
        </w:tc>
        <w:tc>
          <w:tcPr>
            <w:tcW w:w="960" w:type="dxa"/>
            <w:vAlign w:val="bottom"/>
            <w:gridSpan w:val="3"/>
          </w:tcPr>
          <w:p>
            <w:pPr>
              <w:ind w:left="20"/>
              <w:spacing w:after="0"/>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3"/>
        </w:trPr>
        <w:tc>
          <w:tcPr>
            <w:tcW w:w="3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June 30, 2020</w:t>
            </w:r>
          </w:p>
        </w:tc>
        <w:tc>
          <w:tcPr>
            <w:tcW w:w="20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21"/>
              <w:spacing w:after="0"/>
              <w:rPr>
                <w:sz w:val="20"/>
                <w:szCs w:val="20"/>
                <w:color w:val="auto"/>
              </w:rPr>
            </w:pPr>
            <w:r>
              <w:rPr>
                <w:rFonts w:ascii="Arial" w:cs="Arial" w:eastAsia="Arial" w:hAnsi="Arial"/>
                <w:sz w:val="12"/>
                <w:szCs w:val="12"/>
                <w:b w:val="1"/>
                <w:bCs w:val="1"/>
                <w:color w:val="auto"/>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rPr>
                <w:sz w:val="20"/>
                <w:szCs w:val="20"/>
                <w:color w:val="auto"/>
              </w:rPr>
            </w:pPr>
            <w:r>
              <w:rPr>
                <w:rFonts w:ascii="Arial" w:cs="Arial" w:eastAsia="Arial" w:hAnsi="Arial"/>
                <w:sz w:val="12"/>
                <w:szCs w:val="12"/>
                <w:b w:val="1"/>
                <w:bCs w:val="1"/>
                <w:color w:val="auto"/>
              </w:rPr>
              <w:t>2019</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41"/>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7"/>
              </w:rPr>
              <w:t>June 30, 2019</w:t>
            </w:r>
          </w:p>
        </w:tc>
        <w:tc>
          <w:tcPr>
            <w:tcW w:w="200" w:type="dxa"/>
            <w:vAlign w:val="bottom"/>
            <w:tcBorders>
              <w:bottom w:val="single" w:sz="8" w:color="CFF0FC"/>
            </w:tcBorders>
          </w:tcPr>
          <w:p>
            <w:pPr>
              <w:spacing w:after="0"/>
              <w:rPr>
                <w:sz w:val="12"/>
                <w:szCs w:val="12"/>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8"/>
              </w:rPr>
              <w:t>March 31, 2019</w:t>
            </w:r>
          </w:p>
        </w:tc>
        <w:tc>
          <w:tcPr>
            <w:tcW w:w="120" w:type="dxa"/>
            <w:vAlign w:val="bottom"/>
            <w:tcBorders>
              <w:bottom w:val="single" w:sz="8" w:color="CFF0FC"/>
            </w:tcBorders>
          </w:tcPr>
          <w:p>
            <w:pPr>
              <w:spacing w:after="0"/>
              <w:rPr>
                <w:sz w:val="12"/>
                <w:szCs w:val="12"/>
                <w:color w:val="auto"/>
              </w:rPr>
            </w:pPr>
          </w:p>
        </w:tc>
      </w:tr>
      <w:tr>
        <w:trPr>
          <w:trHeight w:val="135"/>
        </w:trPr>
        <w:tc>
          <w:tcPr>
            <w:tcW w:w="322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Net income attributable to Parsons Corporation</w:t>
            </w:r>
          </w:p>
        </w:tc>
        <w:tc>
          <w:tcPr>
            <w:tcW w:w="16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21,611</w:t>
            </w:r>
          </w:p>
        </w:tc>
        <w:tc>
          <w:tcPr>
            <w:tcW w:w="120" w:type="dxa"/>
            <w:vAlign w:val="bottom"/>
            <w:shd w:val="clear" w:color="auto" w:fill="CFF0FC"/>
          </w:tcPr>
          <w:p>
            <w:pPr>
              <w:spacing w:after="0"/>
              <w:rPr>
                <w:sz w:val="11"/>
                <w:szCs w:val="11"/>
                <w:color w:val="auto"/>
              </w:rPr>
            </w:pPr>
          </w:p>
        </w:tc>
        <w:tc>
          <w:tcPr>
            <w:tcW w:w="260" w:type="dxa"/>
            <w:vAlign w:val="bottom"/>
            <w:gridSpan w:val="2"/>
            <w:shd w:val="clear" w:color="auto" w:fill="CFF0FC"/>
          </w:tcPr>
          <w:p>
            <w:pPr>
              <w:ind w:left="80"/>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40,658</w:t>
            </w:r>
          </w:p>
        </w:tc>
        <w:tc>
          <w:tcPr>
            <w:tcW w:w="120" w:type="dxa"/>
            <w:vAlign w:val="bottom"/>
            <w:shd w:val="clear" w:color="auto" w:fill="CFF0FC"/>
          </w:tcPr>
          <w:p>
            <w:pPr>
              <w:spacing w:after="0"/>
              <w:rPr>
                <w:sz w:val="11"/>
                <w:szCs w:val="11"/>
                <w:color w:val="auto"/>
              </w:rPr>
            </w:pPr>
          </w:p>
        </w:tc>
        <w:tc>
          <w:tcPr>
            <w:tcW w:w="320" w:type="dxa"/>
            <w:vAlign w:val="bottom"/>
            <w:gridSpan w:val="2"/>
            <w:shd w:val="clear" w:color="auto" w:fill="CFF0FC"/>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23,299</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12,973</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13,722</w:t>
            </w: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56,812</w:t>
            </w:r>
          </w:p>
        </w:tc>
        <w:tc>
          <w:tcPr>
            <w:tcW w:w="120" w:type="dxa"/>
            <w:vAlign w:val="bottom"/>
            <w:shd w:val="clear" w:color="auto" w:fill="CFF0FC"/>
          </w:tcPr>
          <w:p>
            <w:pPr>
              <w:spacing w:after="0"/>
              <w:rPr>
                <w:sz w:val="11"/>
                <w:szCs w:val="11"/>
                <w:color w:val="auto"/>
              </w:rPr>
            </w:pPr>
          </w:p>
        </w:tc>
        <w:tc>
          <w:tcPr>
            <w:tcW w:w="300" w:type="dxa"/>
            <w:vAlign w:val="bottom"/>
            <w:gridSpan w:val="2"/>
            <w:shd w:val="clear" w:color="auto" w:fill="CFF0FC"/>
          </w:tcPr>
          <w:p>
            <w:pPr>
              <w:ind w:left="80"/>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40,259</w:t>
            </w:r>
          </w:p>
        </w:tc>
        <w:tc>
          <w:tcPr>
            <w:tcW w:w="20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line="136" w:lineRule="exact"/>
              <w:rPr>
                <w:sz w:val="20"/>
                <w:szCs w:val="20"/>
                <w:color w:val="auto"/>
              </w:rPr>
            </w:pPr>
            <w:r>
              <w:rPr>
                <w:rFonts w:ascii="Arial" w:cs="Arial" w:eastAsia="Arial" w:hAnsi="Arial"/>
                <w:sz w:val="12"/>
                <w:szCs w:val="12"/>
                <w:color w:val="auto"/>
              </w:rPr>
              <w:t>$</w:t>
            </w:r>
          </w:p>
        </w:tc>
        <w:tc>
          <w:tcPr>
            <w:tcW w:w="580" w:type="dxa"/>
            <w:vAlign w:val="bottom"/>
            <w:shd w:val="clear" w:color="auto" w:fill="CFF0FC"/>
          </w:tcPr>
          <w:p>
            <w:pPr>
              <w:jc w:val="right"/>
              <w:spacing w:after="0" w:line="136" w:lineRule="exact"/>
              <w:rPr>
                <w:sz w:val="20"/>
                <w:szCs w:val="20"/>
                <w:color w:val="auto"/>
              </w:rPr>
            </w:pPr>
            <w:r>
              <w:rPr>
                <w:rFonts w:ascii="Arial" w:cs="Arial" w:eastAsia="Arial" w:hAnsi="Arial"/>
                <w:sz w:val="12"/>
                <w:szCs w:val="12"/>
                <w:color w:val="auto"/>
              </w:rPr>
              <w:t>9,741</w:t>
            </w:r>
          </w:p>
        </w:tc>
        <w:tc>
          <w:tcPr>
            <w:tcW w:w="120" w:type="dxa"/>
            <w:vAlign w:val="bottom"/>
            <w:shd w:val="clear" w:color="auto" w:fill="CFF0FC"/>
          </w:tcPr>
          <w:p>
            <w:pPr>
              <w:spacing w:after="0"/>
              <w:rPr>
                <w:sz w:val="11"/>
                <w:szCs w:val="11"/>
                <w:color w:val="auto"/>
              </w:rPr>
            </w:pPr>
          </w:p>
        </w:tc>
      </w:tr>
      <w:tr>
        <w:trPr>
          <w:trHeight w:val="144"/>
        </w:trPr>
        <w:tc>
          <w:tcPr>
            <w:tcW w:w="3220" w:type="dxa"/>
            <w:vAlign w:val="bottom"/>
          </w:tcPr>
          <w:p>
            <w:pPr>
              <w:spacing w:after="0"/>
              <w:rPr>
                <w:sz w:val="20"/>
                <w:szCs w:val="20"/>
                <w:color w:val="auto"/>
              </w:rPr>
            </w:pPr>
            <w:r>
              <w:rPr>
                <w:rFonts w:ascii="Arial" w:cs="Arial" w:eastAsia="Arial" w:hAnsi="Arial"/>
                <w:sz w:val="12"/>
                <w:szCs w:val="12"/>
                <w:color w:val="auto"/>
              </w:rPr>
              <w:t>Interest expense, net</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5,387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3,963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3,794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3,981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6,151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7,815</w:t>
            </w:r>
          </w:p>
        </w:tc>
        <w:tc>
          <w:tcPr>
            <w:tcW w:w="120" w:type="dxa"/>
            <w:vAlign w:val="bottom"/>
          </w:tcPr>
          <w:p>
            <w:pPr>
              <w:spacing w:after="0"/>
              <w:rPr>
                <w:sz w:val="12"/>
                <w:szCs w:val="12"/>
                <w:color w:val="auto"/>
              </w:rPr>
            </w:pPr>
          </w:p>
        </w:tc>
      </w:tr>
      <w:tr>
        <w:trPr>
          <w:trHeight w:val="144"/>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Income tax expense (benefit)</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9,500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16,017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11,891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5,084</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(2,823)</w:t>
            </w: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(15,453)</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(53,496)</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1,886</w:t>
            </w:r>
          </w:p>
        </w:tc>
        <w:tc>
          <w:tcPr>
            <w:tcW w:w="120" w:type="dxa"/>
            <w:vAlign w:val="bottom"/>
            <w:shd w:val="clear" w:color="auto" w:fill="CFF0FC"/>
          </w:tcPr>
          <w:p>
            <w:pPr>
              <w:spacing w:after="0"/>
              <w:rPr>
                <w:sz w:val="12"/>
                <w:szCs w:val="12"/>
                <w:color w:val="auto"/>
              </w:rPr>
            </w:pPr>
          </w:p>
        </w:tc>
      </w:tr>
      <w:tr>
        <w:trPr>
          <w:trHeight w:val="144"/>
        </w:trPr>
        <w:tc>
          <w:tcPr>
            <w:tcW w:w="322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32,538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30,952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32,081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32,409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33,008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31,027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31,074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30,591</w:t>
            </w:r>
          </w:p>
        </w:tc>
        <w:tc>
          <w:tcPr>
            <w:tcW w:w="120" w:type="dxa"/>
            <w:vAlign w:val="bottom"/>
          </w:tcPr>
          <w:p>
            <w:pPr>
              <w:spacing w:after="0"/>
              <w:rPr>
                <w:sz w:val="12"/>
                <w:szCs w:val="12"/>
                <w:color w:val="auto"/>
              </w:rPr>
            </w:pPr>
          </w:p>
        </w:tc>
      </w:tr>
      <w:tr>
        <w:trPr>
          <w:trHeight w:val="144"/>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Net income attributable to noncontrolling interests</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5,294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5,862</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7,826</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1,398</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8,582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4,481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(114)</w:t>
            </w: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3,645</w:t>
            </w:r>
          </w:p>
        </w:tc>
        <w:tc>
          <w:tcPr>
            <w:tcW w:w="120" w:type="dxa"/>
            <w:vAlign w:val="bottom"/>
            <w:shd w:val="clear" w:color="auto" w:fill="CFF0FC"/>
          </w:tcPr>
          <w:p>
            <w:pPr>
              <w:spacing w:after="0"/>
              <w:rPr>
                <w:sz w:val="12"/>
                <w:szCs w:val="12"/>
                <w:color w:val="auto"/>
              </w:rPr>
            </w:pPr>
          </w:p>
        </w:tc>
      </w:tr>
      <w:tr>
        <w:trPr>
          <w:trHeight w:val="144"/>
        </w:trPr>
        <w:tc>
          <w:tcPr>
            <w:tcW w:w="3220" w:type="dxa"/>
            <w:vAlign w:val="bottom"/>
          </w:tcPr>
          <w:p>
            <w:pPr>
              <w:spacing w:after="0"/>
              <w:rPr>
                <w:sz w:val="20"/>
                <w:szCs w:val="20"/>
                <w:color w:val="auto"/>
              </w:rPr>
            </w:pPr>
            <w:r>
              <w:rPr>
                <w:rFonts w:ascii="Arial" w:cs="Arial" w:eastAsia="Arial" w:hAnsi="Arial"/>
                <w:sz w:val="12"/>
                <w:szCs w:val="12"/>
                <w:color w:val="auto"/>
              </w:rPr>
              <w:t>Stock-based compensation (a)</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5,643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(991)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(7,721)</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20,240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(1,657)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43,311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3,850</w:t>
            </w:r>
          </w:p>
        </w:tc>
        <w:tc>
          <w:tcPr>
            <w:tcW w:w="120" w:type="dxa"/>
            <w:vAlign w:val="bottom"/>
          </w:tcPr>
          <w:p>
            <w:pPr>
              <w:spacing w:after="0"/>
              <w:rPr>
                <w:sz w:val="12"/>
                <w:szCs w:val="12"/>
                <w:color w:val="auto"/>
              </w:rPr>
            </w:pPr>
          </w:p>
        </w:tc>
      </w:tr>
      <w:tr>
        <w:trPr>
          <w:trHeight w:val="144"/>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Transaction related costs (b)</w:t>
            </w: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7,985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2,411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2"/>
                <w:szCs w:val="12"/>
                <w:color w:val="auto"/>
              </w:rPr>
              <w:t>(2,485)</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12,011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7,392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9,891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7,715</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9,355</w:t>
            </w:r>
          </w:p>
        </w:tc>
        <w:tc>
          <w:tcPr>
            <w:tcW w:w="120" w:type="dxa"/>
            <w:vAlign w:val="bottom"/>
            <w:shd w:val="clear" w:color="auto" w:fill="CFF0FC"/>
          </w:tcPr>
          <w:p>
            <w:pPr>
              <w:spacing w:after="0"/>
              <w:rPr>
                <w:sz w:val="12"/>
                <w:szCs w:val="12"/>
                <w:color w:val="auto"/>
              </w:rPr>
            </w:pPr>
          </w:p>
        </w:tc>
      </w:tr>
      <w:tr>
        <w:trPr>
          <w:trHeight w:val="144"/>
        </w:trPr>
        <w:tc>
          <w:tcPr>
            <w:tcW w:w="3220" w:type="dxa"/>
            <w:vAlign w:val="bottom"/>
          </w:tcPr>
          <w:p>
            <w:pPr>
              <w:spacing w:after="0"/>
              <w:rPr>
                <w:sz w:val="20"/>
                <w:szCs w:val="20"/>
                <w:color w:val="auto"/>
              </w:rPr>
            </w:pPr>
            <w:r>
              <w:rPr>
                <w:rFonts w:ascii="Arial" w:cs="Arial" w:eastAsia="Arial" w:hAnsi="Arial"/>
                <w:sz w:val="12"/>
                <w:szCs w:val="12"/>
                <w:color w:val="auto"/>
              </w:rPr>
              <w:t>Restructuring (c)</w:t>
            </w:r>
          </w:p>
        </w:tc>
        <w:tc>
          <w:tcPr>
            <w:tcW w:w="1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1,143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(33)</w:t>
            </w: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2,218</w:t>
            </w:r>
          </w:p>
        </w:tc>
        <w:tc>
          <w:tcPr>
            <w:tcW w:w="120" w:type="dxa"/>
            <w:vAlign w:val="bottom"/>
          </w:tcPr>
          <w:p>
            <w:pPr>
              <w:spacing w:after="0"/>
              <w:rPr>
                <w:sz w:val="12"/>
                <w:szCs w:val="12"/>
                <w:color w:val="auto"/>
              </w:rPr>
            </w:pPr>
          </w:p>
        </w:tc>
      </w:tr>
      <w:tr>
        <w:trPr>
          <w:trHeight w:val="144"/>
        </w:trPr>
        <w:tc>
          <w:tcPr>
            <w:tcW w:w="3220" w:type="dxa"/>
            <w:vAlign w:val="bottom"/>
            <w:shd w:val="clear" w:color="auto" w:fill="CFF0FC"/>
          </w:tcPr>
          <w:p>
            <w:pPr>
              <w:spacing w:after="0"/>
              <w:rPr>
                <w:sz w:val="20"/>
                <w:szCs w:val="20"/>
                <w:color w:val="auto"/>
              </w:rPr>
            </w:pPr>
            <w:r>
              <w:rPr>
                <w:rFonts w:ascii="Arial" w:cs="Arial" w:eastAsia="Arial" w:hAnsi="Arial"/>
                <w:sz w:val="12"/>
                <w:szCs w:val="12"/>
                <w:color w:val="auto"/>
              </w:rPr>
              <w:t>Other (d)</w:t>
            </w: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(151)</w:t>
            </w: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589</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581</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3,182</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2"/>
                <w:szCs w:val="12"/>
                <w:color w:val="auto"/>
              </w:rPr>
              <w:t>(902)</w:t>
            </w:r>
          </w:p>
        </w:tc>
        <w:tc>
          <w:tcPr>
            <w:tcW w:w="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952</w:t>
            </w:r>
          </w:p>
        </w:tc>
        <w:tc>
          <w:tcPr>
            <w:tcW w:w="20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2,923</w:t>
            </w:r>
          </w:p>
        </w:tc>
        <w:tc>
          <w:tcPr>
            <w:tcW w:w="120" w:type="dxa"/>
            <w:vAlign w:val="bottom"/>
            <w:shd w:val="clear" w:color="auto" w:fill="CFF0FC"/>
          </w:tcPr>
          <w:p>
            <w:pPr>
              <w:spacing w:after="0"/>
              <w:rPr>
                <w:sz w:val="12"/>
                <w:szCs w:val="12"/>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3220" w:type="dxa"/>
            <w:vAlign w:val="bottom"/>
          </w:tcPr>
          <w:p>
            <w:pPr>
              <w:spacing w:after="0" w:line="136" w:lineRule="exact"/>
              <w:rPr>
                <w:sz w:val="20"/>
                <w:szCs w:val="20"/>
                <w:color w:val="auto"/>
              </w:rPr>
            </w:pPr>
            <w:r>
              <w:rPr>
                <w:rFonts w:ascii="Arial" w:cs="Arial" w:eastAsia="Arial" w:hAnsi="Arial"/>
                <w:sz w:val="12"/>
                <w:szCs w:val="12"/>
                <w:color w:val="auto"/>
              </w:rPr>
              <w:t>Adjusted EBITDA</w:t>
            </w:r>
          </w:p>
        </w:tc>
        <w:tc>
          <w:tcPr>
            <w:tcW w:w="16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90,163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100,801</w:t>
            </w:r>
          </w:p>
        </w:tc>
        <w:tc>
          <w:tcPr>
            <w:tcW w:w="120" w:type="dxa"/>
            <w:vAlign w:val="bottom"/>
          </w:tcPr>
          <w:p>
            <w:pPr>
              <w:spacing w:after="0"/>
              <w:rPr>
                <w:sz w:val="11"/>
                <w:szCs w:val="11"/>
                <w:color w:val="auto"/>
              </w:rPr>
            </w:pPr>
          </w:p>
        </w:tc>
        <w:tc>
          <w:tcPr>
            <w:tcW w:w="32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t>
            </w:r>
          </w:p>
        </w:tc>
        <w:tc>
          <w:tcPr>
            <w:tcW w:w="560" w:type="dxa"/>
            <w:vAlign w:val="bottom"/>
          </w:tcPr>
          <w:p>
            <w:pPr>
              <w:jc w:val="right"/>
              <w:spacing w:after="0" w:line="136" w:lineRule="exact"/>
              <w:rPr>
                <w:sz w:val="20"/>
                <w:szCs w:val="20"/>
                <w:color w:val="auto"/>
              </w:rPr>
            </w:pPr>
            <w:r>
              <w:rPr>
                <w:rFonts w:ascii="Arial" w:cs="Arial" w:eastAsia="Arial" w:hAnsi="Arial"/>
                <w:sz w:val="12"/>
                <w:szCs w:val="12"/>
                <w:color w:val="auto"/>
              </w:rPr>
              <w:t>91,161</w:t>
            </w:r>
          </w:p>
        </w:tc>
        <w:tc>
          <w:tcPr>
            <w:tcW w:w="2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tcPr>
          <w:p>
            <w:pPr>
              <w:jc w:val="right"/>
              <w:spacing w:after="0" w:line="136" w:lineRule="exact"/>
              <w:rPr>
                <w:sz w:val="20"/>
                <w:szCs w:val="20"/>
                <w:color w:val="auto"/>
              </w:rPr>
            </w:pPr>
            <w:r>
              <w:rPr>
                <w:rFonts w:ascii="Arial" w:cs="Arial" w:eastAsia="Arial" w:hAnsi="Arial"/>
                <w:sz w:val="12"/>
                <w:szCs w:val="12"/>
                <w:color w:val="auto"/>
              </w:rPr>
              <w:t>60,496</w:t>
            </w:r>
          </w:p>
        </w:tc>
        <w:tc>
          <w:tcPr>
            <w:tcW w:w="200" w:type="dxa"/>
            <w:vAlign w:val="bottom"/>
          </w:tcPr>
          <w:p>
            <w:pPr>
              <w:spacing w:after="0"/>
              <w:rPr>
                <w:sz w:val="11"/>
                <w:szCs w:val="11"/>
                <w:color w:val="auto"/>
              </w:rPr>
            </w:pPr>
          </w:p>
        </w:tc>
        <w:tc>
          <w:tcPr>
            <w:tcW w:w="18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20" w:type="dxa"/>
            <w:vAlign w:val="bottom"/>
          </w:tcPr>
          <w:p>
            <w:pPr>
              <w:jc w:val="right"/>
              <w:spacing w:after="0" w:line="136" w:lineRule="exact"/>
              <w:rPr>
                <w:sz w:val="20"/>
                <w:szCs w:val="20"/>
                <w:color w:val="auto"/>
              </w:rPr>
            </w:pPr>
            <w:r>
              <w:rPr>
                <w:rFonts w:ascii="Arial" w:cs="Arial" w:eastAsia="Arial" w:hAnsi="Arial"/>
                <w:sz w:val="12"/>
                <w:szCs w:val="12"/>
                <w:color w:val="auto"/>
              </w:rPr>
              <w:t>87,828</w:t>
            </w:r>
          </w:p>
        </w:tc>
        <w:tc>
          <w:tcPr>
            <w:tcW w:w="200" w:type="dxa"/>
            <w:vAlign w:val="bottom"/>
          </w:tcPr>
          <w:p>
            <w:pPr>
              <w:spacing w:after="0"/>
              <w:rPr>
                <w:sz w:val="11"/>
                <w:szCs w:val="11"/>
                <w:color w:val="auto"/>
              </w:rPr>
            </w:pPr>
          </w:p>
        </w:tc>
        <w:tc>
          <w:tcPr>
            <w:tcW w:w="18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6" w:lineRule="exact"/>
              <w:rPr>
                <w:sz w:val="20"/>
                <w:szCs w:val="20"/>
                <w:color w:val="auto"/>
              </w:rPr>
            </w:pPr>
            <w:r>
              <w:rPr>
                <w:rFonts w:ascii="Arial" w:cs="Arial" w:eastAsia="Arial" w:hAnsi="Arial"/>
                <w:sz w:val="12"/>
                <w:szCs w:val="12"/>
                <w:color w:val="auto"/>
              </w:rPr>
              <w:t>88,990</w:t>
            </w:r>
          </w:p>
        </w:tc>
        <w:tc>
          <w:tcPr>
            <w:tcW w:w="120" w:type="dxa"/>
            <w:vAlign w:val="bottom"/>
          </w:tcPr>
          <w:p>
            <w:pPr>
              <w:spacing w:after="0"/>
              <w:rPr>
                <w:sz w:val="11"/>
                <w:szCs w:val="11"/>
                <w:color w:val="auto"/>
              </w:rPr>
            </w:pPr>
          </w:p>
        </w:tc>
        <w:tc>
          <w:tcPr>
            <w:tcW w:w="300" w:type="dxa"/>
            <w:vAlign w:val="bottom"/>
            <w:gridSpan w:val="2"/>
          </w:tcPr>
          <w:p>
            <w:pPr>
              <w:ind w:left="80"/>
              <w:spacing w:after="0" w:line="136"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76,205</w:t>
            </w:r>
          </w:p>
        </w:tc>
        <w:tc>
          <w:tcPr>
            <w:tcW w:w="200" w:type="dxa"/>
            <w:vAlign w:val="bottom"/>
          </w:tcPr>
          <w:p>
            <w:pPr>
              <w:spacing w:after="0"/>
              <w:rPr>
                <w:sz w:val="11"/>
                <w:szCs w:val="11"/>
                <w:color w:val="auto"/>
              </w:rPr>
            </w:pPr>
          </w:p>
        </w:tc>
        <w:tc>
          <w:tcPr>
            <w:tcW w:w="280" w:type="dxa"/>
            <w:vAlign w:val="bottom"/>
          </w:tcPr>
          <w:p>
            <w:pPr>
              <w:spacing w:after="0" w:line="136" w:lineRule="exact"/>
              <w:rPr>
                <w:sz w:val="20"/>
                <w:szCs w:val="20"/>
                <w:color w:val="auto"/>
              </w:rPr>
            </w:pPr>
            <w:r>
              <w:rPr>
                <w:rFonts w:ascii="Arial" w:cs="Arial" w:eastAsia="Arial" w:hAnsi="Arial"/>
                <w:sz w:val="12"/>
                <w:szCs w:val="12"/>
                <w:color w:val="auto"/>
              </w:rPr>
              <w:t>$</w:t>
            </w:r>
          </w:p>
        </w:tc>
        <w:tc>
          <w:tcPr>
            <w:tcW w:w="580" w:type="dxa"/>
            <w:vAlign w:val="bottom"/>
          </w:tcPr>
          <w:p>
            <w:pPr>
              <w:jc w:val="right"/>
              <w:spacing w:after="0" w:line="136" w:lineRule="exact"/>
              <w:rPr>
                <w:sz w:val="20"/>
                <w:szCs w:val="20"/>
                <w:color w:val="auto"/>
              </w:rPr>
            </w:pPr>
            <w:r>
              <w:rPr>
                <w:rFonts w:ascii="Arial" w:cs="Arial" w:eastAsia="Arial" w:hAnsi="Arial"/>
                <w:sz w:val="12"/>
                <w:szCs w:val="12"/>
                <w:color w:val="auto"/>
              </w:rPr>
              <w:t>72,024</w:t>
            </w:r>
          </w:p>
        </w:tc>
        <w:tc>
          <w:tcPr>
            <w:tcW w:w="120" w:type="dxa"/>
            <w:vAlign w:val="bottom"/>
          </w:tcPr>
          <w:p>
            <w:pPr>
              <w:spacing w:after="0"/>
              <w:rPr>
                <w:sz w:val="11"/>
                <w:szCs w:val="11"/>
                <w:color w:val="auto"/>
              </w:rPr>
            </w:pPr>
          </w:p>
        </w:tc>
      </w:tr>
      <w:tr>
        <w:trPr>
          <w:trHeight w:val="20"/>
        </w:trPr>
        <w:tc>
          <w:tcPr>
            <w:tcW w:w="3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3" w:lineRule="exact"/>
        <w:rPr>
          <w:sz w:val="20"/>
          <w:szCs w:val="20"/>
          <w:color w:val="auto"/>
        </w:rPr>
      </w:pPr>
    </w:p>
    <w:p>
      <w:pPr>
        <w:ind w:left="440" w:right="180" w:hanging="431"/>
        <w:spacing w:after="0" w:line="231" w:lineRule="auto"/>
        <w:tabs>
          <w:tab w:leader="none" w:pos="4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Reflects equity-based compensation costs primarily related to cash-settled awards. See “Management’s Discussion and Analysis of Financial Condition and Results of Operations” in this Annual Report on Form 10-K for a further discussion of these awards.</w:t>
      </w:r>
    </w:p>
    <w:p>
      <w:pPr>
        <w:ind w:left="440" w:hanging="431"/>
        <w:spacing w:after="0" w:line="231" w:lineRule="auto"/>
        <w:tabs>
          <w:tab w:leader="none" w:pos="4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Reflects costs incurred in connection with acquisitions and other non-recurring transaction costs, including primarily fees paid for professional services and employee retention.</w:t>
      </w:r>
    </w:p>
    <w:p>
      <w:pPr>
        <w:ind w:left="440" w:hanging="431"/>
        <w:spacing w:after="0" w:line="231" w:lineRule="auto"/>
        <w:tabs>
          <w:tab w:leader="none" w:pos="4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Reflects costs associated with and related to our corporate restructuring initiatives.</w:t>
      </w:r>
    </w:p>
    <w:p>
      <w:pPr>
        <w:ind w:left="440" w:hanging="431"/>
        <w:spacing w:after="0"/>
        <w:tabs>
          <w:tab w:leader="none" w:pos="440" w:val="left"/>
        </w:tabs>
        <w:numPr>
          <w:ilvl w:val="0"/>
          <w:numId w:val="74"/>
        </w:numPr>
        <w:rPr>
          <w:rFonts w:ascii="Arial" w:cs="Arial" w:eastAsia="Arial" w:hAnsi="Arial"/>
          <w:sz w:val="12"/>
          <w:szCs w:val="12"/>
          <w:color w:val="auto"/>
        </w:rPr>
      </w:pPr>
      <w:r>
        <w:rPr>
          <w:rFonts w:ascii="Arial" w:cs="Arial" w:eastAsia="Arial" w:hAnsi="Arial"/>
          <w:sz w:val="12"/>
          <w:szCs w:val="12"/>
          <w:color w:val="auto"/>
        </w:rPr>
        <w:t>Includes a combination of gain/loss related to sale of fixed assets, software implementation costs, and other individually insignificant items that are non-recurring in nature.</w:t>
      </w:r>
    </w:p>
    <w:p>
      <w:pPr>
        <w:spacing w:after="0" w:line="200" w:lineRule="exact"/>
        <w:rPr>
          <w:sz w:val="20"/>
          <w:szCs w:val="20"/>
          <w:color w:val="auto"/>
        </w:rPr>
      </w:pPr>
    </w:p>
    <w:p>
      <w:pPr>
        <w:spacing w:after="0" w:line="304" w:lineRule="exact"/>
        <w:rPr>
          <w:sz w:val="20"/>
          <w:szCs w:val="20"/>
          <w:color w:val="auto"/>
        </w:rPr>
      </w:pPr>
    </w:p>
    <w:p>
      <w:pPr>
        <w:ind w:left="600" w:right="9320" w:hanging="591"/>
        <w:spacing w:after="0" w:line="386" w:lineRule="auto"/>
        <w:tabs>
          <w:tab w:leader="none" w:pos="597"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color w:val="auto"/>
        </w:rPr>
        <w:t>None.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52705</wp:posOffset>
            </wp:positionV>
            <wp:extent cx="7157085" cy="139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715708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50" w:name="page151"/>
    <w:bookmarkEnd w:id="150"/>
    <w:p>
      <w:pPr>
        <w:ind w:left="3980"/>
        <w:spacing w:after="0"/>
        <w:rPr>
          <w:sz w:val="20"/>
          <w:szCs w:val="20"/>
          <w:color w:val="auto"/>
        </w:rPr>
      </w:pPr>
      <w:r>
        <w:rPr>
          <w:rFonts w:ascii="Arial" w:cs="Arial" w:eastAsia="Arial" w:hAnsi="Arial"/>
          <w:sz w:val="15"/>
          <w:szCs w:val="15"/>
          <w:b w:val="1"/>
          <w:bCs w:val="1"/>
          <w:color w:val="auto"/>
        </w:rPr>
        <w:t>PARSONS CORPORATION AND SUBSIDIARIES</w:t>
      </w:r>
    </w:p>
    <w:p>
      <w:pPr>
        <w:spacing w:after="0" w:line="12" w:lineRule="exact"/>
        <w:rPr>
          <w:sz w:val="20"/>
          <w:szCs w:val="20"/>
          <w:color w:val="auto"/>
        </w:rPr>
      </w:pPr>
    </w:p>
    <w:p>
      <w:pPr>
        <w:ind w:left="3960"/>
        <w:spacing w:after="0"/>
        <w:rPr>
          <w:sz w:val="20"/>
          <w:szCs w:val="20"/>
          <w:color w:val="auto"/>
        </w:rPr>
      </w:pPr>
      <w:r>
        <w:rPr>
          <w:rFonts w:ascii="Arial" w:cs="Arial" w:eastAsia="Arial" w:hAnsi="Arial"/>
          <w:sz w:val="15"/>
          <w:szCs w:val="15"/>
          <w:b w:val="1"/>
          <w:bCs w:val="1"/>
          <w:color w:val="auto"/>
        </w:rPr>
        <w:t>Schedule II—Valuation and Qualifying Accounts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Balance at</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3"/>
        </w:trPr>
        <w:tc>
          <w:tcPr>
            <w:tcW w:w="4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40"/>
              <w:spacing w:after="0" w:line="133" w:lineRule="exact"/>
              <w:rPr>
                <w:sz w:val="20"/>
                <w:szCs w:val="20"/>
                <w:color w:val="auto"/>
              </w:rPr>
            </w:pPr>
            <w:r>
              <w:rPr>
                <w:rFonts w:ascii="Arial" w:cs="Arial" w:eastAsia="Arial" w:hAnsi="Arial"/>
                <w:sz w:val="12"/>
                <w:szCs w:val="12"/>
                <w:b w:val="1"/>
                <w:bCs w:val="1"/>
                <w:color w:val="auto"/>
                <w:w w:val="97"/>
              </w:rPr>
              <w:t>beginning</w:t>
            </w: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jc w:val="right"/>
              <w:ind w:right="300"/>
              <w:spacing w:after="0" w:line="133" w:lineRule="exact"/>
              <w:rPr>
                <w:sz w:val="20"/>
                <w:szCs w:val="20"/>
                <w:color w:val="auto"/>
              </w:rPr>
            </w:pPr>
            <w:r>
              <w:rPr>
                <w:rFonts w:ascii="Arial" w:cs="Arial" w:eastAsia="Arial" w:hAnsi="Arial"/>
                <w:sz w:val="12"/>
                <w:szCs w:val="12"/>
                <w:b w:val="1"/>
                <w:bCs w:val="1"/>
                <w:color w:val="auto"/>
                <w:w w:val="99"/>
              </w:rPr>
              <w:t>Other and foreign</w:t>
            </w:r>
          </w:p>
        </w:tc>
        <w:tc>
          <w:tcPr>
            <w:tcW w:w="1220" w:type="dxa"/>
            <w:vAlign w:val="bottom"/>
            <w:gridSpan w:val="2"/>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Balance at</w:t>
            </w:r>
          </w:p>
        </w:tc>
      </w:tr>
      <w:tr>
        <w:trPr>
          <w:trHeight w:val="143"/>
        </w:trPr>
        <w:tc>
          <w:tcPr>
            <w:tcW w:w="4780" w:type="dxa"/>
            <w:vAlign w:val="bottom"/>
            <w:gridSpan w:val="2"/>
          </w:tcPr>
          <w:p>
            <w:pPr>
              <w:spacing w:after="0"/>
              <w:rPr>
                <w:sz w:val="20"/>
                <w:szCs w:val="20"/>
                <w:color w:val="auto"/>
              </w:rPr>
            </w:pPr>
            <w:r>
              <w:rPr>
                <w:rFonts w:ascii="Arial" w:cs="Arial" w:eastAsia="Arial" w:hAnsi="Arial"/>
                <w:sz w:val="12"/>
                <w:szCs w:val="12"/>
                <w:b w:val="1"/>
                <w:bCs w:val="1"/>
                <w:color w:val="auto"/>
              </w:rPr>
              <w:t>Description</w:t>
            </w:r>
          </w:p>
        </w:tc>
        <w:tc>
          <w:tcPr>
            <w:tcW w:w="13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of period</w:t>
            </w:r>
          </w:p>
        </w:tc>
        <w:tc>
          <w:tcPr>
            <w:tcW w:w="1320" w:type="dxa"/>
            <w:vAlign w:val="bottom"/>
            <w:gridSpan w:val="2"/>
          </w:tcPr>
          <w:p>
            <w:pPr>
              <w:ind w:left="260"/>
              <w:spacing w:after="0"/>
              <w:rPr>
                <w:sz w:val="20"/>
                <w:szCs w:val="20"/>
                <w:color w:val="auto"/>
              </w:rPr>
            </w:pPr>
            <w:r>
              <w:rPr>
                <w:rFonts w:ascii="Arial" w:cs="Arial" w:eastAsia="Arial" w:hAnsi="Arial"/>
                <w:sz w:val="12"/>
                <w:szCs w:val="12"/>
                <w:b w:val="1"/>
                <w:bCs w:val="1"/>
                <w:color w:val="auto"/>
              </w:rPr>
              <w:t>Additions</w:t>
            </w:r>
          </w:p>
        </w:tc>
        <w:tc>
          <w:tcPr>
            <w:tcW w:w="13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Deductions</w:t>
            </w:r>
          </w:p>
        </w:tc>
        <w:tc>
          <w:tcPr>
            <w:tcW w:w="132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exchange impact</w:t>
            </w:r>
          </w:p>
        </w:tc>
        <w:tc>
          <w:tcPr>
            <w:tcW w:w="12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end of period</w:t>
            </w:r>
          </w:p>
        </w:tc>
      </w:tr>
      <w:tr>
        <w:trPr>
          <w:trHeight w:val="168"/>
        </w:trPr>
        <w:tc>
          <w:tcPr>
            <w:tcW w:w="4660" w:type="dxa"/>
            <w:vAlign w:val="bottom"/>
            <w:tcBorders>
              <w:top w:val="single" w:sz="8" w:color="auto"/>
            </w:tcBorders>
            <w:shd w:val="clear" w:color="auto" w:fill="CFF0FC"/>
          </w:tcPr>
          <w:p>
            <w:pPr>
              <w:spacing w:after="0" w:line="169" w:lineRule="exact"/>
              <w:rPr>
                <w:sz w:val="20"/>
                <w:szCs w:val="20"/>
                <w:color w:val="auto"/>
              </w:rPr>
            </w:pPr>
            <w:r>
              <w:rPr>
                <w:rFonts w:ascii="Arial" w:cs="Arial" w:eastAsia="Arial" w:hAnsi="Arial"/>
                <w:sz w:val="15"/>
                <w:szCs w:val="15"/>
                <w:color w:val="auto"/>
              </w:rPr>
              <w:t>2020</w:t>
            </w:r>
          </w:p>
        </w:tc>
        <w:tc>
          <w:tcPr>
            <w:tcW w:w="12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r>
      <w:tr>
        <w:trPr>
          <w:trHeight w:val="177"/>
        </w:trPr>
        <w:tc>
          <w:tcPr>
            <w:tcW w:w="4780" w:type="dxa"/>
            <w:vAlign w:val="bottom"/>
            <w:gridSpan w:val="2"/>
          </w:tcPr>
          <w:p>
            <w:pPr>
              <w:spacing w:after="0"/>
              <w:rPr>
                <w:sz w:val="20"/>
                <w:szCs w:val="20"/>
                <w:color w:val="auto"/>
              </w:rPr>
            </w:pPr>
            <w:r>
              <w:rPr>
                <w:rFonts w:ascii="Arial" w:cs="Arial" w:eastAsia="Arial" w:hAnsi="Arial"/>
                <w:sz w:val="15"/>
                <w:szCs w:val="15"/>
                <w:color w:val="auto"/>
              </w:rPr>
              <w:t>Allowance for doubtful accounts</w:t>
            </w:r>
          </w:p>
        </w:tc>
        <w:tc>
          <w:tcPr>
            <w:tcW w:w="1080" w:type="dxa"/>
            <w:vAlign w:val="bottom"/>
          </w:tcPr>
          <w:p>
            <w:pPr>
              <w:jc w:val="right"/>
              <w:spacing w:after="0"/>
              <w:rPr>
                <w:sz w:val="20"/>
                <w:szCs w:val="20"/>
                <w:color w:val="auto"/>
              </w:rPr>
            </w:pPr>
            <w:r>
              <w:rPr>
                <w:rFonts w:ascii="Arial" w:cs="Arial" w:eastAsia="Arial" w:hAnsi="Arial"/>
                <w:sz w:val="15"/>
                <w:szCs w:val="15"/>
                <w:color w:val="auto"/>
              </w:rPr>
              <w:t>5,497</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1,201</w:t>
            </w:r>
          </w:p>
        </w:tc>
        <w:tc>
          <w:tcPr>
            <w:tcW w:w="2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(2,697)</w:t>
            </w: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4,001</w:t>
            </w:r>
          </w:p>
        </w:tc>
        <w:tc>
          <w:tcPr>
            <w:tcW w:w="120" w:type="dxa"/>
            <w:vAlign w:val="bottom"/>
          </w:tcPr>
          <w:p>
            <w:pPr>
              <w:spacing w:after="0"/>
              <w:rPr>
                <w:sz w:val="15"/>
                <w:szCs w:val="15"/>
                <w:color w:val="auto"/>
              </w:rPr>
            </w:pPr>
          </w:p>
        </w:tc>
      </w:tr>
      <w:tr>
        <w:trPr>
          <w:trHeight w:val="177"/>
        </w:trPr>
        <w:tc>
          <w:tcPr>
            <w:tcW w:w="47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Valuation allowance on deferred tax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17,359</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7,655</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(596)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(540)</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23,878</w:t>
            </w:r>
          </w:p>
        </w:tc>
        <w:tc>
          <w:tcPr>
            <w:tcW w:w="120" w:type="dxa"/>
            <w:vAlign w:val="bottom"/>
            <w:shd w:val="clear" w:color="auto" w:fill="CFF0FC"/>
          </w:tcPr>
          <w:p>
            <w:pPr>
              <w:spacing w:after="0"/>
              <w:rPr>
                <w:sz w:val="15"/>
                <w:szCs w:val="15"/>
                <w:color w:val="auto"/>
              </w:rPr>
            </w:pPr>
          </w:p>
        </w:tc>
      </w:tr>
      <w:tr>
        <w:trPr>
          <w:trHeight w:val="177"/>
        </w:trPr>
        <w:tc>
          <w:tcPr>
            <w:tcW w:w="4660" w:type="dxa"/>
            <w:vAlign w:val="bottom"/>
          </w:tcPr>
          <w:p>
            <w:pPr>
              <w:spacing w:after="0"/>
              <w:rPr>
                <w:sz w:val="20"/>
                <w:szCs w:val="20"/>
                <w:color w:val="auto"/>
              </w:rPr>
            </w:pPr>
            <w:r>
              <w:rPr>
                <w:rFonts w:ascii="Arial" w:cs="Arial" w:eastAsia="Arial" w:hAnsi="Arial"/>
                <w:sz w:val="15"/>
                <w:szCs w:val="15"/>
                <w:color w:val="auto"/>
              </w:rPr>
              <w:t>2019</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7"/>
        </w:trPr>
        <w:tc>
          <w:tcPr>
            <w:tcW w:w="47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Allowance for doubtful accounts (1)</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4,722</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775</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5,497</w:t>
            </w:r>
          </w:p>
        </w:tc>
        <w:tc>
          <w:tcPr>
            <w:tcW w:w="120" w:type="dxa"/>
            <w:vAlign w:val="bottom"/>
            <w:shd w:val="clear" w:color="auto" w:fill="CFF0FC"/>
          </w:tcPr>
          <w:p>
            <w:pPr>
              <w:spacing w:after="0"/>
              <w:rPr>
                <w:sz w:val="15"/>
                <w:szCs w:val="15"/>
                <w:color w:val="auto"/>
              </w:rPr>
            </w:pPr>
          </w:p>
        </w:tc>
      </w:tr>
      <w:tr>
        <w:trPr>
          <w:trHeight w:val="177"/>
        </w:trPr>
        <w:tc>
          <w:tcPr>
            <w:tcW w:w="4780" w:type="dxa"/>
            <w:vAlign w:val="bottom"/>
            <w:gridSpan w:val="2"/>
          </w:tcPr>
          <w:p>
            <w:pPr>
              <w:spacing w:after="0"/>
              <w:rPr>
                <w:sz w:val="20"/>
                <w:szCs w:val="20"/>
                <w:color w:val="auto"/>
              </w:rPr>
            </w:pPr>
            <w:r>
              <w:rPr>
                <w:rFonts w:ascii="Arial" w:cs="Arial" w:eastAsia="Arial" w:hAnsi="Arial"/>
                <w:sz w:val="15"/>
                <w:szCs w:val="15"/>
                <w:color w:val="auto"/>
              </w:rPr>
              <w:t>Valuation allowance on deferred tax assets</w:t>
            </w:r>
          </w:p>
        </w:tc>
        <w:tc>
          <w:tcPr>
            <w:tcW w:w="1080" w:type="dxa"/>
            <w:vAlign w:val="bottom"/>
          </w:tcPr>
          <w:p>
            <w:pPr>
              <w:jc w:val="right"/>
              <w:spacing w:after="0"/>
              <w:rPr>
                <w:sz w:val="20"/>
                <w:szCs w:val="20"/>
                <w:color w:val="auto"/>
              </w:rPr>
            </w:pPr>
            <w:r>
              <w:rPr>
                <w:rFonts w:ascii="Arial" w:cs="Arial" w:eastAsia="Arial" w:hAnsi="Arial"/>
                <w:sz w:val="15"/>
                <w:szCs w:val="15"/>
                <w:color w:val="auto"/>
              </w:rPr>
              <w:t>6,668</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10,817</w:t>
            </w:r>
          </w:p>
        </w:tc>
        <w:tc>
          <w:tcPr>
            <w:tcW w:w="240" w:type="dxa"/>
            <w:vAlign w:val="bottom"/>
          </w:tcPr>
          <w:p>
            <w:pPr>
              <w:spacing w:after="0"/>
              <w:rPr>
                <w:sz w:val="15"/>
                <w:szCs w:val="15"/>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5"/>
                <w:szCs w:val="15"/>
                <w:color w:val="auto"/>
              </w:rPr>
              <w:t>(32)</w:t>
            </w:r>
          </w:p>
        </w:tc>
        <w:tc>
          <w:tcPr>
            <w:tcW w:w="1320" w:type="dxa"/>
            <w:vAlign w:val="bottom"/>
            <w:gridSpan w:val="2"/>
          </w:tcPr>
          <w:p>
            <w:pPr>
              <w:jc w:val="right"/>
              <w:ind w:right="180"/>
              <w:spacing w:after="0"/>
              <w:rPr>
                <w:sz w:val="20"/>
                <w:szCs w:val="20"/>
                <w:color w:val="auto"/>
              </w:rPr>
            </w:pPr>
            <w:r>
              <w:rPr>
                <w:rFonts w:ascii="Arial" w:cs="Arial" w:eastAsia="Arial" w:hAnsi="Arial"/>
                <w:sz w:val="15"/>
                <w:szCs w:val="15"/>
                <w:color w:val="auto"/>
              </w:rPr>
              <w:t>(94)</w:t>
            </w:r>
          </w:p>
        </w:tc>
        <w:tc>
          <w:tcPr>
            <w:tcW w:w="1100" w:type="dxa"/>
            <w:vAlign w:val="bottom"/>
          </w:tcPr>
          <w:p>
            <w:pPr>
              <w:jc w:val="right"/>
              <w:spacing w:after="0"/>
              <w:rPr>
                <w:sz w:val="20"/>
                <w:szCs w:val="20"/>
                <w:color w:val="auto"/>
              </w:rPr>
            </w:pPr>
            <w:r>
              <w:rPr>
                <w:rFonts w:ascii="Arial" w:cs="Arial" w:eastAsia="Arial" w:hAnsi="Arial"/>
                <w:sz w:val="15"/>
                <w:szCs w:val="15"/>
                <w:color w:val="auto"/>
              </w:rPr>
              <w:t>17,359</w:t>
            </w:r>
          </w:p>
        </w:tc>
        <w:tc>
          <w:tcPr>
            <w:tcW w:w="120" w:type="dxa"/>
            <w:vAlign w:val="bottom"/>
          </w:tcPr>
          <w:p>
            <w:pPr>
              <w:spacing w:after="0"/>
              <w:rPr>
                <w:sz w:val="15"/>
                <w:szCs w:val="15"/>
                <w:color w:val="auto"/>
              </w:rPr>
            </w:pPr>
          </w:p>
        </w:tc>
      </w:tr>
      <w:tr>
        <w:trPr>
          <w:trHeight w:val="177"/>
        </w:trPr>
        <w:tc>
          <w:tcPr>
            <w:tcW w:w="4660" w:type="dxa"/>
            <w:vAlign w:val="bottom"/>
            <w:shd w:val="clear" w:color="auto" w:fill="CFF0FC"/>
          </w:tcPr>
          <w:p>
            <w:pPr>
              <w:spacing w:after="0"/>
              <w:rPr>
                <w:sz w:val="20"/>
                <w:szCs w:val="20"/>
                <w:color w:val="auto"/>
              </w:rPr>
            </w:pPr>
            <w:r>
              <w:rPr>
                <w:rFonts w:ascii="Arial" w:cs="Arial" w:eastAsia="Arial" w:hAnsi="Arial"/>
                <w:sz w:val="15"/>
                <w:szCs w:val="15"/>
                <w:color w:val="auto"/>
              </w:rPr>
              <w:t>2018</w:t>
            </w:r>
          </w:p>
        </w:tc>
        <w:tc>
          <w:tcPr>
            <w:tcW w:w="1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77"/>
        </w:trPr>
        <w:tc>
          <w:tcPr>
            <w:tcW w:w="4780" w:type="dxa"/>
            <w:vAlign w:val="bottom"/>
            <w:gridSpan w:val="2"/>
          </w:tcPr>
          <w:p>
            <w:pPr>
              <w:spacing w:after="0"/>
              <w:rPr>
                <w:sz w:val="20"/>
                <w:szCs w:val="20"/>
                <w:color w:val="auto"/>
              </w:rPr>
            </w:pPr>
            <w:r>
              <w:rPr>
                <w:rFonts w:ascii="Arial" w:cs="Arial" w:eastAsia="Arial" w:hAnsi="Arial"/>
                <w:sz w:val="15"/>
                <w:szCs w:val="15"/>
                <w:color w:val="auto"/>
              </w:rPr>
              <w:t>Allowance for doubtful accounts (1)</w:t>
            </w:r>
          </w:p>
        </w:tc>
        <w:tc>
          <w:tcPr>
            <w:tcW w:w="1080" w:type="dxa"/>
            <w:vAlign w:val="bottom"/>
          </w:tcPr>
          <w:p>
            <w:pPr>
              <w:jc w:val="right"/>
              <w:spacing w:after="0"/>
              <w:rPr>
                <w:sz w:val="20"/>
                <w:szCs w:val="20"/>
                <w:color w:val="auto"/>
              </w:rPr>
            </w:pPr>
            <w:r>
              <w:rPr>
                <w:rFonts w:ascii="Arial" w:cs="Arial" w:eastAsia="Arial" w:hAnsi="Arial"/>
                <w:sz w:val="15"/>
                <w:szCs w:val="15"/>
                <w:color w:val="auto"/>
              </w:rPr>
              <w:t>1,763</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2,959</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4,722</w:t>
            </w:r>
          </w:p>
        </w:tc>
        <w:tc>
          <w:tcPr>
            <w:tcW w:w="120" w:type="dxa"/>
            <w:vAlign w:val="bottom"/>
          </w:tcPr>
          <w:p>
            <w:pPr>
              <w:spacing w:after="0"/>
              <w:rPr>
                <w:sz w:val="15"/>
                <w:szCs w:val="15"/>
                <w:color w:val="auto"/>
              </w:rPr>
            </w:pPr>
          </w:p>
        </w:tc>
      </w:tr>
      <w:tr>
        <w:trPr>
          <w:trHeight w:val="177"/>
        </w:trPr>
        <w:tc>
          <w:tcPr>
            <w:tcW w:w="4780" w:type="dxa"/>
            <w:vAlign w:val="bottom"/>
            <w:gridSpan w:val="2"/>
            <w:shd w:val="clear" w:color="auto" w:fill="CFF0FC"/>
          </w:tcPr>
          <w:p>
            <w:pPr>
              <w:spacing w:after="0"/>
              <w:rPr>
                <w:sz w:val="20"/>
                <w:szCs w:val="20"/>
                <w:color w:val="auto"/>
              </w:rPr>
            </w:pPr>
            <w:r>
              <w:rPr>
                <w:rFonts w:ascii="Arial" w:cs="Arial" w:eastAsia="Arial" w:hAnsi="Arial"/>
                <w:sz w:val="15"/>
                <w:szCs w:val="15"/>
                <w:color w:val="auto"/>
              </w:rPr>
              <w:t>Valuation allowance on deferred tax assets</w:t>
            </w: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8,882</w:t>
            </w: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452</w:t>
            </w:r>
          </w:p>
        </w:tc>
        <w:tc>
          <w:tcPr>
            <w:tcW w:w="2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(2,633)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(33)</w:t>
            </w: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6,668</w:t>
            </w:r>
          </w:p>
        </w:tc>
        <w:tc>
          <w:tcPr>
            <w:tcW w:w="120" w:type="dxa"/>
            <w:vAlign w:val="bottom"/>
            <w:shd w:val="clear" w:color="auto" w:fill="CFF0FC"/>
          </w:tcPr>
          <w:p>
            <w:pPr>
              <w:spacing w:after="0"/>
              <w:rPr>
                <w:sz w:val="15"/>
                <w:szCs w:val="15"/>
                <w:color w:val="auto"/>
              </w:rPr>
            </w:pPr>
          </w:p>
        </w:tc>
      </w:tr>
    </w:tbl>
    <w:p>
      <w:pPr>
        <w:spacing w:after="0" w:line="203" w:lineRule="exact"/>
        <w:rPr>
          <w:sz w:val="20"/>
          <w:szCs w:val="20"/>
          <w:color w:val="auto"/>
        </w:rPr>
      </w:pPr>
    </w:p>
    <w:p>
      <w:pPr>
        <w:ind w:left="880" w:right="80" w:hanging="871"/>
        <w:spacing w:after="0" w:line="238" w:lineRule="auto"/>
        <w:tabs>
          <w:tab w:leader="none" w:pos="880" w:val="left"/>
        </w:tabs>
        <w:numPr>
          <w:ilvl w:val="0"/>
          <w:numId w:val="76"/>
        </w:numPr>
        <w:rPr>
          <w:rFonts w:ascii="Arial" w:cs="Arial" w:eastAsia="Arial" w:hAnsi="Arial"/>
          <w:sz w:val="12"/>
          <w:szCs w:val="12"/>
          <w:color w:val="auto"/>
        </w:rPr>
      </w:pPr>
      <w:r>
        <w:rPr>
          <w:rFonts w:ascii="Arial" w:cs="Arial" w:eastAsia="Arial" w:hAnsi="Arial"/>
          <w:sz w:val="12"/>
          <w:szCs w:val="12"/>
          <w:color w:val="auto"/>
        </w:rPr>
        <w:t>In connection with the adoption of ASU 2016-13, we have modified the historical presentation of gross receivables and the allowance for doubtful accounts to reflect only expected credit losses in the allowance in conformity with the current period presentation.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F-59</w:t>
      </w:r>
    </w:p>
    <w:p>
      <w:pPr>
        <w:sectPr>
          <w:pgSz w:w="11900" w:h="16838" w:orient="portrait"/>
          <w:cols w:equalWidth="0" w:num="1">
            <w:col w:w="11280"/>
          </w:cols>
          <w:pgMar w:left="300" w:top="653"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color w:val="auto"/>
        </w:rPr>
        <w:t>Exhibit 10.3</w:t>
      </w:r>
    </w:p>
    <w:p>
      <w:pPr>
        <w:jc w:val="center"/>
        <w:spacing w:after="0"/>
        <w:rPr>
          <w:sz w:val="20"/>
          <w:szCs w:val="20"/>
          <w:color w:val="auto"/>
        </w:rPr>
      </w:pPr>
      <w:r>
        <w:rPr>
          <w:rFonts w:ascii="Arial" w:cs="Arial" w:eastAsia="Arial" w:hAnsi="Arial"/>
          <w:sz w:val="18"/>
          <w:szCs w:val="18"/>
          <w:b w:val="1"/>
          <w:bCs w:val="1"/>
          <w:color w:val="auto"/>
        </w:rPr>
        <w:t>FIRST AMENDMENT TO THE</w:t>
      </w:r>
    </w:p>
    <w:p>
      <w:pPr>
        <w:jc w:val="center"/>
        <w:spacing w:after="0" w:line="233" w:lineRule="auto"/>
        <w:rPr>
          <w:sz w:val="20"/>
          <w:szCs w:val="20"/>
          <w:color w:val="auto"/>
        </w:rPr>
      </w:pPr>
      <w:r>
        <w:rPr>
          <w:rFonts w:ascii="Arial" w:cs="Arial" w:eastAsia="Arial" w:hAnsi="Arial"/>
          <w:sz w:val="18"/>
          <w:szCs w:val="18"/>
          <w:b w:val="1"/>
          <w:bCs w:val="1"/>
          <w:color w:val="auto"/>
        </w:rPr>
        <w:t>PARSONS EMPLOYEE STOCK OWNERSHIP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AMENDMENT AND RESTATEMENT</w:t>
      </w:r>
    </w:p>
    <w:p>
      <w:pPr>
        <w:spacing w:after="0" w:line="166" w:lineRule="exact"/>
        <w:rPr>
          <w:sz w:val="20"/>
          <w:szCs w:val="20"/>
          <w:color w:val="auto"/>
        </w:rPr>
      </w:pPr>
    </w:p>
    <w:p>
      <w:pPr>
        <w:ind w:right="620" w:firstLine="867"/>
        <w:spacing w:after="0" w:line="251" w:lineRule="auto"/>
        <w:rPr>
          <w:sz w:val="20"/>
          <w:szCs w:val="20"/>
          <w:color w:val="auto"/>
        </w:rPr>
      </w:pPr>
      <w:r>
        <w:rPr>
          <w:rFonts w:ascii="Arial" w:cs="Arial" w:eastAsia="Arial" w:hAnsi="Arial"/>
          <w:sz w:val="18"/>
          <w:szCs w:val="18"/>
          <w:color w:val="auto"/>
        </w:rPr>
        <w:t>The Parsons Employee Stock Ownership Plan 2019 Amendment and Restatement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in each case effective as of January 1, 2020:</w:t>
      </w:r>
    </w:p>
    <w:p>
      <w:pPr>
        <w:spacing w:after="0" w:line="143" w:lineRule="exact"/>
        <w:rPr>
          <w:sz w:val="20"/>
          <w:szCs w:val="20"/>
          <w:color w:val="auto"/>
        </w:rPr>
      </w:pPr>
    </w:p>
    <w:p>
      <w:pPr>
        <w:ind w:left="880" w:hanging="871"/>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Section 7.2(b) of the Plan is hereby amended and restated to read as follows:</w:t>
      </w:r>
    </w:p>
    <w:p>
      <w:pPr>
        <w:spacing w:after="0" w:line="169" w:lineRule="exact"/>
        <w:rPr>
          <w:rFonts w:ascii="Arial" w:cs="Arial" w:eastAsia="Arial" w:hAnsi="Arial"/>
          <w:sz w:val="18"/>
          <w:szCs w:val="18"/>
          <w:color w:val="auto"/>
        </w:rPr>
      </w:pPr>
    </w:p>
    <w:p>
      <w:pPr>
        <w:ind w:left="1620" w:hanging="745"/>
        <w:spacing w:after="0"/>
        <w:tabs>
          <w:tab w:leader="none" w:pos="1620" w:val="left"/>
        </w:tabs>
        <w:numPr>
          <w:ilvl w:val="1"/>
          <w:numId w:val="77"/>
        </w:numPr>
        <w:rPr>
          <w:rFonts w:ascii="Arial" w:cs="Arial" w:eastAsia="Arial" w:hAnsi="Arial"/>
          <w:sz w:val="18"/>
          <w:szCs w:val="18"/>
          <w:color w:val="auto"/>
        </w:rPr>
      </w:pPr>
      <w:r>
        <w:rPr>
          <w:rFonts w:ascii="Arial" w:cs="Arial" w:eastAsia="Arial" w:hAnsi="Arial"/>
          <w:sz w:val="18"/>
          <w:szCs w:val="18"/>
          <w:color w:val="auto"/>
        </w:rPr>
        <w:t>He or she shall be fully vested in the balance of his or her Accounts upon the earliest to occur of:</w:t>
      </w:r>
    </w:p>
    <w:p>
      <w:pPr>
        <w:spacing w:after="0" w:line="169" w:lineRule="exact"/>
        <w:rPr>
          <w:rFonts w:ascii="Arial" w:cs="Arial" w:eastAsia="Arial" w:hAnsi="Arial"/>
          <w:sz w:val="18"/>
          <w:szCs w:val="18"/>
          <w:color w:val="auto"/>
        </w:rPr>
      </w:pPr>
    </w:p>
    <w:p>
      <w:pPr>
        <w:ind w:left="2340" w:hanging="731"/>
        <w:spacing w:after="0"/>
        <w:tabs>
          <w:tab w:leader="none" w:pos="2340"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day he or she becomes fully vested under the following schedule:</w:t>
      </w:r>
    </w:p>
    <w:p>
      <w:pPr>
        <w:spacing w:after="0" w:line="156" w:lineRule="exact"/>
        <w:rPr>
          <w:sz w:val="20"/>
          <w:szCs w:val="20"/>
          <w:color w:val="auto"/>
        </w:rPr>
      </w:pPr>
    </w:p>
    <w:tbl>
      <w:tblPr>
        <w:tblLayout w:type="fixed"/>
        <w:tblInd w:w="20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Years of Cumulative</w:t>
            </w:r>
          </w:p>
        </w:tc>
        <w:tc>
          <w:tcPr>
            <w:tcW w:w="4760" w:type="dxa"/>
            <w:vAlign w:val="bottom"/>
          </w:tcPr>
          <w:p>
            <w:pPr>
              <w:jc w:val="center"/>
              <w:spacing w:after="0"/>
              <w:rPr>
                <w:sz w:val="20"/>
                <w:szCs w:val="20"/>
                <w:color w:val="auto"/>
              </w:rPr>
            </w:pPr>
            <w:r>
              <w:rPr>
                <w:rFonts w:ascii="Arial" w:cs="Arial" w:eastAsia="Arial" w:hAnsi="Arial"/>
                <w:sz w:val="18"/>
                <w:szCs w:val="18"/>
                <w:b w:val="1"/>
                <w:bCs w:val="1"/>
                <w:color w:val="auto"/>
                <w:w w:val="86"/>
              </w:rPr>
              <w:t>Vested Percentage of Employee’s</w:t>
            </w:r>
          </w:p>
        </w:tc>
      </w:tr>
      <w:tr>
        <w:trPr>
          <w:trHeight w:val="222"/>
        </w:trPr>
        <w:tc>
          <w:tcPr>
            <w:tcW w:w="20" w:type="dxa"/>
            <w:vAlign w:val="bottom"/>
          </w:tcPr>
          <w:p>
            <w:pPr>
              <w:spacing w:after="0"/>
              <w:rPr>
                <w:sz w:val="19"/>
                <w:szCs w:val="19"/>
                <w:color w:val="auto"/>
              </w:rPr>
            </w:pPr>
          </w:p>
        </w:tc>
        <w:tc>
          <w:tcPr>
            <w:tcW w:w="3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Service</w:t>
            </w: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Account</w:t>
            </w:r>
          </w:p>
        </w:tc>
      </w:tr>
      <w:tr>
        <w:trPr>
          <w:trHeight w:val="174"/>
        </w:trPr>
        <w:tc>
          <w:tcPr>
            <w:tcW w:w="20" w:type="dxa"/>
            <w:vAlign w:val="bottom"/>
          </w:tcPr>
          <w:p>
            <w:pPr>
              <w:spacing w:after="0"/>
              <w:rPr>
                <w:sz w:val="15"/>
                <w:szCs w:val="15"/>
                <w:color w:val="auto"/>
              </w:rPr>
            </w:pPr>
          </w:p>
        </w:tc>
        <w:tc>
          <w:tcPr>
            <w:tcW w:w="3780" w:type="dxa"/>
            <w:vAlign w:val="bottom"/>
          </w:tcPr>
          <w:p>
            <w:pPr>
              <w:spacing w:after="0" w:line="174" w:lineRule="exact"/>
              <w:rPr>
                <w:sz w:val="20"/>
                <w:szCs w:val="20"/>
                <w:color w:val="auto"/>
              </w:rPr>
            </w:pPr>
            <w:r>
              <w:rPr>
                <w:rFonts w:ascii="Arial" w:cs="Arial" w:eastAsia="Arial" w:hAnsi="Arial"/>
                <w:sz w:val="18"/>
                <w:szCs w:val="18"/>
                <w:color w:val="auto"/>
              </w:rPr>
              <w:t>Less than 1 year</w:t>
            </w:r>
          </w:p>
        </w:tc>
        <w:tc>
          <w:tcPr>
            <w:tcW w:w="4760" w:type="dxa"/>
            <w:vAlign w:val="bottom"/>
          </w:tcPr>
          <w:p>
            <w:pPr>
              <w:jc w:val="center"/>
              <w:spacing w:after="0" w:line="174" w:lineRule="exact"/>
              <w:rPr>
                <w:sz w:val="20"/>
                <w:szCs w:val="20"/>
                <w:color w:val="auto"/>
              </w:rPr>
            </w:pPr>
            <w:r>
              <w:rPr>
                <w:rFonts w:ascii="Arial" w:cs="Arial" w:eastAsia="Arial" w:hAnsi="Arial"/>
                <w:sz w:val="18"/>
                <w:szCs w:val="18"/>
                <w:color w:val="auto"/>
                <w:w w:val="99"/>
              </w:rPr>
              <w:t>0</w:t>
            </w:r>
          </w:p>
        </w:tc>
      </w:tr>
      <w:tr>
        <w:trPr>
          <w:trHeight w:val="199"/>
        </w:trPr>
        <w:tc>
          <w:tcPr>
            <w:tcW w:w="3800" w:type="dxa"/>
            <w:vAlign w:val="bottom"/>
            <w:gridSpan w:val="2"/>
          </w:tcPr>
          <w:p>
            <w:pPr>
              <w:spacing w:after="0" w:line="200" w:lineRule="exact"/>
              <w:rPr>
                <w:sz w:val="20"/>
                <w:szCs w:val="20"/>
                <w:color w:val="auto"/>
              </w:rPr>
            </w:pPr>
            <w:r>
              <w:rPr>
                <w:rFonts w:ascii="Arial" w:cs="Arial" w:eastAsia="Arial" w:hAnsi="Arial"/>
                <w:sz w:val="18"/>
                <w:szCs w:val="18"/>
                <w:color w:val="auto"/>
              </w:rPr>
              <w:t>1 year, but less than 2</w:t>
            </w:r>
          </w:p>
        </w:tc>
        <w:tc>
          <w:tcPr>
            <w:tcW w:w="4760" w:type="dxa"/>
            <w:vAlign w:val="bottom"/>
          </w:tcPr>
          <w:p>
            <w:pPr>
              <w:jc w:val="center"/>
              <w:spacing w:after="0" w:line="200" w:lineRule="exact"/>
              <w:rPr>
                <w:sz w:val="20"/>
                <w:szCs w:val="20"/>
                <w:color w:val="auto"/>
              </w:rPr>
            </w:pPr>
            <w:r>
              <w:rPr>
                <w:rFonts w:ascii="Arial" w:cs="Arial" w:eastAsia="Arial" w:hAnsi="Arial"/>
                <w:sz w:val="18"/>
                <w:szCs w:val="18"/>
                <w:color w:val="auto"/>
                <w:w w:val="88"/>
              </w:rPr>
              <w:t>33.33</w:t>
            </w:r>
          </w:p>
        </w:tc>
      </w:tr>
      <w:tr>
        <w:trPr>
          <w:trHeight w:val="199"/>
        </w:trPr>
        <w:tc>
          <w:tcPr>
            <w:tcW w:w="3800" w:type="dxa"/>
            <w:vAlign w:val="bottom"/>
            <w:gridSpan w:val="2"/>
          </w:tcPr>
          <w:p>
            <w:pPr>
              <w:spacing w:after="0" w:line="200" w:lineRule="exact"/>
              <w:rPr>
                <w:sz w:val="20"/>
                <w:szCs w:val="20"/>
                <w:color w:val="auto"/>
              </w:rPr>
            </w:pPr>
            <w:r>
              <w:rPr>
                <w:rFonts w:ascii="Arial" w:cs="Arial" w:eastAsia="Arial" w:hAnsi="Arial"/>
                <w:sz w:val="18"/>
                <w:szCs w:val="18"/>
                <w:color w:val="auto"/>
              </w:rPr>
              <w:t>2 years, but less than 3</w:t>
            </w:r>
          </w:p>
        </w:tc>
        <w:tc>
          <w:tcPr>
            <w:tcW w:w="4760" w:type="dxa"/>
            <w:vAlign w:val="bottom"/>
          </w:tcPr>
          <w:p>
            <w:pPr>
              <w:jc w:val="center"/>
              <w:spacing w:after="0" w:line="200" w:lineRule="exact"/>
              <w:rPr>
                <w:sz w:val="20"/>
                <w:szCs w:val="20"/>
                <w:color w:val="auto"/>
              </w:rPr>
            </w:pPr>
            <w:r>
              <w:rPr>
                <w:rFonts w:ascii="Arial" w:cs="Arial" w:eastAsia="Arial" w:hAnsi="Arial"/>
                <w:sz w:val="18"/>
                <w:szCs w:val="18"/>
                <w:color w:val="auto"/>
                <w:w w:val="88"/>
              </w:rPr>
              <w:t>66.67</w:t>
            </w:r>
          </w:p>
        </w:tc>
      </w:tr>
      <w:tr>
        <w:trPr>
          <w:trHeight w:val="224"/>
        </w:trPr>
        <w:tc>
          <w:tcPr>
            <w:tcW w:w="3800" w:type="dxa"/>
            <w:vAlign w:val="bottom"/>
            <w:gridSpan w:val="2"/>
          </w:tcPr>
          <w:p>
            <w:pPr>
              <w:spacing w:after="0"/>
              <w:rPr>
                <w:sz w:val="20"/>
                <w:szCs w:val="20"/>
                <w:color w:val="auto"/>
              </w:rPr>
            </w:pPr>
            <w:r>
              <w:rPr>
                <w:rFonts w:ascii="Arial" w:cs="Arial" w:eastAsia="Arial" w:hAnsi="Arial"/>
                <w:sz w:val="18"/>
                <w:szCs w:val="18"/>
                <w:color w:val="auto"/>
              </w:rPr>
              <w:t>3 years or more</w:t>
            </w:r>
          </w:p>
        </w:tc>
        <w:tc>
          <w:tcPr>
            <w:tcW w:w="4760" w:type="dxa"/>
            <w:vAlign w:val="bottom"/>
          </w:tcPr>
          <w:p>
            <w:pPr>
              <w:jc w:val="center"/>
              <w:spacing w:after="0"/>
              <w:rPr>
                <w:sz w:val="20"/>
                <w:szCs w:val="20"/>
                <w:color w:val="auto"/>
              </w:rPr>
            </w:pPr>
            <w:r>
              <w:rPr>
                <w:rFonts w:ascii="Arial" w:cs="Arial" w:eastAsia="Arial" w:hAnsi="Arial"/>
                <w:sz w:val="18"/>
                <w:szCs w:val="18"/>
                <w:color w:val="auto"/>
                <w:w w:val="86"/>
              </w:rPr>
              <w:t>100</w:t>
            </w:r>
          </w:p>
        </w:tc>
      </w:tr>
    </w:tbl>
    <w:p>
      <w:pPr>
        <w:spacing w:after="0" w:line="153" w:lineRule="exact"/>
        <w:rPr>
          <w:sz w:val="20"/>
          <w:szCs w:val="20"/>
          <w:color w:val="auto"/>
        </w:rPr>
      </w:pPr>
    </w:p>
    <w:p>
      <w:pPr>
        <w:ind w:left="800" w:right="1680" w:hanging="730"/>
        <w:spacing w:after="0" w:line="251" w:lineRule="auto"/>
        <w:tabs>
          <w:tab w:leader="none" w:pos="14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first day of the month in which he or she becomes 65 years of age, provided that such Participant is then employed by a Company or the Participant is on an Approved Absence;</w:t>
      </w:r>
    </w:p>
    <w:p>
      <w:pPr>
        <w:spacing w:after="0" w:line="143" w:lineRule="exact"/>
        <w:rPr>
          <w:rFonts w:ascii="Arial" w:cs="Arial" w:eastAsia="Arial" w:hAnsi="Arial"/>
          <w:sz w:val="18"/>
          <w:szCs w:val="18"/>
          <w:color w:val="auto"/>
        </w:rPr>
      </w:pPr>
    </w:p>
    <w:p>
      <w:pPr>
        <w:ind w:left="1480" w:hanging="1410"/>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his or her death while:</w:t>
      </w:r>
    </w:p>
    <w:p>
      <w:pPr>
        <w:ind w:left="940"/>
        <w:spacing w:after="0" w:line="238" w:lineRule="auto"/>
        <w:tabs>
          <w:tab w:leader="none" w:pos="238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employed by a Company;</w:t>
      </w:r>
    </w:p>
    <w:p>
      <w:pPr>
        <w:ind w:left="2400" w:hanging="1461"/>
        <w:spacing w:after="0" w:line="232" w:lineRule="auto"/>
        <w:tabs>
          <w:tab w:leader="none" w:pos="24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on qualified military service (as defined in Section 414(u) of the Code); or</w:t>
      </w:r>
    </w:p>
    <w:p>
      <w:pPr>
        <w:ind w:left="2400" w:hanging="1461"/>
        <w:spacing w:after="0"/>
        <w:tabs>
          <w:tab w:leader="none" w:pos="2400" w:val="left"/>
        </w:tabs>
        <w:numPr>
          <w:ilvl w:val="2"/>
          <w:numId w:val="79"/>
        </w:numPr>
        <w:rPr>
          <w:rFonts w:ascii="Arial" w:cs="Arial" w:eastAsia="Arial" w:hAnsi="Arial"/>
          <w:sz w:val="18"/>
          <w:szCs w:val="18"/>
          <w:color w:val="auto"/>
        </w:rPr>
      </w:pPr>
      <w:r>
        <w:rPr>
          <w:rFonts w:ascii="Arial" w:cs="Arial" w:eastAsia="Arial" w:hAnsi="Arial"/>
          <w:sz w:val="18"/>
          <w:szCs w:val="18"/>
          <w:color w:val="auto"/>
        </w:rPr>
        <w:t>on an Approved Absence;</w:t>
      </w:r>
    </w:p>
    <w:p>
      <w:pPr>
        <w:spacing w:after="0" w:line="155" w:lineRule="exact"/>
        <w:rPr>
          <w:rFonts w:ascii="Arial" w:cs="Arial" w:eastAsia="Arial" w:hAnsi="Arial"/>
          <w:sz w:val="18"/>
          <w:szCs w:val="18"/>
          <w:color w:val="auto"/>
        </w:rPr>
      </w:pPr>
    </w:p>
    <w:p>
      <w:pPr>
        <w:ind w:left="800" w:right="1680" w:hanging="730"/>
        <w:spacing w:after="0" w:line="251" w:lineRule="auto"/>
        <w:tabs>
          <w:tab w:leader="none" w:pos="14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date of his or her termination of employment with all Companies under circumstances entitling him to receive a benefit under Section 8.2(b) on account of permanent disability; or</w:t>
      </w:r>
    </w:p>
    <w:p>
      <w:pPr>
        <w:spacing w:after="0" w:line="143" w:lineRule="exact"/>
        <w:rPr>
          <w:rFonts w:ascii="Arial" w:cs="Arial" w:eastAsia="Arial" w:hAnsi="Arial"/>
          <w:sz w:val="18"/>
          <w:szCs w:val="18"/>
          <w:color w:val="auto"/>
        </w:rPr>
      </w:pPr>
    </w:p>
    <w:p>
      <w:pPr>
        <w:ind w:left="800" w:right="1680" w:hanging="730"/>
        <w:spacing w:after="0" w:line="251" w:lineRule="auto"/>
        <w:tabs>
          <w:tab w:leader="none" w:pos="1477"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date on which he or she is required to be fully vested under the applicable provisions of the Code on account of the termination, partial termination or the complete discontinuance of contributions to the Plan.</w:t>
      </w:r>
    </w:p>
    <w:p>
      <w:pPr>
        <w:spacing w:after="0" w:line="143" w:lineRule="exact"/>
        <w:rPr>
          <w:rFonts w:ascii="Arial" w:cs="Arial" w:eastAsia="Arial" w:hAnsi="Arial"/>
          <w:sz w:val="18"/>
          <w:szCs w:val="18"/>
          <w:color w:val="auto"/>
        </w:rPr>
      </w:pPr>
    </w:p>
    <w:p>
      <w:pPr>
        <w:ind w:left="880" w:hanging="871"/>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Section 15.3 of the Plan is hereby amended and restated to read as follows:</w:t>
      </w:r>
    </w:p>
    <w:p>
      <w:pPr>
        <w:spacing w:after="0" w:line="170" w:lineRule="exact"/>
        <w:rPr>
          <w:sz w:val="20"/>
          <w:szCs w:val="20"/>
          <w:color w:val="auto"/>
        </w:rPr>
      </w:pPr>
    </w:p>
    <w:p>
      <w:pPr>
        <w:ind w:left="880" w:right="860"/>
        <w:spacing w:after="0" w:line="251" w:lineRule="auto"/>
        <w:rPr>
          <w:sz w:val="20"/>
          <w:szCs w:val="20"/>
          <w:color w:val="auto"/>
        </w:rPr>
      </w:pPr>
      <w:r>
        <w:rPr>
          <w:rFonts w:ascii="Arial" w:cs="Arial" w:eastAsia="Arial" w:hAnsi="Arial"/>
          <w:sz w:val="18"/>
          <w:szCs w:val="18"/>
          <w:u w:val="single" w:color="auto"/>
          <w:color w:val="auto"/>
        </w:rPr>
        <w:t>Minimum Vesting Requirement</w:t>
      </w:r>
      <w:r>
        <w:rPr>
          <w:rFonts w:ascii="Arial" w:cs="Arial" w:eastAsia="Arial" w:hAnsi="Arial"/>
          <w:sz w:val="18"/>
          <w:szCs w:val="18"/>
          <w:color w:val="auto"/>
        </w:rPr>
        <w:t>. An Employee shall vest in his or her Accounts, within the meaning of Section 411 of the Code and Section 203 of ERISA, in accordance with the provisions of Section 7.2.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287655</wp:posOffset>
            </wp:positionV>
            <wp:extent cx="7171055" cy="139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52" w:name="page153"/>
    <w:bookmarkEnd w:id="152"/>
    <w:p>
      <w:pPr>
        <w:spacing w:after="0"/>
        <w:rPr>
          <w:sz w:val="20"/>
          <w:szCs w:val="20"/>
          <w:color w:val="auto"/>
        </w:rPr>
      </w:pPr>
      <w:r>
        <w:rPr>
          <w:rFonts w:ascii="Arial" w:cs="Arial" w:eastAsia="Arial" w:hAnsi="Arial"/>
          <w:sz w:val="16"/>
          <w:szCs w:val="16"/>
          <w:color w:val="auto"/>
        </w:rPr>
        <w:t>IN WITNESS WHEREOF, this instrument of amendment is executed this ______ day of October, 2019.</w:t>
      </w:r>
    </w:p>
    <w:p>
      <w:pPr>
        <w:sectPr>
          <w:pgSz w:w="11900" w:h="16838" w:orient="portrait"/>
          <w:cols w:equalWidth="0" w:num="1">
            <w:col w:w="10159"/>
          </w:cols>
          <w:pgMar w:left="300" w:top="444" w:right="1440" w:bottom="1440" w:gutter="0" w:footer="0" w:header="0"/>
        </w:sectPr>
      </w:pPr>
    </w:p>
    <w:p>
      <w:pPr>
        <w:spacing w:after="0" w:line="160"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PARSONS CORPORATION</w:t>
      </w:r>
    </w:p>
    <w:p>
      <w:pPr>
        <w:spacing w:after="0" w:line="17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159"/>
          </w:cols>
          <w:pgMar w:left="300" w:top="444" w:right="1440" w:bottom="1440" w:gutter="0" w:footer="0" w:header="0"/>
          <w:type w:val="continuous"/>
        </w:sectPr>
      </w:pPr>
    </w:p>
    <w:bookmarkStart w:id="153" w:name="page154"/>
    <w:bookmarkEnd w:id="153"/>
    <w:p>
      <w:pPr>
        <w:spacing w:after="0"/>
        <w:rPr>
          <w:sz w:val="20"/>
          <w:szCs w:val="20"/>
          <w:color w:val="auto"/>
        </w:rPr>
      </w:pPr>
      <w:r>
        <w:rPr>
          <w:rFonts w:ascii="Arial" w:cs="Arial" w:eastAsia="Arial" w:hAnsi="Arial"/>
          <w:sz w:val="18"/>
          <w:szCs w:val="18"/>
          <w:color w:val="auto"/>
        </w:rPr>
        <w:t>Exhibit 10.8</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PARSONS CORPORATION</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Adopted January 1, 2012</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Amended January 1, 2019</w:t>
      </w:r>
    </w:p>
    <w:p>
      <w:pPr>
        <w:spacing w:after="0" w:line="18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Amended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723900</wp:posOffset>
            </wp:positionV>
            <wp:extent cx="7171055" cy="1397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24"/>
        </w:trPr>
        <w:tc>
          <w:tcPr>
            <w:tcW w:w="1800" w:type="dxa"/>
            <w:vAlign w:val="bottom"/>
          </w:tcPr>
          <w:p>
            <w:pPr>
              <w:spacing w:after="0"/>
              <w:rPr>
                <w:sz w:val="19"/>
                <w:szCs w:val="19"/>
                <w:color w:val="auto"/>
              </w:rPr>
            </w:pPr>
          </w:p>
        </w:tc>
        <w:tc>
          <w:tcPr>
            <w:tcW w:w="9500" w:type="dxa"/>
            <w:vAlign w:val="bottom"/>
          </w:tcPr>
          <w:p>
            <w:pPr>
              <w:ind w:left="2800"/>
              <w:spacing w:after="0"/>
              <w:rPr>
                <w:sz w:val="20"/>
                <w:szCs w:val="20"/>
                <w:color w:val="auto"/>
              </w:rPr>
            </w:pPr>
            <w:r>
              <w:rPr>
                <w:rFonts w:ascii="Arial" w:cs="Arial" w:eastAsia="Arial" w:hAnsi="Arial"/>
                <w:sz w:val="18"/>
                <w:szCs w:val="18"/>
                <w:color w:val="auto"/>
              </w:rPr>
              <w:t>TABLE OF CONTENTS</w:t>
            </w:r>
          </w:p>
        </w:tc>
      </w:tr>
      <w:tr>
        <w:trPr>
          <w:trHeight w:val="643"/>
        </w:trPr>
        <w:tc>
          <w:tcPr>
            <w:tcW w:w="1800" w:type="dxa"/>
            <w:vAlign w:val="bottom"/>
          </w:tcPr>
          <w:p>
            <w:pPr>
              <w:ind w:left="540"/>
              <w:spacing w:after="0"/>
              <w:rPr>
                <w:sz w:val="20"/>
                <w:szCs w:val="20"/>
                <w:color w:val="auto"/>
              </w:rPr>
            </w:pPr>
            <w:r>
              <w:rPr>
                <w:rFonts w:ascii="Arial" w:cs="Arial" w:eastAsia="Arial" w:hAnsi="Arial"/>
                <w:sz w:val="18"/>
                <w:szCs w:val="18"/>
                <w:color w:val="auto"/>
              </w:rPr>
              <w:t>ARTICLE 1</w:t>
            </w:r>
          </w:p>
        </w:tc>
        <w:tc>
          <w:tcPr>
            <w:tcW w:w="9500" w:type="dxa"/>
            <w:vAlign w:val="bottom"/>
          </w:tcPr>
          <w:p>
            <w:pPr>
              <w:jc w:val="center"/>
              <w:ind w:right="1391"/>
              <w:spacing w:after="0"/>
              <w:rPr>
                <w:sz w:val="20"/>
                <w:szCs w:val="20"/>
                <w:color w:val="auto"/>
              </w:rPr>
            </w:pPr>
            <w:r>
              <w:rPr>
                <w:rFonts w:ascii="Arial" w:cs="Arial" w:eastAsia="Arial" w:hAnsi="Arial"/>
                <w:sz w:val="18"/>
                <w:szCs w:val="18"/>
                <w:color w:val="auto"/>
                <w:w w:val="90"/>
              </w:rPr>
              <w:t>PREFACE1</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1.1</w:t>
            </w:r>
          </w:p>
        </w:tc>
        <w:tc>
          <w:tcPr>
            <w:tcW w:w="9500" w:type="dxa"/>
            <w:vAlign w:val="bottom"/>
          </w:tcPr>
          <w:p>
            <w:pPr>
              <w:ind w:left="1000"/>
              <w:spacing w:after="0"/>
              <w:rPr>
                <w:sz w:val="20"/>
                <w:szCs w:val="20"/>
                <w:color w:val="auto"/>
              </w:rPr>
            </w:pPr>
            <w:r>
              <w:rPr>
                <w:rFonts w:ascii="Arial" w:cs="Arial" w:eastAsia="Arial" w:hAnsi="Arial"/>
                <w:sz w:val="18"/>
                <w:szCs w:val="18"/>
                <w:color w:val="auto"/>
              </w:rPr>
              <w:t>Effective Date and Term1</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1.2</w:t>
            </w:r>
          </w:p>
        </w:tc>
        <w:tc>
          <w:tcPr>
            <w:tcW w:w="9500" w:type="dxa"/>
            <w:vAlign w:val="bottom"/>
          </w:tcPr>
          <w:p>
            <w:pPr>
              <w:ind w:left="1000"/>
              <w:spacing w:after="0"/>
              <w:rPr>
                <w:sz w:val="20"/>
                <w:szCs w:val="20"/>
                <w:color w:val="auto"/>
              </w:rPr>
            </w:pPr>
            <w:r>
              <w:rPr>
                <w:rFonts w:ascii="Arial" w:cs="Arial" w:eastAsia="Arial" w:hAnsi="Arial"/>
                <w:sz w:val="18"/>
                <w:szCs w:val="18"/>
                <w:color w:val="auto"/>
              </w:rPr>
              <w:t>Purpose of the Plan1</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2</w:t>
            </w:r>
          </w:p>
        </w:tc>
        <w:tc>
          <w:tcPr>
            <w:tcW w:w="9500" w:type="dxa"/>
            <w:vAlign w:val="bottom"/>
          </w:tcPr>
          <w:p>
            <w:pPr>
              <w:jc w:val="center"/>
              <w:ind w:right="1411"/>
              <w:spacing w:after="0"/>
              <w:rPr>
                <w:sz w:val="20"/>
                <w:szCs w:val="20"/>
                <w:color w:val="auto"/>
              </w:rPr>
            </w:pPr>
            <w:r>
              <w:rPr>
                <w:rFonts w:ascii="Arial" w:cs="Arial" w:eastAsia="Arial" w:hAnsi="Arial"/>
                <w:sz w:val="18"/>
                <w:szCs w:val="18"/>
                <w:color w:val="auto"/>
                <w:w w:val="96"/>
              </w:rPr>
              <w:t>DEFINITIONS1</w:t>
            </w:r>
          </w:p>
        </w:tc>
      </w:tr>
      <w:tr>
        <w:trPr>
          <w:trHeight w:val="465"/>
        </w:trPr>
        <w:tc>
          <w:tcPr>
            <w:tcW w:w="1800" w:type="dxa"/>
            <w:vAlign w:val="bottom"/>
          </w:tcPr>
          <w:p>
            <w:pPr>
              <w:spacing w:after="0"/>
              <w:rPr>
                <w:sz w:val="20"/>
                <w:szCs w:val="20"/>
                <w:color w:val="auto"/>
              </w:rPr>
            </w:pPr>
            <w:r>
              <w:rPr>
                <w:rFonts w:ascii="Arial" w:cs="Arial" w:eastAsia="Arial" w:hAnsi="Arial"/>
                <w:sz w:val="18"/>
                <w:szCs w:val="18"/>
                <w:color w:val="auto"/>
              </w:rPr>
              <w:t>ARTICLE 3</w:t>
            </w:r>
          </w:p>
        </w:tc>
        <w:tc>
          <w:tcPr>
            <w:tcW w:w="9500" w:type="dxa"/>
            <w:vAlign w:val="bottom"/>
          </w:tcPr>
          <w:p>
            <w:pPr>
              <w:ind w:left="140"/>
              <w:spacing w:after="0"/>
              <w:rPr>
                <w:sz w:val="20"/>
                <w:szCs w:val="20"/>
                <w:color w:val="auto"/>
              </w:rPr>
            </w:pPr>
            <w:r>
              <w:rPr>
                <w:rFonts w:ascii="Arial" w:cs="Arial" w:eastAsia="Arial" w:hAnsi="Arial"/>
                <w:sz w:val="18"/>
                <w:szCs w:val="18"/>
                <w:color w:val="auto"/>
              </w:rPr>
              <w:t>ANNUAL INCENTIVE OPPORTUNITY TARGETS AND AWARDS2</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3.1</w:t>
            </w:r>
          </w:p>
        </w:tc>
        <w:tc>
          <w:tcPr>
            <w:tcW w:w="9500" w:type="dxa"/>
            <w:vAlign w:val="bottom"/>
          </w:tcPr>
          <w:p>
            <w:pPr>
              <w:ind w:left="1000"/>
              <w:spacing w:after="0"/>
              <w:rPr>
                <w:sz w:val="20"/>
                <w:szCs w:val="20"/>
                <w:color w:val="auto"/>
              </w:rPr>
            </w:pPr>
            <w:r>
              <w:rPr>
                <w:rFonts w:ascii="Arial" w:cs="Arial" w:eastAsia="Arial" w:hAnsi="Arial"/>
                <w:sz w:val="18"/>
                <w:szCs w:val="18"/>
                <w:color w:val="auto"/>
              </w:rPr>
              <w:t>Authority of the Compensation Committee2</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3.2</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Performance Criteria3</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3.3</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Annual Incentive Opportunity Targets3</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3.4</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Funding Target for the Annual Incentive Plan4</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3.5</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Annual Incentive Award Pools4</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3.6</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and Approval of Annual Incentive Awards4</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4</w:t>
            </w:r>
          </w:p>
        </w:tc>
        <w:tc>
          <w:tcPr>
            <w:tcW w:w="9500" w:type="dxa"/>
            <w:vAlign w:val="bottom"/>
          </w:tcPr>
          <w:p>
            <w:pPr>
              <w:jc w:val="center"/>
              <w:ind w:right="1411"/>
              <w:spacing w:after="0"/>
              <w:rPr>
                <w:sz w:val="20"/>
                <w:szCs w:val="20"/>
                <w:color w:val="auto"/>
              </w:rPr>
            </w:pPr>
            <w:r>
              <w:rPr>
                <w:rFonts w:ascii="Arial" w:cs="Arial" w:eastAsia="Arial" w:hAnsi="Arial"/>
                <w:sz w:val="18"/>
                <w:szCs w:val="18"/>
                <w:color w:val="auto"/>
                <w:w w:val="94"/>
              </w:rPr>
              <w:t>FUNDING, PAYMENT AND RIGHTS OF PARTICIPANTS5</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4.1</w:t>
            </w:r>
          </w:p>
        </w:tc>
        <w:tc>
          <w:tcPr>
            <w:tcW w:w="9500" w:type="dxa"/>
            <w:vAlign w:val="bottom"/>
          </w:tcPr>
          <w:p>
            <w:pPr>
              <w:ind w:left="1000"/>
              <w:spacing w:after="0"/>
              <w:rPr>
                <w:sz w:val="20"/>
                <w:szCs w:val="20"/>
                <w:color w:val="auto"/>
              </w:rPr>
            </w:pPr>
            <w:r>
              <w:rPr>
                <w:rFonts w:ascii="Arial" w:cs="Arial" w:eastAsia="Arial" w:hAnsi="Arial"/>
                <w:sz w:val="18"/>
                <w:szCs w:val="18"/>
                <w:color w:val="auto"/>
              </w:rPr>
              <w:t>Unfunded Plan5</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4.2</w:t>
            </w:r>
          </w:p>
        </w:tc>
        <w:tc>
          <w:tcPr>
            <w:tcW w:w="9500" w:type="dxa"/>
            <w:vAlign w:val="bottom"/>
          </w:tcPr>
          <w:p>
            <w:pPr>
              <w:ind w:left="1000"/>
              <w:spacing w:after="0"/>
              <w:rPr>
                <w:sz w:val="20"/>
                <w:szCs w:val="20"/>
                <w:color w:val="auto"/>
              </w:rPr>
            </w:pPr>
            <w:r>
              <w:rPr>
                <w:rFonts w:ascii="Arial" w:cs="Arial" w:eastAsia="Arial" w:hAnsi="Arial"/>
                <w:sz w:val="18"/>
                <w:szCs w:val="18"/>
                <w:color w:val="auto"/>
              </w:rPr>
              <w:t>Payment of Annual Incentive Awards5</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4.3</w:t>
            </w:r>
          </w:p>
        </w:tc>
        <w:tc>
          <w:tcPr>
            <w:tcW w:w="9500" w:type="dxa"/>
            <w:vAlign w:val="bottom"/>
          </w:tcPr>
          <w:p>
            <w:pPr>
              <w:ind w:left="1000"/>
              <w:spacing w:after="0"/>
              <w:rPr>
                <w:sz w:val="20"/>
                <w:szCs w:val="20"/>
                <w:color w:val="auto"/>
              </w:rPr>
            </w:pPr>
            <w:r>
              <w:rPr>
                <w:rFonts w:ascii="Arial" w:cs="Arial" w:eastAsia="Arial" w:hAnsi="Arial"/>
                <w:sz w:val="18"/>
                <w:szCs w:val="18"/>
                <w:color w:val="auto"/>
              </w:rPr>
              <w:t>Modification of Performance Standards5</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5</w:t>
            </w:r>
          </w:p>
        </w:tc>
        <w:tc>
          <w:tcPr>
            <w:tcW w:w="9500" w:type="dxa"/>
            <w:vAlign w:val="bottom"/>
          </w:tcPr>
          <w:p>
            <w:pPr>
              <w:jc w:val="center"/>
              <w:ind w:right="1391"/>
              <w:spacing w:after="0"/>
              <w:rPr>
                <w:sz w:val="20"/>
                <w:szCs w:val="20"/>
                <w:color w:val="auto"/>
              </w:rPr>
            </w:pPr>
            <w:r>
              <w:rPr>
                <w:rFonts w:ascii="Arial" w:cs="Arial" w:eastAsia="Arial" w:hAnsi="Arial"/>
                <w:sz w:val="18"/>
                <w:szCs w:val="18"/>
                <w:color w:val="auto"/>
                <w:w w:val="97"/>
              </w:rPr>
              <w:t>AMENDMENT AND TERMINATION OF THE PLAN5</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6</w:t>
            </w:r>
          </w:p>
        </w:tc>
        <w:tc>
          <w:tcPr>
            <w:tcW w:w="9500" w:type="dxa"/>
            <w:vAlign w:val="bottom"/>
          </w:tcPr>
          <w:p>
            <w:pPr>
              <w:jc w:val="center"/>
              <w:ind w:right="1411"/>
              <w:spacing w:after="0"/>
              <w:rPr>
                <w:sz w:val="20"/>
                <w:szCs w:val="20"/>
                <w:color w:val="auto"/>
              </w:rPr>
            </w:pPr>
            <w:r>
              <w:rPr>
                <w:rFonts w:ascii="Arial" w:cs="Arial" w:eastAsia="Arial" w:hAnsi="Arial"/>
                <w:sz w:val="18"/>
                <w:szCs w:val="18"/>
                <w:color w:val="auto"/>
                <w:w w:val="93"/>
              </w:rPr>
              <w:t>GENERAL PROVISIONS6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6.1</w:t>
            </w:r>
          </w:p>
        </w:tc>
        <w:tc>
          <w:tcPr>
            <w:tcW w:w="9500" w:type="dxa"/>
            <w:vAlign w:val="bottom"/>
          </w:tcPr>
          <w:p>
            <w:pPr>
              <w:ind w:left="1000"/>
              <w:spacing w:after="0"/>
              <w:rPr>
                <w:sz w:val="20"/>
                <w:szCs w:val="20"/>
                <w:color w:val="auto"/>
              </w:rPr>
            </w:pPr>
            <w:r>
              <w:rPr>
                <w:rFonts w:ascii="Arial" w:cs="Arial" w:eastAsia="Arial" w:hAnsi="Arial"/>
                <w:sz w:val="18"/>
                <w:szCs w:val="18"/>
                <w:color w:val="auto"/>
              </w:rPr>
              <w:t>Liability of Corporation6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6.2</w:t>
            </w:r>
          </w:p>
        </w:tc>
        <w:tc>
          <w:tcPr>
            <w:tcW w:w="9500" w:type="dxa"/>
            <w:vAlign w:val="bottom"/>
          </w:tcPr>
          <w:p>
            <w:pPr>
              <w:ind w:left="1000"/>
              <w:spacing w:after="0"/>
              <w:rPr>
                <w:sz w:val="20"/>
                <w:szCs w:val="20"/>
                <w:color w:val="auto"/>
              </w:rPr>
            </w:pPr>
            <w:r>
              <w:rPr>
                <w:rFonts w:ascii="Arial" w:cs="Arial" w:eastAsia="Arial" w:hAnsi="Arial"/>
                <w:sz w:val="18"/>
                <w:szCs w:val="18"/>
                <w:color w:val="auto"/>
              </w:rPr>
              <w:t>Liability of Administrators6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6.3</w:t>
            </w:r>
          </w:p>
        </w:tc>
        <w:tc>
          <w:tcPr>
            <w:tcW w:w="9500" w:type="dxa"/>
            <w:vAlign w:val="bottom"/>
          </w:tcPr>
          <w:p>
            <w:pPr>
              <w:ind w:left="1000"/>
              <w:spacing w:after="0"/>
              <w:rPr>
                <w:sz w:val="20"/>
                <w:szCs w:val="20"/>
                <w:color w:val="auto"/>
              </w:rPr>
            </w:pPr>
            <w:r>
              <w:rPr>
                <w:rFonts w:ascii="Arial" w:cs="Arial" w:eastAsia="Arial" w:hAnsi="Arial"/>
                <w:sz w:val="18"/>
                <w:szCs w:val="18"/>
                <w:color w:val="auto"/>
              </w:rPr>
              <w:t>Assignment and Alienation6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6.4</w:t>
            </w:r>
          </w:p>
        </w:tc>
        <w:tc>
          <w:tcPr>
            <w:tcW w:w="9500" w:type="dxa"/>
            <w:vAlign w:val="bottom"/>
          </w:tcPr>
          <w:p>
            <w:pPr>
              <w:ind w:left="1000"/>
              <w:spacing w:after="0"/>
              <w:rPr>
                <w:sz w:val="20"/>
                <w:szCs w:val="20"/>
                <w:color w:val="auto"/>
              </w:rPr>
            </w:pPr>
            <w:r>
              <w:rPr>
                <w:rFonts w:ascii="Arial" w:cs="Arial" w:eastAsia="Arial" w:hAnsi="Arial"/>
                <w:sz w:val="18"/>
                <w:szCs w:val="18"/>
                <w:color w:val="auto"/>
              </w:rPr>
              <w:t>Code Section 409A6</w:t>
            </w:r>
          </w:p>
        </w:tc>
      </w:tr>
      <w:tr>
        <w:trPr>
          <w:trHeight w:val="288"/>
        </w:trPr>
        <w:tc>
          <w:tcPr>
            <w:tcW w:w="1800" w:type="dxa"/>
            <w:vAlign w:val="bottom"/>
          </w:tcPr>
          <w:p>
            <w:pPr>
              <w:spacing w:after="0"/>
              <w:rPr>
                <w:sz w:val="24"/>
                <w:szCs w:val="24"/>
                <w:color w:val="auto"/>
              </w:rPr>
            </w:pPr>
          </w:p>
        </w:tc>
        <w:tc>
          <w:tcPr>
            <w:tcW w:w="9500" w:type="dxa"/>
            <w:vAlign w:val="bottom"/>
          </w:tcPr>
          <w:p>
            <w:pPr>
              <w:ind w:left="3760"/>
              <w:spacing w:after="0"/>
              <w:rPr>
                <w:sz w:val="20"/>
                <w:szCs w:val="20"/>
                <w:color w:val="auto"/>
              </w:rPr>
            </w:pPr>
            <w:r>
              <w:rPr>
                <w:rFonts w:ascii="Arial" w:cs="Arial" w:eastAsia="Arial" w:hAnsi="Arial"/>
                <w:sz w:val="18"/>
                <w:szCs w:val="18"/>
                <w:color w:val="auto"/>
              </w:rPr>
              <w:t>-i-</w:t>
            </w:r>
          </w:p>
        </w:tc>
      </w:tr>
      <w:tr>
        <w:trPr>
          <w:trHeight w:val="382"/>
        </w:trPr>
        <w:tc>
          <w:tcPr>
            <w:tcW w:w="180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7169150</wp:posOffset>
            </wp:positionH>
            <wp:positionV relativeFrom="paragraph">
              <wp:posOffset>-6350</wp:posOffset>
            </wp:positionV>
            <wp:extent cx="6985"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300"/>
          </w:cols>
          <w:pgMar w:left="300" w:top="854" w:right="299" w:bottom="1440" w:gutter="0" w:footer="0" w:header="0"/>
        </w:sectPr>
      </w:pPr>
    </w:p>
    <w:bookmarkStart w:id="155" w:name="page156"/>
    <w:bookmarkEnd w:id="155"/>
    <w:p>
      <w:pPr>
        <w:jc w:val="center"/>
        <w:ind w:right="-79"/>
        <w:spacing w:after="0"/>
        <w:rPr>
          <w:sz w:val="20"/>
          <w:szCs w:val="20"/>
          <w:color w:val="auto"/>
        </w:rPr>
      </w:pPr>
      <w:r>
        <w:rPr>
          <w:rFonts w:ascii="Arial" w:cs="Arial" w:eastAsia="Arial" w:hAnsi="Arial"/>
          <w:sz w:val="18"/>
          <w:szCs w:val="18"/>
          <w:color w:val="auto"/>
        </w:rPr>
        <w:t>PARSONS CORPORATION</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INCENTIVE PLAN</w:t>
      </w:r>
    </w:p>
    <w:p>
      <w:pPr>
        <w:spacing w:after="0" w:line="156" w:lineRule="exact"/>
        <w:rPr>
          <w:sz w:val="20"/>
          <w:szCs w:val="20"/>
          <w:color w:val="auto"/>
        </w:rPr>
      </w:pPr>
    </w:p>
    <w:p>
      <w:pPr>
        <w:ind w:right="80" w:firstLine="867"/>
        <w:spacing w:after="0" w:line="241" w:lineRule="auto"/>
        <w:rPr>
          <w:sz w:val="20"/>
          <w:szCs w:val="20"/>
          <w:color w:val="auto"/>
        </w:rPr>
      </w:pPr>
      <w:r>
        <w:rPr>
          <w:rFonts w:ascii="Arial" w:cs="Arial" w:eastAsia="Arial" w:hAnsi="Arial"/>
          <w:sz w:val="18"/>
          <w:szCs w:val="18"/>
          <w:color w:val="auto"/>
        </w:rPr>
        <w:t>Parsons Corporation, a Delaware corporation with its principal place of business in California, hereby establishes and sets forth the terms and conditions of the Parsons Corporation Annual Incentive Plan (the “Plan”) for the benefit of eligible employees on the terms and conditions described hereinafter:</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1</w:t>
      </w:r>
    </w:p>
    <w:p>
      <w:pPr>
        <w:spacing w:after="0" w:line="6"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PREFACE</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Effective Date and Term</w:t>
      </w:r>
      <w:r>
        <w:rPr>
          <w:rFonts w:ascii="Arial" w:cs="Arial" w:eastAsia="Arial" w:hAnsi="Arial"/>
          <w:sz w:val="18"/>
          <w:szCs w:val="18"/>
          <w:color w:val="auto"/>
        </w:rPr>
        <w:t>. The Plan shall be effective on January 1, 2012, and shall continue in force and effect until terminated by the Board.</w:t>
      </w:r>
    </w:p>
    <w:p>
      <w:pPr>
        <w:spacing w:after="0" w:line="143"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Plan is intended to encourage participating key employees of the Corporation to remain in its employ and to motivate such participants to exert maximum effort to achieve the Corporation’s goals.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2</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DEFINITIONS</w:t>
      </w:r>
    </w:p>
    <w:p>
      <w:pPr>
        <w:spacing w:after="0" w:line="156" w:lineRule="exact"/>
        <w:rPr>
          <w:sz w:val="20"/>
          <w:szCs w:val="20"/>
          <w:color w:val="auto"/>
        </w:rPr>
      </w:pPr>
    </w:p>
    <w:p>
      <w:pPr>
        <w:ind w:right="340" w:firstLine="757"/>
        <w:spacing w:after="0" w:line="251" w:lineRule="auto"/>
        <w:rPr>
          <w:sz w:val="20"/>
          <w:szCs w:val="20"/>
          <w:color w:val="auto"/>
        </w:rPr>
      </w:pPr>
      <w:r>
        <w:rPr>
          <w:rFonts w:ascii="Arial" w:cs="Arial" w:eastAsia="Arial" w:hAnsi="Arial"/>
          <w:sz w:val="18"/>
          <w:szCs w:val="18"/>
          <w:color w:val="auto"/>
        </w:rPr>
        <w:t>The words and phrases identified in quotation marks below, when used in the Plan and related documents, shall have the meanings set forth in this Article 2, unless the context clearly indicates otherwise.</w:t>
      </w:r>
    </w:p>
    <w:p>
      <w:pPr>
        <w:spacing w:after="0" w:line="143" w:lineRule="exact"/>
        <w:rPr>
          <w:sz w:val="20"/>
          <w:szCs w:val="20"/>
          <w:color w:val="auto"/>
        </w:rPr>
      </w:pPr>
    </w:p>
    <w:p>
      <w:pPr>
        <w:ind w:left="1600" w:hanging="725"/>
        <w:spacing w:after="0"/>
        <w:tabs>
          <w:tab w:leader="none" w:pos="1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169" w:lineRule="exact"/>
        <w:rPr>
          <w:rFonts w:ascii="Arial" w:cs="Arial" w:eastAsia="Arial" w:hAnsi="Arial"/>
          <w:sz w:val="18"/>
          <w:szCs w:val="18"/>
          <w:color w:val="auto"/>
        </w:rPr>
      </w:pPr>
    </w:p>
    <w:p>
      <w:pPr>
        <w:ind w:firstLine="875"/>
        <w:spacing w:after="0" w:line="279" w:lineRule="auto"/>
        <w:tabs>
          <w:tab w:leader="none" w:pos="161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Total Rewards Committee</w:t>
      </w:r>
      <w:r>
        <w:rPr>
          <w:rFonts w:ascii="Arial" w:cs="Arial" w:eastAsia="Arial" w:hAnsi="Arial"/>
          <w:sz w:val="17"/>
          <w:szCs w:val="17"/>
          <w:color w:val="auto"/>
        </w:rPr>
        <w:t>” means the committee composed of the CEO and other executives named by the CEO to review and approve Annual Incentive Awards for Participants below the level of those required to be reviewed by the Compensation Committee.</w:t>
      </w:r>
    </w:p>
    <w:p>
      <w:pPr>
        <w:spacing w:after="0" w:line="121" w:lineRule="exact"/>
        <w:rPr>
          <w:rFonts w:ascii="Arial" w:cs="Arial" w:eastAsia="Arial" w:hAnsi="Arial"/>
          <w:sz w:val="17"/>
          <w:szCs w:val="17"/>
          <w:color w:val="auto"/>
        </w:rPr>
      </w:pPr>
    </w:p>
    <w:p>
      <w:pPr>
        <w:ind w:left="1600" w:hanging="725"/>
        <w:spacing w:after="0"/>
        <w:tabs>
          <w:tab w:leader="none" w:pos="16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Parsons Corporation.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00"/>
          </w:cols>
          <w:pgMar w:left="300" w:top="855" w:right="399" w:bottom="1440" w:gutter="0" w:footer="0" w:header="0"/>
        </w:sectPr>
      </w:pPr>
    </w:p>
    <w:bookmarkStart w:id="156" w:name="page157"/>
    <w:bookmarkEnd w:id="156"/>
    <w:p>
      <w:pPr>
        <w:ind w:left="1620" w:hanging="745"/>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Parsons Corporation and any of its subsidiary companies of any tier.</w:t>
      </w:r>
    </w:p>
    <w:p>
      <w:pPr>
        <w:spacing w:after="0" w:line="169" w:lineRule="exact"/>
        <w:rPr>
          <w:rFonts w:ascii="Arial" w:cs="Arial" w:eastAsia="Arial" w:hAnsi="Arial"/>
          <w:sz w:val="18"/>
          <w:szCs w:val="18"/>
          <w:color w:val="auto"/>
        </w:rPr>
      </w:pPr>
    </w:p>
    <w:p>
      <w:pPr>
        <w:ind w:left="1600" w:hanging="725"/>
        <w:spacing w:after="0"/>
        <w:tabs>
          <w:tab w:leader="none" w:pos="1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each employee of the Corporation selected to participate in the Plan for each Performance Cycle.</w:t>
      </w:r>
    </w:p>
    <w:p>
      <w:pPr>
        <w:spacing w:after="0" w:line="169" w:lineRule="exact"/>
        <w:rPr>
          <w:rFonts w:ascii="Arial" w:cs="Arial" w:eastAsia="Arial" w:hAnsi="Arial"/>
          <w:sz w:val="18"/>
          <w:szCs w:val="18"/>
          <w:color w:val="auto"/>
        </w:rPr>
      </w:pPr>
    </w:p>
    <w:p>
      <w:pPr>
        <w:ind w:left="1580" w:hanging="705"/>
        <w:spacing w:after="0"/>
        <w:tabs>
          <w:tab w:leader="none" w:pos="15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Cycle</w:t>
      </w:r>
      <w:r>
        <w:rPr>
          <w:rFonts w:ascii="Arial" w:cs="Arial" w:eastAsia="Arial" w:hAnsi="Arial"/>
          <w:sz w:val="18"/>
          <w:szCs w:val="18"/>
          <w:color w:val="auto"/>
        </w:rPr>
        <w:t>” means a fiscal year of the Corporation.</w:t>
      </w:r>
    </w:p>
    <w:p>
      <w:pPr>
        <w:spacing w:after="0" w:line="169" w:lineRule="exact"/>
        <w:rPr>
          <w:rFonts w:ascii="Arial" w:cs="Arial" w:eastAsia="Arial" w:hAnsi="Arial"/>
          <w:sz w:val="18"/>
          <w:szCs w:val="18"/>
          <w:color w:val="auto"/>
        </w:rPr>
      </w:pPr>
    </w:p>
    <w:p>
      <w:pPr>
        <w:ind w:left="1620" w:hanging="745"/>
        <w:spacing w:after="0"/>
        <w:tabs>
          <w:tab w:leader="none" w:pos="16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Parsons Corporation Annual Incentive Plan.</w:t>
      </w:r>
    </w:p>
    <w:p>
      <w:pPr>
        <w:spacing w:after="0" w:line="169" w:lineRule="exact"/>
        <w:rPr>
          <w:rFonts w:ascii="Arial" w:cs="Arial" w:eastAsia="Arial" w:hAnsi="Arial"/>
          <w:sz w:val="18"/>
          <w:szCs w:val="18"/>
          <w:color w:val="auto"/>
        </w:rPr>
      </w:pPr>
    </w:p>
    <w:p>
      <w:pPr>
        <w:ind w:right="620" w:firstLine="875"/>
        <w:spacing w:after="0" w:line="251" w:lineRule="auto"/>
        <w:tabs>
          <w:tab w:leader="none" w:pos="160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Incentive Opportunity Target</w:t>
      </w:r>
      <w:r>
        <w:rPr>
          <w:rFonts w:ascii="Arial" w:cs="Arial" w:eastAsia="Arial" w:hAnsi="Arial"/>
          <w:sz w:val="18"/>
          <w:szCs w:val="18"/>
          <w:color w:val="auto"/>
        </w:rPr>
        <w:t>” means the target value of the incentive which could potentially be earned by an eligible Participant in respect of a Performance Cycle.</w:t>
      </w:r>
    </w:p>
    <w:p>
      <w:pPr>
        <w:spacing w:after="0" w:line="143" w:lineRule="exact"/>
        <w:rPr>
          <w:rFonts w:ascii="Arial" w:cs="Arial" w:eastAsia="Arial" w:hAnsi="Arial"/>
          <w:sz w:val="18"/>
          <w:szCs w:val="18"/>
          <w:color w:val="auto"/>
        </w:rPr>
      </w:pPr>
    </w:p>
    <w:p>
      <w:pPr>
        <w:ind w:firstLine="875"/>
        <w:spacing w:after="0" w:line="251" w:lineRule="auto"/>
        <w:tabs>
          <w:tab w:leader="none" w:pos="156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Incentive Award</w:t>
      </w:r>
      <w:r>
        <w:rPr>
          <w:rFonts w:ascii="Arial" w:cs="Arial" w:eastAsia="Arial" w:hAnsi="Arial"/>
          <w:sz w:val="18"/>
          <w:szCs w:val="18"/>
          <w:color w:val="auto"/>
        </w:rPr>
        <w:t>” means the value of the cash incentive payment earned by an eligible Participant under the Plan in respect of a completed Performance Cycle.</w:t>
      </w:r>
    </w:p>
    <w:p>
      <w:pPr>
        <w:spacing w:after="0" w:line="143" w:lineRule="exact"/>
        <w:rPr>
          <w:rFonts w:ascii="Arial" w:cs="Arial" w:eastAsia="Arial" w:hAnsi="Arial"/>
          <w:sz w:val="18"/>
          <w:szCs w:val="18"/>
          <w:color w:val="auto"/>
        </w:rPr>
      </w:pPr>
    </w:p>
    <w:p>
      <w:pPr>
        <w:ind w:right="400" w:firstLine="875"/>
        <w:spacing w:after="0" w:line="251" w:lineRule="auto"/>
        <w:tabs>
          <w:tab w:leader="none" w:pos="1566" w:val="left"/>
        </w:tabs>
        <w:numPr>
          <w:ilvl w:val="0"/>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Award Pools</w:t>
      </w:r>
      <w:r>
        <w:rPr>
          <w:rFonts w:ascii="Arial" w:cs="Arial" w:eastAsia="Arial" w:hAnsi="Arial"/>
          <w:sz w:val="18"/>
          <w:szCs w:val="18"/>
          <w:color w:val="auto"/>
        </w:rPr>
        <w:t>” means the amount of cash available to pay Annual Incentive Awards earned under the Plan as determined pursuant to Section 3.5.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ANNUAL INCENTIVE OPPORTUNITY TARGETS AND AWARDS</w:t>
      </w:r>
    </w:p>
    <w:p>
      <w:pPr>
        <w:spacing w:after="0" w:line="15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Authority of the Compensation Committee</w:t>
      </w:r>
      <w:r>
        <w:rPr>
          <w:rFonts w:ascii="Arial" w:cs="Arial" w:eastAsia="Arial" w:hAnsi="Arial"/>
          <w:sz w:val="16"/>
          <w:szCs w:val="16"/>
          <w:color w:val="auto"/>
        </w:rPr>
        <w:t>. With respect to the Plan, the Compensation Committee shall in its discretion:</w:t>
      </w:r>
    </w:p>
    <w:p>
      <w:pPr>
        <w:spacing w:after="0" w:line="170" w:lineRule="exact"/>
        <w:rPr>
          <w:sz w:val="20"/>
          <w:szCs w:val="20"/>
          <w:color w:val="auto"/>
        </w:rPr>
      </w:pPr>
    </w:p>
    <w:p>
      <w:pPr>
        <w:ind w:left="1600" w:hanging="725"/>
        <w:spacing w:after="0"/>
        <w:tabs>
          <w:tab w:leader="none" w:pos="1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the funding level of any Incentive Award Pool for Participants,</w:t>
      </w:r>
    </w:p>
    <w:p>
      <w:pPr>
        <w:spacing w:after="0" w:line="169" w:lineRule="exact"/>
        <w:rPr>
          <w:rFonts w:ascii="Arial" w:cs="Arial" w:eastAsia="Arial" w:hAnsi="Arial"/>
          <w:sz w:val="18"/>
          <w:szCs w:val="18"/>
          <w:color w:val="auto"/>
        </w:rPr>
      </w:pPr>
    </w:p>
    <w:p>
      <w:pPr>
        <w:ind w:left="1620" w:hanging="745"/>
        <w:spacing w:after="0"/>
        <w:tabs>
          <w:tab w:leader="none" w:pos="16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Determine the Annual Incentive Opportunity Target and Annual Incentive Award for the CEO,</w:t>
      </w:r>
    </w:p>
    <w:p>
      <w:pPr>
        <w:spacing w:after="0" w:line="169" w:lineRule="exact"/>
        <w:rPr>
          <w:rFonts w:ascii="Arial" w:cs="Arial" w:eastAsia="Arial" w:hAnsi="Arial"/>
          <w:sz w:val="18"/>
          <w:szCs w:val="18"/>
          <w:color w:val="auto"/>
        </w:rPr>
      </w:pPr>
    </w:p>
    <w:p>
      <w:pPr>
        <w:ind w:right="700" w:firstLine="875"/>
        <w:spacing w:after="0" w:line="251" w:lineRule="auto"/>
        <w:tabs>
          <w:tab w:leader="none" w:pos="16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approve the Annual Incentive Opportunity Targets and Annual Incentive Awards recommended by the CEO for Presidents and other key officers designated by the Compensation Committee for review and approval,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157" w:name="page158"/>
    <w:bookmarkEnd w:id="157"/>
    <w:p>
      <w:pPr>
        <w:ind w:right="280" w:firstLine="875"/>
        <w:spacing w:after="0" w:line="251" w:lineRule="auto"/>
        <w:tabs>
          <w:tab w:leader="none" w:pos="16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Delegate to the Total Rewards Committee the authority to determine Annual Incentive Opportunity Targets and Annual Incentive Awards for all other participants in the Plan,</w:t>
      </w:r>
    </w:p>
    <w:p>
      <w:pPr>
        <w:spacing w:after="0" w:line="143" w:lineRule="exact"/>
        <w:rPr>
          <w:rFonts w:ascii="Arial" w:cs="Arial" w:eastAsia="Arial" w:hAnsi="Arial"/>
          <w:sz w:val="18"/>
          <w:szCs w:val="18"/>
          <w:color w:val="auto"/>
        </w:rPr>
      </w:pPr>
    </w:p>
    <w:p>
      <w:pPr>
        <w:ind w:firstLine="875"/>
        <w:spacing w:after="0" w:line="251" w:lineRule="auto"/>
        <w:tabs>
          <w:tab w:leader="none" w:pos="15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Make all other determinations and take all other actions as may be necessary, appropriate or advisable for the administration of the Plan, to the extent not delegated to the Total Rewards Committee.</w:t>
      </w:r>
    </w:p>
    <w:p>
      <w:pPr>
        <w:spacing w:after="0" w:line="14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Determination of Performance Criteria</w:t>
      </w:r>
      <w:r>
        <w:rPr>
          <w:rFonts w:ascii="Arial" w:cs="Arial" w:eastAsia="Arial" w:hAnsi="Arial"/>
          <w:sz w:val="18"/>
          <w:szCs w:val="18"/>
          <w:color w:val="auto"/>
        </w:rPr>
        <w:t>. At the beginning of the Performance Cycle, the Compensation Committee shall confirm performance criteria consistent with the business plan approved by the Board. Performance criteria may be expressed in terms of overall financial and operational results of the Corporation or such other measurement as the Board or Compensation Committee may determine in its discretion. Individual performance goals for each Participant are set and communicated as follows:</w:t>
      </w:r>
    </w:p>
    <w:p>
      <w:pPr>
        <w:spacing w:after="0" w:line="154" w:lineRule="exact"/>
        <w:rPr>
          <w:sz w:val="20"/>
          <w:szCs w:val="20"/>
          <w:color w:val="auto"/>
        </w:rPr>
      </w:pPr>
    </w:p>
    <w:p>
      <w:pPr>
        <w:ind w:left="2140" w:hanging="1265"/>
        <w:spacing w:after="0"/>
        <w:tabs>
          <w:tab w:leader="none" w:pos="21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CEO communicates performance goals in writing to Participants who report to the CEO.</w:t>
      </w:r>
    </w:p>
    <w:p>
      <w:pPr>
        <w:spacing w:after="0" w:line="169" w:lineRule="exact"/>
        <w:rPr>
          <w:rFonts w:ascii="Arial" w:cs="Arial" w:eastAsia="Arial" w:hAnsi="Arial"/>
          <w:sz w:val="18"/>
          <w:szCs w:val="18"/>
          <w:color w:val="auto"/>
        </w:rPr>
      </w:pPr>
    </w:p>
    <w:p>
      <w:pPr>
        <w:ind w:right="120" w:firstLine="875"/>
        <w:spacing w:after="0" w:line="241" w:lineRule="auto"/>
        <w:tabs>
          <w:tab w:leader="none" w:pos="2137"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Each Participant who reports to the CEO determines the performance goals for their direct reports and each Business President approves guidance for financial and operational performance goals at the Segment, Sub Segment and Directorate/Sector and other applicable organization level within the Business.</w:t>
      </w:r>
    </w:p>
    <w:p>
      <w:pPr>
        <w:spacing w:after="0" w:line="152" w:lineRule="exact"/>
        <w:rPr>
          <w:rFonts w:ascii="Arial" w:cs="Arial" w:eastAsia="Arial" w:hAnsi="Arial"/>
          <w:sz w:val="18"/>
          <w:szCs w:val="18"/>
          <w:color w:val="auto"/>
        </w:rPr>
      </w:pPr>
    </w:p>
    <w:p>
      <w:pPr>
        <w:ind w:right="800" w:firstLine="875"/>
        <w:spacing w:after="0" w:line="251" w:lineRule="auto"/>
        <w:tabs>
          <w:tab w:leader="none" w:pos="2127" w:val="left"/>
        </w:tabs>
        <w:numPr>
          <w:ilvl w:val="0"/>
          <w:numId w:val="86"/>
        </w:numPr>
        <w:rPr>
          <w:rFonts w:ascii="Arial" w:cs="Arial" w:eastAsia="Arial" w:hAnsi="Arial"/>
          <w:sz w:val="18"/>
          <w:szCs w:val="18"/>
          <w:color w:val="auto"/>
        </w:rPr>
      </w:pPr>
      <w:r>
        <w:rPr>
          <w:rFonts w:ascii="Arial" w:cs="Arial" w:eastAsia="Arial" w:hAnsi="Arial"/>
          <w:sz w:val="18"/>
          <w:szCs w:val="18"/>
          <w:color w:val="auto"/>
        </w:rPr>
        <w:t>Performance goals are communicated to Participants following approval of performance criteria at the meeting of the Compensation Committee nearest the beginning of the Performance Cycle.</w:t>
      </w:r>
    </w:p>
    <w:p>
      <w:pPr>
        <w:spacing w:after="0" w:line="14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Determination of Annual Incentive Opportunity Targets</w:t>
      </w:r>
      <w:r>
        <w:rPr>
          <w:rFonts w:ascii="Arial" w:cs="Arial" w:eastAsia="Arial" w:hAnsi="Arial"/>
          <w:sz w:val="18"/>
          <w:szCs w:val="18"/>
          <w:color w:val="auto"/>
        </w:rPr>
        <w:t>. The amount of a Participant’s Annual Incentive Opportunity Target may be expressed as a fixed value or as a percent of base salary, or as a range of opportunity with a minimum threshold, a target and a maximum award opportunity. In some instances, a Participant may be advised that the amount of any future incentive award will be discretionary and that the Participant will not have any Annual Incentive Opportunity Target. A Participant may earn an Annual Incentive Award in excess of the amount of the Annual Incentive Opportunity Target. Annual Incentive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158" w:name="page159"/>
    <w:bookmarkEnd w:id="158"/>
    <w:p>
      <w:pPr>
        <w:spacing w:after="0" w:line="256" w:lineRule="auto"/>
        <w:rPr>
          <w:sz w:val="20"/>
          <w:szCs w:val="20"/>
          <w:color w:val="auto"/>
        </w:rPr>
      </w:pPr>
      <w:r>
        <w:rPr>
          <w:rFonts w:ascii="Arial" w:cs="Arial" w:eastAsia="Arial" w:hAnsi="Arial"/>
          <w:sz w:val="17"/>
          <w:szCs w:val="17"/>
          <w:color w:val="auto"/>
        </w:rPr>
        <w:t>Opportunity Targets may be established based on relative levels of responsibility, position and impact on financial and operating results, competitive practice, management discretion or any other applicable factor. The Compensation Committee reviews and approves Annual Incentive Opportunity Targets for those senior executives whose targets and awards are subject to Compensation Committee approval. The CEO reviews and approves Annual Incentive Opportunity Targets proposed by Participants who report to the CEO for Participants in their organizations.</w:t>
      </w:r>
    </w:p>
    <w:p>
      <w:pPr>
        <w:spacing w:after="0" w:line="14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Determination of Funding Target for the Annual Incentive Plan</w:t>
      </w:r>
      <w:r>
        <w:rPr>
          <w:rFonts w:ascii="Arial" w:cs="Arial" w:eastAsia="Arial" w:hAnsi="Arial"/>
          <w:sz w:val="18"/>
          <w:szCs w:val="18"/>
          <w:color w:val="auto"/>
        </w:rPr>
        <w:t>. At the beginning of the Performance Cycle, funding at target for the Annual Incentive Plan is reviewed and approved by the Compensation Committee. The Corporation accrues for the potential liability for funding the Incentive Award Pools, making adjustments during the course of the year based on the actual financial performance of the Corporation or on guidance provided by CEO, Chief Financial Officer or the Compensation Committee.</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Determination of Annual Incentive Award Pools</w:t>
      </w:r>
      <w:r>
        <w:rPr>
          <w:rFonts w:ascii="Arial" w:cs="Arial" w:eastAsia="Arial" w:hAnsi="Arial"/>
          <w:sz w:val="17"/>
          <w:szCs w:val="17"/>
          <w:color w:val="auto"/>
        </w:rPr>
        <w:t>. At the first meeting of the Compensation Committee following the end of the Performance Cycle, where the year-end financial and operating performance of the Corporation is available, the Committee shall review the performance against the criteria originally approved by the Committee or criteria pursuant to a revised business plan. The Incentive Award Pools recommended for the Annual Incentive Plan are reviewed and approved by the Compensation Committee. If the performance of the Corporation falls short of the performance criteria established at the beginning of the Performance Cycle, the Compensation Committee has the authority to establish an adjusted Incentive Award Pool to fund discretionary awards to Participants whose individual performance merits consideration.</w:t>
      </w:r>
    </w:p>
    <w:p>
      <w:pPr>
        <w:spacing w:after="0" w:line="148"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Determination and Approval of Annual Incentive Awards</w:t>
      </w:r>
      <w:r>
        <w:rPr>
          <w:rFonts w:ascii="Arial" w:cs="Arial" w:eastAsia="Arial" w:hAnsi="Arial"/>
          <w:sz w:val="17"/>
          <w:szCs w:val="17"/>
          <w:color w:val="auto"/>
        </w:rPr>
        <w:t>. Following the end of the Performance Cycle and in conjunction with the approval of the Incentive Award Pools, the Compensation Committee reviews the performance of the Corporation and determines the amount of the Annual Incentive Award, if any, earned by the CEO. The CEO recommends Annual Incentive Awards for senior officers designated for review and approval by the Compensation Committee, and then the Compensation Committee determines the amount of</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159" w:name="page160"/>
    <w:bookmarkEnd w:id="159"/>
    <w:p>
      <w:pPr>
        <w:ind w:right="460"/>
        <w:spacing w:after="0" w:line="286" w:lineRule="auto"/>
        <w:rPr>
          <w:sz w:val="20"/>
          <w:szCs w:val="20"/>
          <w:color w:val="auto"/>
        </w:rPr>
      </w:pPr>
      <w:r>
        <w:rPr>
          <w:rFonts w:ascii="Arial" w:cs="Arial" w:eastAsia="Arial" w:hAnsi="Arial"/>
          <w:sz w:val="16"/>
          <w:szCs w:val="16"/>
          <w:color w:val="auto"/>
        </w:rPr>
        <w:t>Annual Incentive Awards, if any, earned by such officers. Such determination may include discretionary consideration for factors other than those performance criteria outlined in the performance goals at the beginning of the performance period. For all others, Annual Incentive Award exception recommendations are reviewed and approved by the Total Rewards Committee prior to scheduled payment of Annual Incentive Awards.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FUNDING, PAYMENT AND RIGHTS OF PARTICIPANTS</w:t>
      </w:r>
    </w:p>
    <w:p>
      <w:pPr>
        <w:spacing w:after="0" w:line="15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is an unfunded, nonqualified plan. The benefits provided under the Plan shall be payable by the Corporation from its general assets.</w:t>
      </w:r>
    </w:p>
    <w:p>
      <w:pPr>
        <w:spacing w:after="0" w:line="143"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Payment of Annual Incentive Awards</w:t>
      </w:r>
      <w:r>
        <w:rPr>
          <w:rFonts w:ascii="Arial" w:cs="Arial" w:eastAsia="Arial" w:hAnsi="Arial"/>
          <w:sz w:val="16"/>
          <w:szCs w:val="16"/>
          <w:color w:val="auto"/>
        </w:rPr>
        <w:t>. Payment of any Annual Incentive Award earned by a Participant shall be made in one payment occurring prior to the 15</w:t>
      </w:r>
      <w:r>
        <w:rPr>
          <w:rFonts w:ascii="Arial" w:cs="Arial" w:eastAsia="Arial" w:hAnsi="Arial"/>
          <w:sz w:val="13"/>
          <w:szCs w:val="13"/>
          <w:color w:val="auto"/>
        </w:rPr>
        <w:t>th</w:t>
      </w:r>
      <w:r>
        <w:rPr>
          <w:rFonts w:ascii="Arial" w:cs="Arial" w:eastAsia="Arial" w:hAnsi="Arial"/>
          <w:sz w:val="16"/>
          <w:szCs w:val="16"/>
          <w:color w:val="auto"/>
        </w:rPr>
        <w:t xml:space="preserve"> of March of the year following completion of the Performance Cycle, provided the Participant is employed as a regular employee by the Corporation at the time of payment. This requirement for continued employment at the time of payment will be waived in the event of;</w:t>
      </w:r>
    </w:p>
    <w:p>
      <w:pPr>
        <w:spacing w:after="0" w:line="118" w:lineRule="exact"/>
        <w:rPr>
          <w:sz w:val="20"/>
          <w:szCs w:val="20"/>
          <w:color w:val="auto"/>
        </w:rPr>
      </w:pPr>
    </w:p>
    <w:p>
      <w:pPr>
        <w:ind w:left="940" w:hanging="433"/>
        <w:spacing w:after="0"/>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Retirement, disability, or death of the Participant prior to the scheduled payment date.</w:t>
      </w:r>
    </w:p>
    <w:p>
      <w:pPr>
        <w:spacing w:after="0" w:line="169" w:lineRule="exact"/>
        <w:rPr>
          <w:rFonts w:ascii="Arial" w:cs="Arial" w:eastAsia="Arial" w:hAnsi="Arial"/>
          <w:sz w:val="18"/>
          <w:szCs w:val="18"/>
          <w:color w:val="auto"/>
        </w:rPr>
      </w:pPr>
    </w:p>
    <w:p>
      <w:pPr>
        <w:ind w:left="940" w:right="100" w:hanging="433"/>
        <w:spacing w:after="0" w:line="241" w:lineRule="auto"/>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Involuntary termination for reason other than performance, misconduct, or change in control, with effect on or after the first day of the fourth fiscal quarter through the scheduled payment date, and shall be prorated, as applicable, by the number of full months the Participant actually worked as a full-time or part-time regular employee during the applicable Performance Cycle.</w:t>
      </w:r>
    </w:p>
    <w:p>
      <w:pPr>
        <w:spacing w:after="0" w:line="152" w:lineRule="exact"/>
        <w:rPr>
          <w:rFonts w:ascii="Arial" w:cs="Arial" w:eastAsia="Arial" w:hAnsi="Arial"/>
          <w:sz w:val="18"/>
          <w:szCs w:val="18"/>
          <w:color w:val="auto"/>
        </w:rPr>
      </w:pPr>
    </w:p>
    <w:p>
      <w:pPr>
        <w:ind w:left="940" w:hanging="433"/>
        <w:spacing w:after="0"/>
        <w:tabs>
          <w:tab w:leader="none" w:pos="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the case of special circumstances as determined by the Committee.</w:t>
      </w:r>
    </w:p>
    <w:p>
      <w:pPr>
        <w:spacing w:after="0" w:line="170"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payment of any Annual Incentive Awards earned by selected Participants may be eligible for deferral under the terms of the Corporation’s deferred compensation plans as in effect from time to time.</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Modification of Performance Standards</w:t>
      </w:r>
      <w:r>
        <w:rPr>
          <w:rFonts w:ascii="Arial" w:cs="Arial" w:eastAsia="Arial" w:hAnsi="Arial"/>
          <w:sz w:val="18"/>
          <w:szCs w:val="18"/>
          <w:color w:val="auto"/>
        </w:rPr>
        <w:t>. If, prior to completion of a Performance Cycle, the Board determines, in its absolute and complete discretion, that the established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55" w:right="339" w:bottom="1440" w:gutter="0" w:footer="0" w:header="0"/>
        </w:sectPr>
      </w:pPr>
    </w:p>
    <w:bookmarkStart w:id="160" w:name="page161"/>
    <w:bookmarkEnd w:id="160"/>
    <w:p>
      <w:pPr>
        <w:spacing w:after="0" w:line="251" w:lineRule="auto"/>
        <w:rPr>
          <w:sz w:val="20"/>
          <w:szCs w:val="20"/>
          <w:color w:val="auto"/>
        </w:rPr>
      </w:pPr>
      <w:r>
        <w:rPr>
          <w:rFonts w:ascii="Arial" w:cs="Arial" w:eastAsia="Arial" w:hAnsi="Arial"/>
          <w:sz w:val="18"/>
          <w:szCs w:val="18"/>
          <w:color w:val="auto"/>
        </w:rPr>
        <w:t>performance measures or objectives are no longer applicable, the Compensation Committee may modify the performance measures and standards in a manner that it considers to be appropriate and equitable.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 AND TERMINATION OF THE PLAN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will review the Plan, at a minimum, once every five years.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at any time and from time to time may suspend, terminate, modify, or amend the Plan.</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6</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GENERAL PROVISIONS</w:t>
      </w:r>
    </w:p>
    <w:p>
      <w:pPr>
        <w:spacing w:after="0" w:line="156"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Liability of Corporation</w:t>
      </w:r>
      <w:r>
        <w:rPr>
          <w:rFonts w:ascii="Arial" w:cs="Arial" w:eastAsia="Arial" w:hAnsi="Arial"/>
          <w:sz w:val="17"/>
          <w:szCs w:val="17"/>
          <w:color w:val="auto"/>
        </w:rPr>
        <w:t>. Nothing in the Plan shall constitute the creation of a trust or other fiduciary relationship between the Corporation and any Participant, beneficiary or other person. The Corporation shall not be considered a trustee by reason of the Plan.</w:t>
      </w:r>
    </w:p>
    <w:p>
      <w:pPr>
        <w:spacing w:after="0" w:line="12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Liability of Administrators</w:t>
      </w:r>
      <w:r>
        <w:rPr>
          <w:rFonts w:ascii="Arial" w:cs="Arial" w:eastAsia="Arial" w:hAnsi="Arial"/>
          <w:sz w:val="18"/>
          <w:szCs w:val="18"/>
          <w:color w:val="auto"/>
        </w:rPr>
        <w:t>. No member of the Board, the Compensation Committee, the Total Rewards Committee, or the CEO or any other person with administrative responsibility under the Plan will be personally liable for any action taken or determination made in good faith with respect to the Plan, its interpretation, management or administration or any Annual Incentive Award granted hereunder.</w:t>
      </w:r>
    </w:p>
    <w:p>
      <w:pPr>
        <w:spacing w:after="0" w:line="152"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Assignment and Alienation</w:t>
      </w:r>
      <w:r>
        <w:rPr>
          <w:rFonts w:ascii="Arial" w:cs="Arial" w:eastAsia="Arial" w:hAnsi="Arial"/>
          <w:sz w:val="18"/>
          <w:szCs w:val="18"/>
          <w:color w:val="auto"/>
        </w:rPr>
        <w:t>. No rights under the Plan may be anticipated, assigned, transferred, alienated, pledged, sold, attached, garnished or encumbered by a Participant or beneficiary.</w:t>
      </w:r>
    </w:p>
    <w:p>
      <w:pPr>
        <w:spacing w:after="0" w:line="1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Code Section 409A</w:t>
      </w:r>
      <w:r>
        <w:rPr>
          <w:rFonts w:ascii="Arial" w:cs="Arial" w:eastAsia="Arial" w:hAnsi="Arial"/>
          <w:sz w:val="18"/>
          <w:szCs w:val="18"/>
          <w:color w:val="auto"/>
        </w:rPr>
        <w:t>. It is intended that any amounts payable under this Plan shall either be exempt from Code Section 409A or shall comply with Code Section 409A (including Treasury Regulations and other published guidance related thereto) so as not to subject Participants to payment of any additional tax, penalty, or interest imposed under Code Section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40"/>
          </w:cols>
          <w:pgMar w:left="300" w:top="854" w:right="359" w:bottom="1440" w:gutter="0" w:footer="0" w:header="0"/>
        </w:sectPr>
      </w:pPr>
    </w:p>
    <w:bookmarkStart w:id="161" w:name="page162"/>
    <w:bookmarkEnd w:id="161"/>
    <w:p>
      <w:pPr>
        <w:spacing w:after="0" w:line="279" w:lineRule="auto"/>
        <w:rPr>
          <w:sz w:val="20"/>
          <w:szCs w:val="20"/>
          <w:color w:val="auto"/>
        </w:rPr>
      </w:pPr>
      <w:r>
        <w:rPr>
          <w:rFonts w:ascii="Arial" w:cs="Arial" w:eastAsia="Arial" w:hAnsi="Arial"/>
          <w:sz w:val="17"/>
          <w:szCs w:val="17"/>
          <w:color w:val="auto"/>
        </w:rPr>
        <w:t>409A. The provisions of this Plan shall be construed and interpreted to avoid the imputation of any such additional tax, penalty, or interest under Code Section 409A yet preserve (to the nearest extent reasonably possible) the intended benefits payable to Participants.</w:t>
      </w:r>
    </w:p>
    <w:p>
      <w:pPr>
        <w:spacing w:after="0" w:line="200" w:lineRule="exact"/>
        <w:rPr>
          <w:sz w:val="20"/>
          <w:szCs w:val="20"/>
          <w:color w:val="auto"/>
        </w:rPr>
      </w:pPr>
    </w:p>
    <w:p>
      <w:pPr>
        <w:spacing w:after="0" w:line="276"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END</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300" w:top="854" w:right="87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t>Exhibit 10.9</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PARSONS CORPORATION</w:t>
      </w:r>
    </w:p>
    <w:p>
      <w:pPr>
        <w:spacing w:after="0" w:line="170"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ANNUAL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Adopted January 1, 2012</w:t>
      </w:r>
    </w:p>
    <w:p>
      <w:pPr>
        <w:spacing w:after="0" w:line="170"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Amended January 1, 2019</w:t>
      </w:r>
    </w:p>
    <w:p>
      <w:pPr>
        <w:spacing w:after="0" w:line="181"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Amended January 1, 2020</w:t>
      </w:r>
    </w:p>
    <w:p>
      <w:pPr>
        <w:spacing w:after="0" w:line="181" w:lineRule="exact"/>
        <w:rPr>
          <w:sz w:val="20"/>
          <w:szCs w:val="20"/>
          <w:color w:val="auto"/>
        </w:rPr>
      </w:pPr>
    </w:p>
    <w:p>
      <w:pPr>
        <w:ind w:left="4640"/>
        <w:spacing w:after="0"/>
        <w:rPr>
          <w:sz w:val="20"/>
          <w:szCs w:val="20"/>
          <w:color w:val="auto"/>
        </w:rPr>
      </w:pPr>
      <w:r>
        <w:rPr>
          <w:rFonts w:ascii="Arial" w:cs="Arial" w:eastAsia="Arial" w:hAnsi="Arial"/>
          <w:sz w:val="17"/>
          <w:szCs w:val="17"/>
          <w:color w:val="auto"/>
        </w:rPr>
        <w:t>Amended October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723900</wp:posOffset>
            </wp:positionV>
            <wp:extent cx="7171055" cy="13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159"/>
          </w:cols>
          <w:pgMar w:left="300" w:top="478"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24"/>
        </w:trPr>
        <w:tc>
          <w:tcPr>
            <w:tcW w:w="1800" w:type="dxa"/>
            <w:vAlign w:val="bottom"/>
          </w:tcPr>
          <w:p>
            <w:pPr>
              <w:spacing w:after="0"/>
              <w:rPr>
                <w:sz w:val="19"/>
                <w:szCs w:val="19"/>
                <w:color w:val="auto"/>
              </w:rPr>
            </w:pPr>
          </w:p>
        </w:tc>
        <w:tc>
          <w:tcPr>
            <w:tcW w:w="9500" w:type="dxa"/>
            <w:vAlign w:val="bottom"/>
          </w:tcPr>
          <w:p>
            <w:pPr>
              <w:ind w:left="2800"/>
              <w:spacing w:after="0"/>
              <w:rPr>
                <w:sz w:val="20"/>
                <w:szCs w:val="20"/>
                <w:color w:val="auto"/>
              </w:rPr>
            </w:pPr>
            <w:r>
              <w:rPr>
                <w:rFonts w:ascii="Arial" w:cs="Arial" w:eastAsia="Arial" w:hAnsi="Arial"/>
                <w:sz w:val="18"/>
                <w:szCs w:val="18"/>
                <w:color w:val="auto"/>
              </w:rPr>
              <w:t>TABLE OF CONTENTS</w:t>
            </w:r>
          </w:p>
        </w:tc>
      </w:tr>
      <w:tr>
        <w:trPr>
          <w:trHeight w:val="643"/>
        </w:trPr>
        <w:tc>
          <w:tcPr>
            <w:tcW w:w="1800" w:type="dxa"/>
            <w:vAlign w:val="bottom"/>
          </w:tcPr>
          <w:p>
            <w:pPr>
              <w:ind w:left="540"/>
              <w:spacing w:after="0"/>
              <w:rPr>
                <w:sz w:val="20"/>
                <w:szCs w:val="20"/>
                <w:color w:val="auto"/>
              </w:rPr>
            </w:pPr>
            <w:r>
              <w:rPr>
                <w:rFonts w:ascii="Arial" w:cs="Arial" w:eastAsia="Arial" w:hAnsi="Arial"/>
                <w:sz w:val="18"/>
                <w:szCs w:val="18"/>
                <w:color w:val="auto"/>
              </w:rPr>
              <w:t>ARTICLE 1</w:t>
            </w:r>
          </w:p>
        </w:tc>
        <w:tc>
          <w:tcPr>
            <w:tcW w:w="9500" w:type="dxa"/>
            <w:vAlign w:val="bottom"/>
          </w:tcPr>
          <w:p>
            <w:pPr>
              <w:jc w:val="center"/>
              <w:ind w:right="1391"/>
              <w:spacing w:after="0"/>
              <w:rPr>
                <w:sz w:val="20"/>
                <w:szCs w:val="20"/>
                <w:color w:val="auto"/>
              </w:rPr>
            </w:pPr>
            <w:r>
              <w:rPr>
                <w:rFonts w:ascii="Arial" w:cs="Arial" w:eastAsia="Arial" w:hAnsi="Arial"/>
                <w:sz w:val="18"/>
                <w:szCs w:val="18"/>
                <w:color w:val="auto"/>
                <w:w w:val="90"/>
              </w:rPr>
              <w:t>PREFACE1</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1.1</w:t>
            </w:r>
          </w:p>
        </w:tc>
        <w:tc>
          <w:tcPr>
            <w:tcW w:w="9500" w:type="dxa"/>
            <w:vAlign w:val="bottom"/>
          </w:tcPr>
          <w:p>
            <w:pPr>
              <w:ind w:left="1000"/>
              <w:spacing w:after="0"/>
              <w:rPr>
                <w:sz w:val="20"/>
                <w:szCs w:val="20"/>
                <w:color w:val="auto"/>
              </w:rPr>
            </w:pPr>
            <w:r>
              <w:rPr>
                <w:rFonts w:ascii="Arial" w:cs="Arial" w:eastAsia="Arial" w:hAnsi="Arial"/>
                <w:sz w:val="18"/>
                <w:szCs w:val="18"/>
                <w:color w:val="auto"/>
              </w:rPr>
              <w:t>Effective Date and Term1</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1.2</w:t>
            </w:r>
          </w:p>
        </w:tc>
        <w:tc>
          <w:tcPr>
            <w:tcW w:w="9500" w:type="dxa"/>
            <w:vAlign w:val="bottom"/>
          </w:tcPr>
          <w:p>
            <w:pPr>
              <w:ind w:left="1000"/>
              <w:spacing w:after="0"/>
              <w:rPr>
                <w:sz w:val="20"/>
                <w:szCs w:val="20"/>
                <w:color w:val="auto"/>
              </w:rPr>
            </w:pPr>
            <w:r>
              <w:rPr>
                <w:rFonts w:ascii="Arial" w:cs="Arial" w:eastAsia="Arial" w:hAnsi="Arial"/>
                <w:sz w:val="18"/>
                <w:szCs w:val="18"/>
                <w:color w:val="auto"/>
              </w:rPr>
              <w:t>Purpose of the Plan1</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2</w:t>
            </w:r>
          </w:p>
        </w:tc>
        <w:tc>
          <w:tcPr>
            <w:tcW w:w="9500" w:type="dxa"/>
            <w:vAlign w:val="bottom"/>
          </w:tcPr>
          <w:p>
            <w:pPr>
              <w:jc w:val="center"/>
              <w:ind w:right="1411"/>
              <w:spacing w:after="0"/>
              <w:rPr>
                <w:sz w:val="20"/>
                <w:szCs w:val="20"/>
                <w:color w:val="auto"/>
              </w:rPr>
            </w:pPr>
            <w:r>
              <w:rPr>
                <w:rFonts w:ascii="Arial" w:cs="Arial" w:eastAsia="Arial" w:hAnsi="Arial"/>
                <w:sz w:val="18"/>
                <w:szCs w:val="18"/>
                <w:color w:val="auto"/>
                <w:w w:val="96"/>
              </w:rPr>
              <w:t>DEFINITIONS1</w:t>
            </w:r>
          </w:p>
        </w:tc>
      </w:tr>
      <w:tr>
        <w:trPr>
          <w:trHeight w:val="465"/>
        </w:trPr>
        <w:tc>
          <w:tcPr>
            <w:tcW w:w="1800" w:type="dxa"/>
            <w:vAlign w:val="bottom"/>
          </w:tcPr>
          <w:p>
            <w:pPr>
              <w:spacing w:after="0"/>
              <w:rPr>
                <w:sz w:val="20"/>
                <w:szCs w:val="20"/>
                <w:color w:val="auto"/>
              </w:rPr>
            </w:pPr>
            <w:r>
              <w:rPr>
                <w:rFonts w:ascii="Arial" w:cs="Arial" w:eastAsia="Arial" w:hAnsi="Arial"/>
                <w:sz w:val="18"/>
                <w:szCs w:val="18"/>
                <w:color w:val="auto"/>
              </w:rPr>
              <w:t>ARTICLE 3</w:t>
            </w:r>
          </w:p>
        </w:tc>
        <w:tc>
          <w:tcPr>
            <w:tcW w:w="9500" w:type="dxa"/>
            <w:vAlign w:val="bottom"/>
          </w:tcPr>
          <w:p>
            <w:pPr>
              <w:ind w:left="140"/>
              <w:spacing w:after="0"/>
              <w:rPr>
                <w:sz w:val="20"/>
                <w:szCs w:val="20"/>
                <w:color w:val="auto"/>
              </w:rPr>
            </w:pPr>
            <w:r>
              <w:rPr>
                <w:rFonts w:ascii="Arial" w:cs="Arial" w:eastAsia="Arial" w:hAnsi="Arial"/>
                <w:sz w:val="18"/>
                <w:szCs w:val="18"/>
                <w:color w:val="auto"/>
              </w:rPr>
              <w:t>ANNUAL INCENTIVE OPPORTUNITY TARGETS AND AWARDS2</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3.1</w:t>
            </w:r>
          </w:p>
        </w:tc>
        <w:tc>
          <w:tcPr>
            <w:tcW w:w="9500" w:type="dxa"/>
            <w:vAlign w:val="bottom"/>
          </w:tcPr>
          <w:p>
            <w:pPr>
              <w:ind w:left="1000"/>
              <w:spacing w:after="0"/>
              <w:rPr>
                <w:sz w:val="20"/>
                <w:szCs w:val="20"/>
                <w:color w:val="auto"/>
              </w:rPr>
            </w:pPr>
            <w:r>
              <w:rPr>
                <w:rFonts w:ascii="Arial" w:cs="Arial" w:eastAsia="Arial" w:hAnsi="Arial"/>
                <w:sz w:val="18"/>
                <w:szCs w:val="18"/>
                <w:color w:val="auto"/>
              </w:rPr>
              <w:t>Authority of the Compensation Committee2</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3.2</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Performance Criteria3</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3.3</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Annual Incentive Opportunity Targets3</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3.4</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Funding Target for the Annual Incentive Plan4</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3.5</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of Annual Incentive Award Pools4</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3.6</w:t>
            </w:r>
          </w:p>
        </w:tc>
        <w:tc>
          <w:tcPr>
            <w:tcW w:w="9500" w:type="dxa"/>
            <w:vAlign w:val="bottom"/>
          </w:tcPr>
          <w:p>
            <w:pPr>
              <w:ind w:left="1000"/>
              <w:spacing w:after="0"/>
              <w:rPr>
                <w:sz w:val="20"/>
                <w:szCs w:val="20"/>
                <w:color w:val="auto"/>
              </w:rPr>
            </w:pPr>
            <w:r>
              <w:rPr>
                <w:rFonts w:ascii="Arial" w:cs="Arial" w:eastAsia="Arial" w:hAnsi="Arial"/>
                <w:sz w:val="18"/>
                <w:szCs w:val="18"/>
                <w:color w:val="auto"/>
              </w:rPr>
              <w:t>Determination and Approval of Annual Incentive Awards4</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4</w:t>
            </w:r>
          </w:p>
        </w:tc>
        <w:tc>
          <w:tcPr>
            <w:tcW w:w="9500" w:type="dxa"/>
            <w:vAlign w:val="bottom"/>
          </w:tcPr>
          <w:p>
            <w:pPr>
              <w:jc w:val="center"/>
              <w:ind w:right="1411"/>
              <w:spacing w:after="0"/>
              <w:rPr>
                <w:sz w:val="20"/>
                <w:szCs w:val="20"/>
                <w:color w:val="auto"/>
              </w:rPr>
            </w:pPr>
            <w:r>
              <w:rPr>
                <w:rFonts w:ascii="Arial" w:cs="Arial" w:eastAsia="Arial" w:hAnsi="Arial"/>
                <w:sz w:val="18"/>
                <w:szCs w:val="18"/>
                <w:color w:val="auto"/>
                <w:w w:val="94"/>
              </w:rPr>
              <w:t>FUNDING, PAYMENT AND RIGHTS OF PARTICIPANTS5</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4.1</w:t>
            </w:r>
          </w:p>
        </w:tc>
        <w:tc>
          <w:tcPr>
            <w:tcW w:w="9500" w:type="dxa"/>
            <w:vAlign w:val="bottom"/>
          </w:tcPr>
          <w:p>
            <w:pPr>
              <w:ind w:left="1000"/>
              <w:spacing w:after="0"/>
              <w:rPr>
                <w:sz w:val="20"/>
                <w:szCs w:val="20"/>
                <w:color w:val="auto"/>
              </w:rPr>
            </w:pPr>
            <w:r>
              <w:rPr>
                <w:rFonts w:ascii="Arial" w:cs="Arial" w:eastAsia="Arial" w:hAnsi="Arial"/>
                <w:sz w:val="18"/>
                <w:szCs w:val="18"/>
                <w:color w:val="auto"/>
              </w:rPr>
              <w:t>Unfunded Plan5</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4.2</w:t>
            </w:r>
          </w:p>
        </w:tc>
        <w:tc>
          <w:tcPr>
            <w:tcW w:w="9500" w:type="dxa"/>
            <w:vAlign w:val="bottom"/>
          </w:tcPr>
          <w:p>
            <w:pPr>
              <w:ind w:left="1000"/>
              <w:spacing w:after="0"/>
              <w:rPr>
                <w:sz w:val="20"/>
                <w:szCs w:val="20"/>
                <w:color w:val="auto"/>
              </w:rPr>
            </w:pPr>
            <w:r>
              <w:rPr>
                <w:rFonts w:ascii="Arial" w:cs="Arial" w:eastAsia="Arial" w:hAnsi="Arial"/>
                <w:sz w:val="18"/>
                <w:szCs w:val="18"/>
                <w:color w:val="auto"/>
              </w:rPr>
              <w:t>Payment of Annual Incentive Awards5</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4.3</w:t>
            </w:r>
          </w:p>
        </w:tc>
        <w:tc>
          <w:tcPr>
            <w:tcW w:w="9500" w:type="dxa"/>
            <w:vAlign w:val="bottom"/>
          </w:tcPr>
          <w:p>
            <w:pPr>
              <w:ind w:left="1000"/>
              <w:spacing w:after="0"/>
              <w:rPr>
                <w:sz w:val="20"/>
                <w:szCs w:val="20"/>
                <w:color w:val="auto"/>
              </w:rPr>
            </w:pPr>
            <w:r>
              <w:rPr>
                <w:rFonts w:ascii="Arial" w:cs="Arial" w:eastAsia="Arial" w:hAnsi="Arial"/>
                <w:sz w:val="18"/>
                <w:szCs w:val="18"/>
                <w:color w:val="auto"/>
              </w:rPr>
              <w:t>Modification of Performance Standards5</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5</w:t>
            </w:r>
          </w:p>
        </w:tc>
        <w:tc>
          <w:tcPr>
            <w:tcW w:w="9500" w:type="dxa"/>
            <w:vAlign w:val="bottom"/>
          </w:tcPr>
          <w:p>
            <w:pPr>
              <w:jc w:val="center"/>
              <w:ind w:right="1391"/>
              <w:spacing w:after="0"/>
              <w:rPr>
                <w:sz w:val="20"/>
                <w:szCs w:val="20"/>
                <w:color w:val="auto"/>
              </w:rPr>
            </w:pPr>
            <w:r>
              <w:rPr>
                <w:rFonts w:ascii="Arial" w:cs="Arial" w:eastAsia="Arial" w:hAnsi="Arial"/>
                <w:sz w:val="18"/>
                <w:szCs w:val="18"/>
                <w:color w:val="auto"/>
                <w:w w:val="97"/>
              </w:rPr>
              <w:t>AMENDMENT AND TERMINATION OF THE PLAN5</w:t>
            </w:r>
          </w:p>
        </w:tc>
      </w:tr>
      <w:tr>
        <w:trPr>
          <w:trHeight w:val="465"/>
        </w:trPr>
        <w:tc>
          <w:tcPr>
            <w:tcW w:w="1800" w:type="dxa"/>
            <w:vAlign w:val="bottom"/>
          </w:tcPr>
          <w:p>
            <w:pPr>
              <w:ind w:left="540"/>
              <w:spacing w:after="0"/>
              <w:rPr>
                <w:sz w:val="20"/>
                <w:szCs w:val="20"/>
                <w:color w:val="auto"/>
              </w:rPr>
            </w:pPr>
            <w:r>
              <w:rPr>
                <w:rFonts w:ascii="Arial" w:cs="Arial" w:eastAsia="Arial" w:hAnsi="Arial"/>
                <w:sz w:val="18"/>
                <w:szCs w:val="18"/>
                <w:color w:val="auto"/>
              </w:rPr>
              <w:t>ARTICLE 6</w:t>
            </w:r>
          </w:p>
        </w:tc>
        <w:tc>
          <w:tcPr>
            <w:tcW w:w="9500" w:type="dxa"/>
            <w:vAlign w:val="bottom"/>
          </w:tcPr>
          <w:p>
            <w:pPr>
              <w:jc w:val="center"/>
              <w:ind w:right="1411"/>
              <w:spacing w:after="0"/>
              <w:rPr>
                <w:sz w:val="20"/>
                <w:szCs w:val="20"/>
                <w:color w:val="auto"/>
              </w:rPr>
            </w:pPr>
            <w:r>
              <w:rPr>
                <w:rFonts w:ascii="Arial" w:cs="Arial" w:eastAsia="Arial" w:hAnsi="Arial"/>
                <w:sz w:val="18"/>
                <w:szCs w:val="18"/>
                <w:color w:val="auto"/>
                <w:w w:val="93"/>
              </w:rPr>
              <w:t>GENERAL PROVISIONS6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6.1</w:t>
            </w:r>
          </w:p>
        </w:tc>
        <w:tc>
          <w:tcPr>
            <w:tcW w:w="9500" w:type="dxa"/>
            <w:vAlign w:val="bottom"/>
          </w:tcPr>
          <w:p>
            <w:pPr>
              <w:ind w:left="1000"/>
              <w:spacing w:after="0"/>
              <w:rPr>
                <w:sz w:val="20"/>
                <w:szCs w:val="20"/>
                <w:color w:val="auto"/>
              </w:rPr>
            </w:pPr>
            <w:r>
              <w:rPr>
                <w:rFonts w:ascii="Arial" w:cs="Arial" w:eastAsia="Arial" w:hAnsi="Arial"/>
                <w:sz w:val="18"/>
                <w:szCs w:val="18"/>
                <w:color w:val="auto"/>
              </w:rPr>
              <w:t>Liability of Corporation6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6.2</w:t>
            </w:r>
          </w:p>
        </w:tc>
        <w:tc>
          <w:tcPr>
            <w:tcW w:w="9500" w:type="dxa"/>
            <w:vAlign w:val="bottom"/>
          </w:tcPr>
          <w:p>
            <w:pPr>
              <w:ind w:left="1000"/>
              <w:spacing w:after="0"/>
              <w:rPr>
                <w:sz w:val="20"/>
                <w:szCs w:val="20"/>
                <w:color w:val="auto"/>
              </w:rPr>
            </w:pPr>
            <w:r>
              <w:rPr>
                <w:rFonts w:ascii="Arial" w:cs="Arial" w:eastAsia="Arial" w:hAnsi="Arial"/>
                <w:sz w:val="18"/>
                <w:szCs w:val="18"/>
                <w:color w:val="auto"/>
              </w:rPr>
              <w:t>Liability of Administrators6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6.3</w:t>
            </w:r>
          </w:p>
        </w:tc>
        <w:tc>
          <w:tcPr>
            <w:tcW w:w="9500" w:type="dxa"/>
            <w:vAlign w:val="bottom"/>
          </w:tcPr>
          <w:p>
            <w:pPr>
              <w:ind w:left="1000"/>
              <w:spacing w:after="0"/>
              <w:rPr>
                <w:sz w:val="20"/>
                <w:szCs w:val="20"/>
                <w:color w:val="auto"/>
              </w:rPr>
            </w:pPr>
            <w:r>
              <w:rPr>
                <w:rFonts w:ascii="Arial" w:cs="Arial" w:eastAsia="Arial" w:hAnsi="Arial"/>
                <w:sz w:val="18"/>
                <w:szCs w:val="18"/>
                <w:color w:val="auto"/>
              </w:rPr>
              <w:t>Assignment and Alienation6</w:t>
            </w:r>
          </w:p>
        </w:tc>
      </w:tr>
      <w:tr>
        <w:trPr>
          <w:trHeight w:val="288"/>
        </w:trPr>
        <w:tc>
          <w:tcPr>
            <w:tcW w:w="1800" w:type="dxa"/>
            <w:vAlign w:val="bottom"/>
          </w:tcPr>
          <w:p>
            <w:pPr>
              <w:ind w:left="840"/>
              <w:spacing w:after="0"/>
              <w:rPr>
                <w:sz w:val="20"/>
                <w:szCs w:val="20"/>
                <w:color w:val="auto"/>
              </w:rPr>
            </w:pPr>
            <w:r>
              <w:rPr>
                <w:rFonts w:ascii="Arial" w:cs="Arial" w:eastAsia="Arial" w:hAnsi="Arial"/>
                <w:sz w:val="18"/>
                <w:szCs w:val="18"/>
                <w:color w:val="auto"/>
              </w:rPr>
              <w:t>Section 6.4</w:t>
            </w:r>
          </w:p>
        </w:tc>
        <w:tc>
          <w:tcPr>
            <w:tcW w:w="9500" w:type="dxa"/>
            <w:vAlign w:val="bottom"/>
          </w:tcPr>
          <w:p>
            <w:pPr>
              <w:ind w:left="1000"/>
              <w:spacing w:after="0"/>
              <w:rPr>
                <w:sz w:val="20"/>
                <w:szCs w:val="20"/>
                <w:color w:val="auto"/>
              </w:rPr>
            </w:pPr>
            <w:r>
              <w:rPr>
                <w:rFonts w:ascii="Arial" w:cs="Arial" w:eastAsia="Arial" w:hAnsi="Arial"/>
                <w:sz w:val="18"/>
                <w:szCs w:val="18"/>
                <w:color w:val="auto"/>
              </w:rPr>
              <w:t>Code Section 409A6</w:t>
            </w:r>
          </w:p>
        </w:tc>
      </w:tr>
      <w:tr>
        <w:trPr>
          <w:trHeight w:val="288"/>
        </w:trPr>
        <w:tc>
          <w:tcPr>
            <w:tcW w:w="1800" w:type="dxa"/>
            <w:vAlign w:val="bottom"/>
          </w:tcPr>
          <w:p>
            <w:pPr>
              <w:spacing w:after="0"/>
              <w:rPr>
                <w:sz w:val="24"/>
                <w:szCs w:val="24"/>
                <w:color w:val="auto"/>
              </w:rPr>
            </w:pPr>
          </w:p>
        </w:tc>
        <w:tc>
          <w:tcPr>
            <w:tcW w:w="9500" w:type="dxa"/>
            <w:vAlign w:val="bottom"/>
          </w:tcPr>
          <w:p>
            <w:pPr>
              <w:ind w:left="3760"/>
              <w:spacing w:after="0"/>
              <w:rPr>
                <w:sz w:val="20"/>
                <w:szCs w:val="20"/>
                <w:color w:val="auto"/>
              </w:rPr>
            </w:pPr>
            <w:r>
              <w:rPr>
                <w:rFonts w:ascii="Arial" w:cs="Arial" w:eastAsia="Arial" w:hAnsi="Arial"/>
                <w:sz w:val="18"/>
                <w:szCs w:val="18"/>
                <w:color w:val="auto"/>
              </w:rPr>
              <w:t>-i-</w:t>
            </w:r>
          </w:p>
        </w:tc>
      </w:tr>
      <w:tr>
        <w:trPr>
          <w:trHeight w:val="382"/>
        </w:trPr>
        <w:tc>
          <w:tcPr>
            <w:tcW w:w="180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7169150</wp:posOffset>
            </wp:positionH>
            <wp:positionV relativeFrom="paragraph">
              <wp:posOffset>-6350</wp:posOffset>
            </wp:positionV>
            <wp:extent cx="698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300"/>
          </w:cols>
          <w:pgMar w:left="300" w:top="855" w:right="299" w:bottom="1440" w:gutter="0" w:footer="0" w:header="0"/>
        </w:sectPr>
      </w:pPr>
    </w:p>
    <w:bookmarkStart w:id="164" w:name="page165"/>
    <w:bookmarkEnd w:id="164"/>
    <w:p>
      <w:pPr>
        <w:jc w:val="center"/>
        <w:ind w:right="-79"/>
        <w:spacing w:after="0"/>
        <w:rPr>
          <w:sz w:val="20"/>
          <w:szCs w:val="20"/>
          <w:color w:val="auto"/>
        </w:rPr>
      </w:pPr>
      <w:r>
        <w:rPr>
          <w:rFonts w:ascii="Arial" w:cs="Arial" w:eastAsia="Arial" w:hAnsi="Arial"/>
          <w:sz w:val="18"/>
          <w:szCs w:val="18"/>
          <w:color w:val="auto"/>
        </w:rPr>
        <w:t>PARSONS CORPORATION</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ANNUAL INCENTIVE PLAN</w:t>
      </w:r>
    </w:p>
    <w:p>
      <w:pPr>
        <w:spacing w:after="0" w:line="156" w:lineRule="exact"/>
        <w:rPr>
          <w:sz w:val="20"/>
          <w:szCs w:val="20"/>
          <w:color w:val="auto"/>
        </w:rPr>
      </w:pPr>
    </w:p>
    <w:p>
      <w:pPr>
        <w:ind w:right="80" w:firstLine="867"/>
        <w:spacing w:after="0" w:line="241" w:lineRule="auto"/>
        <w:rPr>
          <w:sz w:val="20"/>
          <w:szCs w:val="20"/>
          <w:color w:val="auto"/>
        </w:rPr>
      </w:pPr>
      <w:r>
        <w:rPr>
          <w:rFonts w:ascii="Arial" w:cs="Arial" w:eastAsia="Arial" w:hAnsi="Arial"/>
          <w:sz w:val="18"/>
          <w:szCs w:val="18"/>
          <w:color w:val="auto"/>
        </w:rPr>
        <w:t>Parsons Corporation, a Delaware corporation with its principal place of business in California, hereby establishes and sets forth the terms and conditions of the Parsons Corporation Annual Incentive Plan (the “Plan”) for the benefit of eligible employees on the terms and conditions described hereinafter:</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1</w:t>
      </w:r>
    </w:p>
    <w:p>
      <w:pPr>
        <w:spacing w:after="0" w:line="6" w:lineRule="exact"/>
        <w:rPr>
          <w:sz w:val="20"/>
          <w:szCs w:val="20"/>
          <w:color w:val="auto"/>
        </w:rPr>
      </w:pPr>
    </w:p>
    <w:p>
      <w:pPr>
        <w:ind w:left="5260"/>
        <w:spacing w:after="0"/>
        <w:rPr>
          <w:sz w:val="20"/>
          <w:szCs w:val="20"/>
          <w:color w:val="auto"/>
        </w:rPr>
      </w:pPr>
      <w:r>
        <w:rPr>
          <w:rFonts w:ascii="Arial" w:cs="Arial" w:eastAsia="Arial" w:hAnsi="Arial"/>
          <w:sz w:val="18"/>
          <w:szCs w:val="18"/>
          <w:u w:val="single" w:color="auto"/>
          <w:color w:val="auto"/>
        </w:rPr>
        <w:t>PREFACE</w:t>
      </w:r>
    </w:p>
    <w:p>
      <w:pPr>
        <w:spacing w:after="0" w:line="156"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Effective Date and Term</w:t>
      </w:r>
      <w:r>
        <w:rPr>
          <w:rFonts w:ascii="Arial" w:cs="Arial" w:eastAsia="Arial" w:hAnsi="Arial"/>
          <w:sz w:val="18"/>
          <w:szCs w:val="18"/>
          <w:color w:val="auto"/>
        </w:rPr>
        <w:t>. The Plan shall be effective on January 1, 2012, and shall continue in force and effect until terminated by the Board.</w:t>
      </w:r>
    </w:p>
    <w:p>
      <w:pPr>
        <w:spacing w:after="0" w:line="143"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Plan is intended to encourage participating key employees of the Corporation to remain in its employ and to motivate such participants to exert maximum effort to achieve the Corporation’s goals.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2</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DEFINITIONS</w:t>
      </w:r>
    </w:p>
    <w:p>
      <w:pPr>
        <w:spacing w:after="0" w:line="156" w:lineRule="exact"/>
        <w:rPr>
          <w:sz w:val="20"/>
          <w:szCs w:val="20"/>
          <w:color w:val="auto"/>
        </w:rPr>
      </w:pPr>
    </w:p>
    <w:p>
      <w:pPr>
        <w:ind w:right="340" w:firstLine="757"/>
        <w:spacing w:after="0" w:line="251" w:lineRule="auto"/>
        <w:rPr>
          <w:sz w:val="20"/>
          <w:szCs w:val="20"/>
          <w:color w:val="auto"/>
        </w:rPr>
      </w:pPr>
      <w:r>
        <w:rPr>
          <w:rFonts w:ascii="Arial" w:cs="Arial" w:eastAsia="Arial" w:hAnsi="Arial"/>
          <w:sz w:val="18"/>
          <w:szCs w:val="18"/>
          <w:color w:val="auto"/>
        </w:rPr>
        <w:t>The words and phrases identified in quotation marks below, when used in the Plan and related documents, shall have the meanings set forth in this Article 2, unless the context clearly indicates otherwise.</w:t>
      </w:r>
    </w:p>
    <w:p>
      <w:pPr>
        <w:spacing w:after="0" w:line="143" w:lineRule="exact"/>
        <w:rPr>
          <w:sz w:val="20"/>
          <w:szCs w:val="20"/>
          <w:color w:val="auto"/>
        </w:rPr>
      </w:pPr>
    </w:p>
    <w:p>
      <w:pPr>
        <w:ind w:left="1600" w:hanging="725"/>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169" w:lineRule="exact"/>
        <w:rPr>
          <w:rFonts w:ascii="Arial" w:cs="Arial" w:eastAsia="Arial" w:hAnsi="Arial"/>
          <w:sz w:val="18"/>
          <w:szCs w:val="18"/>
          <w:color w:val="auto"/>
        </w:rPr>
      </w:pPr>
    </w:p>
    <w:p>
      <w:pPr>
        <w:ind w:firstLine="875"/>
        <w:spacing w:after="0" w:line="279" w:lineRule="auto"/>
        <w:tabs>
          <w:tab w:leader="none" w:pos="161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Total Rewards Committee</w:t>
      </w:r>
      <w:r>
        <w:rPr>
          <w:rFonts w:ascii="Arial" w:cs="Arial" w:eastAsia="Arial" w:hAnsi="Arial"/>
          <w:sz w:val="17"/>
          <w:szCs w:val="17"/>
          <w:color w:val="auto"/>
        </w:rPr>
        <w:t>” means the committee composed of the CEO and other executives named by the CEO to review and approve Annual Incentive Awards for Participants below the level of those required to be reviewed by the Compensation Committee.</w:t>
      </w:r>
    </w:p>
    <w:p>
      <w:pPr>
        <w:spacing w:after="0" w:line="121" w:lineRule="exact"/>
        <w:rPr>
          <w:rFonts w:ascii="Arial" w:cs="Arial" w:eastAsia="Arial" w:hAnsi="Arial"/>
          <w:sz w:val="17"/>
          <w:szCs w:val="17"/>
          <w:color w:val="auto"/>
        </w:rPr>
      </w:pPr>
    </w:p>
    <w:p>
      <w:pPr>
        <w:ind w:left="1600" w:hanging="725"/>
        <w:spacing w:after="0"/>
        <w:tabs>
          <w:tab w:leader="none" w:pos="16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Parsons Corporation.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00"/>
          </w:cols>
          <w:pgMar w:left="300" w:top="854" w:right="399" w:bottom="1440" w:gutter="0" w:footer="0" w:header="0"/>
        </w:sectPr>
      </w:pPr>
    </w:p>
    <w:bookmarkStart w:id="165" w:name="page166"/>
    <w:bookmarkEnd w:id="165"/>
    <w:p>
      <w:pPr>
        <w:ind w:left="1620" w:hanging="745"/>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Parsons Corporation and any of its subsidiary companies of any tier.</w:t>
      </w:r>
    </w:p>
    <w:p>
      <w:pPr>
        <w:spacing w:after="0" w:line="169" w:lineRule="exact"/>
        <w:rPr>
          <w:rFonts w:ascii="Arial" w:cs="Arial" w:eastAsia="Arial" w:hAnsi="Arial"/>
          <w:sz w:val="18"/>
          <w:szCs w:val="18"/>
          <w:color w:val="auto"/>
        </w:rPr>
      </w:pPr>
    </w:p>
    <w:p>
      <w:pPr>
        <w:ind w:left="1600" w:hanging="725"/>
        <w:spacing w:after="0"/>
        <w:tabs>
          <w:tab w:leader="none" w:pos="16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each employee of the Corporation selected to participate in the Plan for each Performance Cycle.</w:t>
      </w:r>
    </w:p>
    <w:p>
      <w:pPr>
        <w:spacing w:after="0" w:line="169" w:lineRule="exact"/>
        <w:rPr>
          <w:rFonts w:ascii="Arial" w:cs="Arial" w:eastAsia="Arial" w:hAnsi="Arial"/>
          <w:sz w:val="18"/>
          <w:szCs w:val="18"/>
          <w:color w:val="auto"/>
        </w:rPr>
      </w:pPr>
    </w:p>
    <w:p>
      <w:pPr>
        <w:ind w:left="1580" w:hanging="705"/>
        <w:spacing w:after="0"/>
        <w:tabs>
          <w:tab w:leader="none" w:pos="15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Cycle</w:t>
      </w:r>
      <w:r>
        <w:rPr>
          <w:rFonts w:ascii="Arial" w:cs="Arial" w:eastAsia="Arial" w:hAnsi="Arial"/>
          <w:sz w:val="18"/>
          <w:szCs w:val="18"/>
          <w:color w:val="auto"/>
        </w:rPr>
        <w:t>” means a fiscal year of the Corporation.</w:t>
      </w:r>
    </w:p>
    <w:p>
      <w:pPr>
        <w:spacing w:after="0" w:line="169" w:lineRule="exact"/>
        <w:rPr>
          <w:rFonts w:ascii="Arial" w:cs="Arial" w:eastAsia="Arial" w:hAnsi="Arial"/>
          <w:sz w:val="18"/>
          <w:szCs w:val="18"/>
          <w:color w:val="auto"/>
        </w:rPr>
      </w:pPr>
    </w:p>
    <w:p>
      <w:pPr>
        <w:ind w:left="1620" w:hanging="745"/>
        <w:spacing w:after="0"/>
        <w:tabs>
          <w:tab w:leader="none" w:pos="1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Parsons Corporation Annual Incentive Plan.</w:t>
      </w:r>
    </w:p>
    <w:p>
      <w:pPr>
        <w:spacing w:after="0" w:line="169" w:lineRule="exact"/>
        <w:rPr>
          <w:rFonts w:ascii="Arial" w:cs="Arial" w:eastAsia="Arial" w:hAnsi="Arial"/>
          <w:sz w:val="18"/>
          <w:szCs w:val="18"/>
          <w:color w:val="auto"/>
        </w:rPr>
      </w:pPr>
    </w:p>
    <w:p>
      <w:pPr>
        <w:ind w:right="620" w:firstLine="875"/>
        <w:spacing w:after="0" w:line="251" w:lineRule="auto"/>
        <w:tabs>
          <w:tab w:leader="none" w:pos="16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Incentive Opportunity Target</w:t>
      </w:r>
      <w:r>
        <w:rPr>
          <w:rFonts w:ascii="Arial" w:cs="Arial" w:eastAsia="Arial" w:hAnsi="Arial"/>
          <w:sz w:val="18"/>
          <w:szCs w:val="18"/>
          <w:color w:val="auto"/>
        </w:rPr>
        <w:t>” means the target value of the incentive which could potentially be earned by an eligible Participant in respect of a Performance Cycle.</w:t>
      </w:r>
    </w:p>
    <w:p>
      <w:pPr>
        <w:spacing w:after="0" w:line="143" w:lineRule="exact"/>
        <w:rPr>
          <w:rFonts w:ascii="Arial" w:cs="Arial" w:eastAsia="Arial" w:hAnsi="Arial"/>
          <w:sz w:val="18"/>
          <w:szCs w:val="18"/>
          <w:color w:val="auto"/>
        </w:rPr>
      </w:pPr>
    </w:p>
    <w:p>
      <w:pPr>
        <w:ind w:firstLine="875"/>
        <w:spacing w:after="0" w:line="251" w:lineRule="auto"/>
        <w:tabs>
          <w:tab w:leader="none" w:pos="15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Incentive Award</w:t>
      </w:r>
      <w:r>
        <w:rPr>
          <w:rFonts w:ascii="Arial" w:cs="Arial" w:eastAsia="Arial" w:hAnsi="Arial"/>
          <w:sz w:val="18"/>
          <w:szCs w:val="18"/>
          <w:color w:val="auto"/>
        </w:rPr>
        <w:t>” means the value of the cash incentive payment earned by an eligible Participant under the Plan in respect of a completed Performance Cycle.</w:t>
      </w:r>
    </w:p>
    <w:p>
      <w:pPr>
        <w:spacing w:after="0" w:line="143" w:lineRule="exact"/>
        <w:rPr>
          <w:rFonts w:ascii="Arial" w:cs="Arial" w:eastAsia="Arial" w:hAnsi="Arial"/>
          <w:sz w:val="18"/>
          <w:szCs w:val="18"/>
          <w:color w:val="auto"/>
        </w:rPr>
      </w:pPr>
    </w:p>
    <w:p>
      <w:pPr>
        <w:ind w:right="400" w:firstLine="875"/>
        <w:spacing w:after="0" w:line="251" w:lineRule="auto"/>
        <w:tabs>
          <w:tab w:leader="none" w:pos="15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Award Pools</w:t>
      </w:r>
      <w:r>
        <w:rPr>
          <w:rFonts w:ascii="Arial" w:cs="Arial" w:eastAsia="Arial" w:hAnsi="Arial"/>
          <w:sz w:val="18"/>
          <w:szCs w:val="18"/>
          <w:color w:val="auto"/>
        </w:rPr>
        <w:t>” means the amount of cash available to pay Annual Incentive Awards earned under the Plan as determined pursuant to Section 3.5.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ANNUAL INCENTIVE OPPORTUNITY TARGETS AND AWARDS</w:t>
      </w:r>
    </w:p>
    <w:p>
      <w:pPr>
        <w:spacing w:after="0" w:line="15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Authority of the Compensation Committee</w:t>
      </w:r>
      <w:r>
        <w:rPr>
          <w:rFonts w:ascii="Arial" w:cs="Arial" w:eastAsia="Arial" w:hAnsi="Arial"/>
          <w:sz w:val="16"/>
          <w:szCs w:val="16"/>
          <w:color w:val="auto"/>
        </w:rPr>
        <w:t>. With respect to the Plan, the Compensation Committee shall in its discretion:</w:t>
      </w:r>
    </w:p>
    <w:p>
      <w:pPr>
        <w:spacing w:after="0" w:line="170" w:lineRule="exact"/>
        <w:rPr>
          <w:sz w:val="20"/>
          <w:szCs w:val="20"/>
          <w:color w:val="auto"/>
        </w:rPr>
      </w:pPr>
    </w:p>
    <w:p>
      <w:pPr>
        <w:ind w:left="1600" w:hanging="725"/>
        <w:spacing w:after="0"/>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funding level of any Incentive Award Pool for Participants,</w:t>
      </w:r>
    </w:p>
    <w:p>
      <w:pPr>
        <w:spacing w:after="0" w:line="169" w:lineRule="exact"/>
        <w:rPr>
          <w:rFonts w:ascii="Arial" w:cs="Arial" w:eastAsia="Arial" w:hAnsi="Arial"/>
          <w:sz w:val="18"/>
          <w:szCs w:val="18"/>
          <w:color w:val="auto"/>
        </w:rPr>
      </w:pPr>
    </w:p>
    <w:p>
      <w:pPr>
        <w:ind w:left="1620" w:hanging="745"/>
        <w:spacing w:after="0"/>
        <w:tabs>
          <w:tab w:leader="none" w:pos="16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Determine the Annual Incentive Opportunity Target and Annual Incentive Award for the CEO,</w:t>
      </w:r>
    </w:p>
    <w:p>
      <w:pPr>
        <w:spacing w:after="0" w:line="169" w:lineRule="exact"/>
        <w:rPr>
          <w:rFonts w:ascii="Arial" w:cs="Arial" w:eastAsia="Arial" w:hAnsi="Arial"/>
          <w:sz w:val="18"/>
          <w:szCs w:val="18"/>
          <w:color w:val="auto"/>
        </w:rPr>
      </w:pPr>
    </w:p>
    <w:p>
      <w:pPr>
        <w:ind w:right="700" w:firstLine="875"/>
        <w:spacing w:after="0" w:line="251" w:lineRule="auto"/>
        <w:tabs>
          <w:tab w:leader="none" w:pos="1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and approve the Annual Incentive Opportunity Targets and Annual Incentive Awards recommended by the CEO for Presidents and other key officers designated by the Compensation Committee for review and approval,</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166" w:name="page167"/>
    <w:bookmarkEnd w:id="166"/>
    <w:p>
      <w:pPr>
        <w:ind w:right="280" w:firstLine="875"/>
        <w:spacing w:after="0" w:line="251" w:lineRule="auto"/>
        <w:tabs>
          <w:tab w:leader="none" w:pos="16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Delegate to the Total Rewards Committee the authority to determine Annual Incentive Opportunity Targets and Annual Incentive Awards for all other participants in the Plan,</w:t>
      </w:r>
    </w:p>
    <w:p>
      <w:pPr>
        <w:spacing w:after="0" w:line="143" w:lineRule="exact"/>
        <w:rPr>
          <w:rFonts w:ascii="Arial" w:cs="Arial" w:eastAsia="Arial" w:hAnsi="Arial"/>
          <w:sz w:val="18"/>
          <w:szCs w:val="18"/>
          <w:color w:val="auto"/>
        </w:rPr>
      </w:pPr>
    </w:p>
    <w:p>
      <w:pPr>
        <w:ind w:firstLine="875"/>
        <w:spacing w:after="0" w:line="251" w:lineRule="auto"/>
        <w:tabs>
          <w:tab w:leader="none" w:pos="15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Make all other determinations and take all other actions as may be necessary, appropriate or advisable for the administration of the Plan, to the extent not delegated to the Total Rewards Committee.</w:t>
      </w:r>
    </w:p>
    <w:p>
      <w:pPr>
        <w:spacing w:after="0" w:line="14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Determination of Performance Criteria</w:t>
      </w:r>
      <w:r>
        <w:rPr>
          <w:rFonts w:ascii="Arial" w:cs="Arial" w:eastAsia="Arial" w:hAnsi="Arial"/>
          <w:sz w:val="18"/>
          <w:szCs w:val="18"/>
          <w:color w:val="auto"/>
        </w:rPr>
        <w:t>. At the beginning of the Performance Cycle, the Compensation Committee shall confirm performance criteria consistent with the business plan approved by the Board. Performance criteria may be expressed in terms of overall financial and operational results of the Corporation or such other measurement as the Board or Compensation Committee may determine in its discretion. Individual performance goals for each Participant are set and communicated as follows:</w:t>
      </w:r>
    </w:p>
    <w:p>
      <w:pPr>
        <w:spacing w:after="0" w:line="154" w:lineRule="exact"/>
        <w:rPr>
          <w:sz w:val="20"/>
          <w:szCs w:val="20"/>
          <w:color w:val="auto"/>
        </w:rPr>
      </w:pPr>
    </w:p>
    <w:p>
      <w:pPr>
        <w:ind w:left="2140" w:hanging="1265"/>
        <w:spacing w:after="0"/>
        <w:tabs>
          <w:tab w:leader="none" w:pos="2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CEO communicates performance goals in writing to Participants who report to the CEO.</w:t>
      </w:r>
    </w:p>
    <w:p>
      <w:pPr>
        <w:spacing w:after="0" w:line="169" w:lineRule="exact"/>
        <w:rPr>
          <w:rFonts w:ascii="Arial" w:cs="Arial" w:eastAsia="Arial" w:hAnsi="Arial"/>
          <w:sz w:val="18"/>
          <w:szCs w:val="18"/>
          <w:color w:val="auto"/>
        </w:rPr>
      </w:pPr>
    </w:p>
    <w:p>
      <w:pPr>
        <w:ind w:right="120" w:firstLine="875"/>
        <w:spacing w:after="0" w:line="241" w:lineRule="auto"/>
        <w:tabs>
          <w:tab w:leader="none" w:pos="2137"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Participant who reports to the CEO determines the performance goals for their direct reports and each Business President approves guidance for financial and operational performance goals at the Segment, Sub Segment and Directorate/Sector and other applicable organization level within the Business.</w:t>
      </w:r>
    </w:p>
    <w:p>
      <w:pPr>
        <w:spacing w:after="0" w:line="152" w:lineRule="exact"/>
        <w:rPr>
          <w:rFonts w:ascii="Arial" w:cs="Arial" w:eastAsia="Arial" w:hAnsi="Arial"/>
          <w:sz w:val="18"/>
          <w:szCs w:val="18"/>
          <w:color w:val="auto"/>
        </w:rPr>
      </w:pPr>
    </w:p>
    <w:p>
      <w:pPr>
        <w:ind w:right="800" w:firstLine="875"/>
        <w:spacing w:after="0" w:line="251" w:lineRule="auto"/>
        <w:tabs>
          <w:tab w:leader="none" w:pos="2127"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goals are communicated to Participants following approval of performance criteria at the meeting of the Compensation Committee nearest the beginning of the Performance Cycle.</w:t>
      </w:r>
    </w:p>
    <w:p>
      <w:pPr>
        <w:spacing w:after="0" w:line="143"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Determination of Annual Incentive Opportunity Targets</w:t>
      </w:r>
      <w:r>
        <w:rPr>
          <w:rFonts w:ascii="Arial" w:cs="Arial" w:eastAsia="Arial" w:hAnsi="Arial"/>
          <w:sz w:val="18"/>
          <w:szCs w:val="18"/>
          <w:color w:val="auto"/>
        </w:rPr>
        <w:t>. The amount of a Participant’s Annual Incentive Opportunity Target may be expressed as a fixed value or as a percent of base salary, or as a range of opportunity with a minimum threshold, a target and a maximum award opportunity. In some instances, a Participant may be advised that the amount of any future incentive award will be discretionary and that the Participant will not have any Annual Incentive Opportunity Target. A Participant may earn an Annual Incentive Award in excess of the amount of the Annual Incentive Opportunity Target. Annual Incentive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167" w:name="page168"/>
    <w:bookmarkEnd w:id="167"/>
    <w:p>
      <w:pPr>
        <w:spacing w:after="0" w:line="256" w:lineRule="auto"/>
        <w:rPr>
          <w:sz w:val="20"/>
          <w:szCs w:val="20"/>
          <w:color w:val="auto"/>
        </w:rPr>
      </w:pPr>
      <w:r>
        <w:rPr>
          <w:rFonts w:ascii="Arial" w:cs="Arial" w:eastAsia="Arial" w:hAnsi="Arial"/>
          <w:sz w:val="17"/>
          <w:szCs w:val="17"/>
          <w:color w:val="auto"/>
        </w:rPr>
        <w:t>Opportunity Targets may be established based on relative levels of responsibility, position and impact on financial and operating results, competitive practice, management discretion or any other applicable factor. The Compensation Committee reviews and approves Annual Incentive Opportunity Targets for those senior executives whose targets and awards are subject to Compensation Committee approval. The CEO reviews and approves Annual Incentive Opportunity Targets proposed by Participants who report to the CEO for Participants in their organizations.</w:t>
      </w:r>
    </w:p>
    <w:p>
      <w:pPr>
        <w:spacing w:after="0" w:line="14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Determination of Funding Target for the Annual Incentive Plan</w:t>
      </w:r>
      <w:r>
        <w:rPr>
          <w:rFonts w:ascii="Arial" w:cs="Arial" w:eastAsia="Arial" w:hAnsi="Arial"/>
          <w:sz w:val="18"/>
          <w:szCs w:val="18"/>
          <w:color w:val="auto"/>
        </w:rPr>
        <w:t>. At the beginning of the Performance Cycle, funding at target for the Annual Incentive Plan is reviewed and approved by the Compensation Committee. The Corporation accrues for the potential liability for funding the Incentive Award Pools, making adjustments during the course of the year based on the actual financial performance of the Corporation or on guidance provided by CEO, Chief Financial Officer or the Compensation Committee.</w:t>
      </w:r>
    </w:p>
    <w:p>
      <w:pPr>
        <w:spacing w:after="0" w:line="154"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Section 3.5 </w:t>
      </w:r>
      <w:r>
        <w:rPr>
          <w:rFonts w:ascii="Arial" w:cs="Arial" w:eastAsia="Arial" w:hAnsi="Arial"/>
          <w:sz w:val="17"/>
          <w:szCs w:val="17"/>
          <w:u w:val="single" w:color="auto"/>
          <w:color w:val="auto"/>
        </w:rPr>
        <w:t>Determination of Annual Incentive Award Pools</w:t>
      </w:r>
      <w:r>
        <w:rPr>
          <w:rFonts w:ascii="Arial" w:cs="Arial" w:eastAsia="Arial" w:hAnsi="Arial"/>
          <w:sz w:val="17"/>
          <w:szCs w:val="17"/>
          <w:color w:val="auto"/>
        </w:rPr>
        <w:t>. At the first meeting of the Compensation Committee following the end of the Performance Cycle, where the year-end financial and operating performance of the Corporation is available, the Committee shall review the performance against the criteria originally approved by the Committee or criteria pursuant to a revised business plan. The Incentive Award Pools recommended for the Annual Incentive Plan are reviewed and approved by the Compensation Committee. If the performance of the Corporation falls short of the performance criteria established at the beginning of the Performance Cycle, the Compensation Committee has the authority to establish an adjusted Incentive Award Pool to fund discretionary awards to Participants whose individual performance merits consideration.</w:t>
      </w:r>
    </w:p>
    <w:p>
      <w:pPr>
        <w:spacing w:after="0" w:line="148" w:lineRule="exact"/>
        <w:rPr>
          <w:sz w:val="20"/>
          <w:szCs w:val="20"/>
          <w:color w:val="auto"/>
        </w:rPr>
      </w:pPr>
    </w:p>
    <w:p>
      <w:pPr>
        <w:ind w:right="400"/>
        <w:spacing w:after="0" w:line="256" w:lineRule="auto"/>
        <w:rPr>
          <w:sz w:val="20"/>
          <w:szCs w:val="20"/>
          <w:color w:val="auto"/>
        </w:rPr>
      </w:pPr>
      <w:r>
        <w:rPr>
          <w:rFonts w:ascii="Arial" w:cs="Arial" w:eastAsia="Arial" w:hAnsi="Arial"/>
          <w:sz w:val="17"/>
          <w:szCs w:val="17"/>
          <w:color w:val="auto"/>
        </w:rPr>
        <w:t xml:space="preserve">Section 3.6 </w:t>
      </w:r>
      <w:r>
        <w:rPr>
          <w:rFonts w:ascii="Arial" w:cs="Arial" w:eastAsia="Arial" w:hAnsi="Arial"/>
          <w:sz w:val="17"/>
          <w:szCs w:val="17"/>
          <w:u w:val="single" w:color="auto"/>
          <w:color w:val="auto"/>
        </w:rPr>
        <w:t>Determination and Approval of Annual Incentive Awards</w:t>
      </w:r>
      <w:r>
        <w:rPr>
          <w:rFonts w:ascii="Arial" w:cs="Arial" w:eastAsia="Arial" w:hAnsi="Arial"/>
          <w:sz w:val="17"/>
          <w:szCs w:val="17"/>
          <w:color w:val="auto"/>
        </w:rPr>
        <w:t>. Following the end of the Performance Cycle and in conjunction with the approval of the Incentive Award Pools, the Compensation Committee reviews the performance of the Corporation and determines the amount of the Annual Incentive Award, if any, earned by the CEO. The CEO recommends Annual Incentive Awards for senior officers designated for review and approval by the Compensation Committee, and then the Compensation Committee determines the amount of</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854" w:right="319" w:bottom="1440" w:gutter="0" w:footer="0" w:header="0"/>
        </w:sectPr>
      </w:pPr>
    </w:p>
    <w:bookmarkStart w:id="168" w:name="page169"/>
    <w:bookmarkEnd w:id="168"/>
    <w:p>
      <w:pPr>
        <w:ind w:right="460"/>
        <w:spacing w:after="0" w:line="286" w:lineRule="auto"/>
        <w:rPr>
          <w:sz w:val="20"/>
          <w:szCs w:val="20"/>
          <w:color w:val="auto"/>
        </w:rPr>
      </w:pPr>
      <w:r>
        <w:rPr>
          <w:rFonts w:ascii="Arial" w:cs="Arial" w:eastAsia="Arial" w:hAnsi="Arial"/>
          <w:sz w:val="16"/>
          <w:szCs w:val="16"/>
          <w:color w:val="auto"/>
        </w:rPr>
        <w:t>Annual Incentive Awards, if any, earned by such officers. Such determination may include discretionary consideration for factors other than those performance criteria outlined in the performance goals at the beginning of the performance period. For all others, Annual Incentive Award exception recommendations are reviewed and approved by the Total Rewards Committee prior to scheduled payment of Annual Incentive Awards.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FUNDING, PAYMENT AND RIGHTS OF PARTICIPANTS</w:t>
      </w:r>
    </w:p>
    <w:p>
      <w:pPr>
        <w:spacing w:after="0" w:line="156"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Unfunded Plan</w:t>
      </w:r>
      <w:r>
        <w:rPr>
          <w:rFonts w:ascii="Arial" w:cs="Arial" w:eastAsia="Arial" w:hAnsi="Arial"/>
          <w:sz w:val="18"/>
          <w:szCs w:val="18"/>
          <w:color w:val="auto"/>
        </w:rPr>
        <w:t>. The Plan is an unfunded, nonqualified plan. The benefits provided under the Plan shall be payable by the Corporation from its general assets.</w:t>
      </w:r>
    </w:p>
    <w:p>
      <w:pPr>
        <w:spacing w:after="0" w:line="14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Payment of Annual Incentive Awards</w:t>
      </w:r>
      <w:r>
        <w:rPr>
          <w:rFonts w:ascii="Arial" w:cs="Arial" w:eastAsia="Arial" w:hAnsi="Arial"/>
          <w:sz w:val="18"/>
          <w:szCs w:val="18"/>
          <w:color w:val="auto"/>
        </w:rPr>
        <w:t>. Payment of any Annual Incentive Award earned by a Participant shall be made in one payment occurring between the 1</w:t>
      </w:r>
      <w:r>
        <w:rPr>
          <w:rFonts w:ascii="Arial" w:cs="Arial" w:eastAsia="Arial" w:hAnsi="Arial"/>
          <w:sz w:val="15"/>
          <w:szCs w:val="15"/>
          <w:color w:val="auto"/>
        </w:rPr>
        <w:t>st</w:t>
      </w:r>
      <w:r>
        <w:rPr>
          <w:rFonts w:ascii="Arial" w:cs="Arial" w:eastAsia="Arial" w:hAnsi="Arial"/>
          <w:sz w:val="18"/>
          <w:szCs w:val="18"/>
          <w:color w:val="auto"/>
        </w:rPr>
        <w:t xml:space="preserve"> of January and the 30</w:t>
      </w:r>
      <w:r>
        <w:rPr>
          <w:rFonts w:ascii="Arial" w:cs="Arial" w:eastAsia="Arial" w:hAnsi="Arial"/>
          <w:sz w:val="15"/>
          <w:szCs w:val="15"/>
          <w:color w:val="auto"/>
        </w:rPr>
        <w:t>th</w:t>
      </w:r>
      <w:r>
        <w:rPr>
          <w:rFonts w:ascii="Arial" w:cs="Arial" w:eastAsia="Arial" w:hAnsi="Arial"/>
          <w:sz w:val="18"/>
          <w:szCs w:val="18"/>
          <w:color w:val="auto"/>
        </w:rPr>
        <w:t xml:space="preserve"> of April of the calendar year following the Performance Cycle, provided the Participant is employed as a regular employee by the Corporation at the time of payment. This requirement for continued employment at the time of payment will be waived in the event of;</w:t>
      </w:r>
    </w:p>
    <w:p>
      <w:pPr>
        <w:spacing w:after="0" w:line="154" w:lineRule="exact"/>
        <w:rPr>
          <w:sz w:val="20"/>
          <w:szCs w:val="20"/>
          <w:color w:val="auto"/>
        </w:rPr>
      </w:pPr>
    </w:p>
    <w:p>
      <w:pPr>
        <w:ind w:left="940" w:hanging="433"/>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Retirement, disability, or death of the Participant prior to the scheduled payment date.</w:t>
      </w:r>
    </w:p>
    <w:p>
      <w:pPr>
        <w:spacing w:after="0" w:line="169" w:lineRule="exact"/>
        <w:rPr>
          <w:rFonts w:ascii="Arial" w:cs="Arial" w:eastAsia="Arial" w:hAnsi="Arial"/>
          <w:sz w:val="18"/>
          <w:szCs w:val="18"/>
          <w:color w:val="auto"/>
        </w:rPr>
      </w:pPr>
    </w:p>
    <w:p>
      <w:pPr>
        <w:ind w:left="940" w:right="100" w:hanging="433"/>
        <w:spacing w:after="0" w:line="241" w:lineRule="auto"/>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Involuntary termination for reason other than performance, misconduct, or change in control, with effect on or after the first day of the fourth fiscal quarter through the scheduled payment date, and shall be prorated, as applicable, by the number of full months the Participant actually worked as a full-time or part-time regular employee during the applicable Performance Cycle.</w:t>
      </w:r>
    </w:p>
    <w:p>
      <w:pPr>
        <w:spacing w:after="0" w:line="152" w:lineRule="exact"/>
        <w:rPr>
          <w:rFonts w:ascii="Arial" w:cs="Arial" w:eastAsia="Arial" w:hAnsi="Arial"/>
          <w:sz w:val="18"/>
          <w:szCs w:val="18"/>
          <w:color w:val="auto"/>
        </w:rPr>
      </w:pPr>
    </w:p>
    <w:p>
      <w:pPr>
        <w:ind w:left="940" w:hanging="433"/>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case of special circumstances as determined by the Committee.</w:t>
      </w:r>
    </w:p>
    <w:p>
      <w:pPr>
        <w:spacing w:after="0" w:line="170" w:lineRule="exact"/>
        <w:rPr>
          <w:sz w:val="20"/>
          <w:szCs w:val="20"/>
          <w:color w:val="auto"/>
        </w:rPr>
      </w:pPr>
    </w:p>
    <w:p>
      <w:pPr>
        <w:ind w:right="500"/>
        <w:spacing w:after="0" w:line="251" w:lineRule="auto"/>
        <w:rPr>
          <w:sz w:val="20"/>
          <w:szCs w:val="20"/>
          <w:color w:val="auto"/>
        </w:rPr>
      </w:pPr>
      <w:r>
        <w:rPr>
          <w:rFonts w:ascii="Arial" w:cs="Arial" w:eastAsia="Arial" w:hAnsi="Arial"/>
          <w:sz w:val="18"/>
          <w:szCs w:val="18"/>
          <w:color w:val="auto"/>
        </w:rPr>
        <w:t>The payment of any Annual Incentive Awards earned by selected Participants may be eligible for deferral under the terms of the Corporation’s deferred compensation plans as in effect from time to time.</w:t>
      </w:r>
    </w:p>
    <w:p>
      <w:pPr>
        <w:spacing w:after="0" w:line="14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Modification of Performance Standards</w:t>
      </w:r>
      <w:r>
        <w:rPr>
          <w:rFonts w:ascii="Arial" w:cs="Arial" w:eastAsia="Arial" w:hAnsi="Arial"/>
          <w:sz w:val="18"/>
          <w:szCs w:val="18"/>
          <w:color w:val="auto"/>
        </w:rPr>
        <w:t>. If, prior to completion of a Performance Cycle, the Board determines, in its absolute and complete discretion, that the established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54" w:right="339" w:bottom="1440" w:gutter="0" w:footer="0" w:header="0"/>
        </w:sectPr>
      </w:pPr>
    </w:p>
    <w:bookmarkStart w:id="169" w:name="page170"/>
    <w:bookmarkEnd w:id="169"/>
    <w:p>
      <w:pPr>
        <w:spacing w:after="0" w:line="251" w:lineRule="auto"/>
        <w:rPr>
          <w:sz w:val="20"/>
          <w:szCs w:val="20"/>
          <w:color w:val="auto"/>
        </w:rPr>
      </w:pPr>
      <w:r>
        <w:rPr>
          <w:rFonts w:ascii="Arial" w:cs="Arial" w:eastAsia="Arial" w:hAnsi="Arial"/>
          <w:sz w:val="18"/>
          <w:szCs w:val="18"/>
          <w:color w:val="auto"/>
        </w:rPr>
        <w:t>performance measures or objectives are no longer applicable, the Compensation Committee may modify the performance measures and standards in a manner that it considers to be appropriate and equitable.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 AND TERMINATION OF THE PLAN</w:t>
      </w:r>
    </w:p>
    <w:p>
      <w:pPr>
        <w:spacing w:after="0" w:line="1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Compensation Committee will review the Plan, at a minimum, once every five years.</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Board at any time and from time to time may suspend, terminate, modify, or amend the Plan.</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ARTICLE 6</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GENERAL PROVISIONS</w:t>
      </w:r>
    </w:p>
    <w:p>
      <w:pPr>
        <w:spacing w:after="0" w:line="156" w:lineRule="exact"/>
        <w:rPr>
          <w:sz w:val="20"/>
          <w:szCs w:val="20"/>
          <w:color w:val="auto"/>
        </w:rPr>
      </w:pPr>
    </w:p>
    <w:p>
      <w:pPr>
        <w:ind w:right="800"/>
        <w:spacing w:after="0" w:line="27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Liability of Corporation</w:t>
      </w:r>
      <w:r>
        <w:rPr>
          <w:rFonts w:ascii="Arial" w:cs="Arial" w:eastAsia="Arial" w:hAnsi="Arial"/>
          <w:sz w:val="17"/>
          <w:szCs w:val="17"/>
          <w:color w:val="auto"/>
        </w:rPr>
        <w:t>. Nothing in the Plan shall constitute the creation of a trust or other fiduciary relationship between the Corporation and any Participant, beneficiary or other person. The Corporation shall not be considered a trustee by reason of the Plan.</w:t>
      </w:r>
    </w:p>
    <w:p>
      <w:pPr>
        <w:spacing w:after="0" w:line="122"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Liability of Administrators</w:t>
      </w:r>
      <w:r>
        <w:rPr>
          <w:rFonts w:ascii="Arial" w:cs="Arial" w:eastAsia="Arial" w:hAnsi="Arial"/>
          <w:sz w:val="18"/>
          <w:szCs w:val="18"/>
          <w:color w:val="auto"/>
        </w:rPr>
        <w:t>. No member of the Board, the Compensation Committee, the Total Rewards Committee, or the CEO or any other person with administrative responsibility under the Plan will be personally liable for any action taken or determination made in good faith with respect to the Plan, its interpretation, management or administration or any Annual Incentive Award granted hereunder.</w:t>
      </w:r>
    </w:p>
    <w:p>
      <w:pPr>
        <w:spacing w:after="0" w:line="152" w:lineRule="exact"/>
        <w:rPr>
          <w:sz w:val="20"/>
          <w:szCs w:val="20"/>
          <w:color w:val="auto"/>
        </w:rPr>
      </w:pPr>
    </w:p>
    <w:p>
      <w:pPr>
        <w:ind w:right="460"/>
        <w:spacing w:after="0" w:line="25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Assignment and Alienation</w:t>
      </w:r>
      <w:r>
        <w:rPr>
          <w:rFonts w:ascii="Arial" w:cs="Arial" w:eastAsia="Arial" w:hAnsi="Arial"/>
          <w:sz w:val="18"/>
          <w:szCs w:val="18"/>
          <w:color w:val="auto"/>
        </w:rPr>
        <w:t>. No rights under the Plan may be anticipated, assigned, transferred, alienated, pledged, sold, attached, garnished or encumbered by a Participant or beneficiary.</w:t>
      </w:r>
    </w:p>
    <w:p>
      <w:pPr>
        <w:spacing w:after="0" w:line="143"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Code Section 409A</w:t>
      </w:r>
      <w:r>
        <w:rPr>
          <w:rFonts w:ascii="Arial" w:cs="Arial" w:eastAsia="Arial" w:hAnsi="Arial"/>
          <w:sz w:val="18"/>
          <w:szCs w:val="18"/>
          <w:color w:val="auto"/>
        </w:rPr>
        <w:t>. It is intended that any amounts payable under this Plan shall either be exempt from Code Section 409A or shall comply with Code Section 409A (including Treasury Regulations and other published guidance related thereto) so as not to subject Participants to payment of any additional tax, penalty, or interest imposed under Code Section</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71055" cy="139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40"/>
          </w:cols>
          <w:pgMar w:left="300" w:top="855" w:right="359" w:bottom="1440" w:gutter="0" w:footer="0" w:header="0"/>
        </w:sectPr>
      </w:pPr>
    </w:p>
    <w:bookmarkStart w:id="170" w:name="page171"/>
    <w:bookmarkEnd w:id="170"/>
    <w:p>
      <w:pPr>
        <w:spacing w:after="0" w:line="279" w:lineRule="auto"/>
        <w:rPr>
          <w:sz w:val="20"/>
          <w:szCs w:val="20"/>
          <w:color w:val="auto"/>
        </w:rPr>
      </w:pPr>
      <w:r>
        <w:rPr>
          <w:rFonts w:ascii="Arial" w:cs="Arial" w:eastAsia="Arial" w:hAnsi="Arial"/>
          <w:sz w:val="17"/>
          <w:szCs w:val="17"/>
          <w:color w:val="auto"/>
        </w:rPr>
        <w:t>409A. The provisions of this Plan shall be construed and interpreted to avoid the imputation of any such additional tax, penalty, or interest under Code Section 409A yet preserve (to the nearest extent reasonably possible) the intended benefits payable to Participants.</w:t>
      </w:r>
    </w:p>
    <w:p>
      <w:pPr>
        <w:spacing w:after="0" w:line="200" w:lineRule="exact"/>
        <w:rPr>
          <w:sz w:val="20"/>
          <w:szCs w:val="20"/>
          <w:color w:val="auto"/>
        </w:rPr>
      </w:pPr>
    </w:p>
    <w:p>
      <w:pPr>
        <w:spacing w:after="0" w:line="276" w:lineRule="exact"/>
        <w:rPr>
          <w:sz w:val="20"/>
          <w:szCs w:val="20"/>
          <w:color w:val="auto"/>
        </w:rPr>
      </w:pPr>
    </w:p>
    <w:p>
      <w:pPr>
        <w:ind w:left="5460"/>
        <w:spacing w:after="0"/>
        <w:rPr>
          <w:sz w:val="20"/>
          <w:szCs w:val="20"/>
          <w:color w:val="auto"/>
        </w:rPr>
      </w:pPr>
      <w:r>
        <w:rPr>
          <w:rFonts w:ascii="Arial" w:cs="Arial" w:eastAsia="Arial" w:hAnsi="Arial"/>
          <w:sz w:val="18"/>
          <w:szCs w:val="18"/>
          <w:u w:val="single" w:color="auto"/>
          <w:color w:val="auto"/>
        </w:rPr>
        <w:t>END</w:t>
      </w:r>
    </w:p>
    <w:p>
      <w:pPr>
        <w:spacing w:after="0" w:line="17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20"/>
          </w:cols>
          <w:pgMar w:left="300" w:top="854" w:right="87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t>Exhibit 10.15</w:t>
      </w:r>
    </w:p>
    <w:p>
      <w:pPr>
        <w:jc w:val="center"/>
        <w:spacing w:after="0"/>
        <w:rPr>
          <w:sz w:val="20"/>
          <w:szCs w:val="20"/>
          <w:color w:val="auto"/>
        </w:rPr>
      </w:pPr>
      <w:r>
        <w:rPr>
          <w:rFonts w:ascii="Arial" w:cs="Arial" w:eastAsia="Arial" w:hAnsi="Arial"/>
          <w:sz w:val="18"/>
          <w:szCs w:val="18"/>
          <w:b w:val="1"/>
          <w:bCs w:val="1"/>
          <w:color w:val="auto"/>
        </w:rPr>
        <w:t>THIRD AMENDMENT TO THE</w:t>
      </w:r>
    </w:p>
    <w:p>
      <w:pPr>
        <w:jc w:val="center"/>
        <w:spacing w:after="0" w:line="233" w:lineRule="auto"/>
        <w:rPr>
          <w:sz w:val="20"/>
          <w:szCs w:val="20"/>
          <w:color w:val="auto"/>
        </w:rPr>
      </w:pPr>
      <w:r>
        <w:rPr>
          <w:rFonts w:ascii="Arial" w:cs="Arial" w:eastAsia="Arial" w:hAnsi="Arial"/>
          <w:sz w:val="18"/>
          <w:szCs w:val="18"/>
          <w:b w:val="1"/>
          <w:bCs w:val="1"/>
          <w:color w:val="auto"/>
        </w:rPr>
        <w:t>PARSONS EMPLOYEE STOCK OWNERSHIP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AMENDMENT AND RESTATEMENT</w:t>
      </w:r>
    </w:p>
    <w:p>
      <w:pPr>
        <w:spacing w:after="0" w:line="166" w:lineRule="exact"/>
        <w:rPr>
          <w:sz w:val="20"/>
          <w:szCs w:val="20"/>
          <w:color w:val="auto"/>
        </w:rPr>
      </w:pPr>
    </w:p>
    <w:p>
      <w:pPr>
        <w:ind w:right="20" w:firstLine="867"/>
        <w:spacing w:after="0" w:line="251" w:lineRule="auto"/>
        <w:rPr>
          <w:sz w:val="20"/>
          <w:szCs w:val="20"/>
          <w:color w:val="auto"/>
        </w:rPr>
      </w:pPr>
      <w:r>
        <w:rPr>
          <w:rFonts w:ascii="Arial" w:cs="Arial" w:eastAsia="Arial" w:hAnsi="Arial"/>
          <w:sz w:val="18"/>
          <w:szCs w:val="18"/>
          <w:color w:val="auto"/>
        </w:rPr>
        <w:t>The Parsons Employee Stock Ownership Plan 2019 Amendment and Restatement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in each case with respect to all diversifications elected or processed on or after January 1, 2021:</w:t>
      </w:r>
    </w:p>
    <w:p>
      <w:pPr>
        <w:spacing w:after="0" w:line="143" w:lineRule="exact"/>
        <w:rPr>
          <w:sz w:val="20"/>
          <w:szCs w:val="20"/>
          <w:color w:val="auto"/>
        </w:rPr>
      </w:pPr>
    </w:p>
    <w:p>
      <w:pPr>
        <w:ind w:left="880" w:hanging="871"/>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Sections 7.5(a) and 7.5(b) of the Plan are hereby amended and restated to read as follows:</w:t>
      </w:r>
    </w:p>
    <w:p>
      <w:pPr>
        <w:spacing w:after="0" w:line="191" w:lineRule="exact"/>
        <w:rPr>
          <w:rFonts w:ascii="Arial" w:cs="Arial" w:eastAsia="Arial" w:hAnsi="Arial"/>
          <w:sz w:val="18"/>
          <w:szCs w:val="18"/>
          <w:color w:val="auto"/>
        </w:rPr>
      </w:pPr>
    </w:p>
    <w:p>
      <w:pPr>
        <w:ind w:left="1600" w:hanging="725"/>
        <w:spacing w:after="0"/>
        <w:tabs>
          <w:tab w:leader="none" w:pos="1600"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the purpose of this Section 7.5 only, the following definitions shall apply:</w:t>
      </w:r>
    </w:p>
    <w:p>
      <w:pPr>
        <w:spacing w:after="0" w:line="6" w:lineRule="exact"/>
        <w:rPr>
          <w:rFonts w:ascii="Arial" w:cs="Arial" w:eastAsia="Arial" w:hAnsi="Arial"/>
          <w:sz w:val="18"/>
          <w:szCs w:val="18"/>
          <w:color w:val="auto"/>
        </w:rPr>
      </w:pPr>
    </w:p>
    <w:p>
      <w:pPr>
        <w:ind w:left="880" w:right="880" w:firstLine="729"/>
        <w:spacing w:after="0" w:line="237" w:lineRule="auto"/>
        <w:tabs>
          <w:tab w:leader="none" w:pos="2352" w:val="left"/>
        </w:tabs>
        <w:numPr>
          <w:ilvl w:val="2"/>
          <w:numId w:val="94"/>
        </w:numPr>
        <w:rPr>
          <w:rFonts w:ascii="Arial" w:cs="Arial" w:eastAsia="Arial" w:hAnsi="Arial"/>
          <w:sz w:val="18"/>
          <w:szCs w:val="18"/>
          <w:color w:val="auto"/>
        </w:rPr>
      </w:pPr>
      <w:r>
        <w:rPr>
          <w:rFonts w:ascii="Arial" w:cs="Arial" w:eastAsia="Arial" w:hAnsi="Arial"/>
          <w:sz w:val="18"/>
          <w:szCs w:val="18"/>
          <w:color w:val="auto"/>
        </w:rPr>
        <w:t>“Qualified Participant” shall mean a Participant who has attained age 50 and who has completed at least 3 years of participation in the Plan.</w:t>
      </w:r>
    </w:p>
    <w:p>
      <w:pPr>
        <w:spacing w:after="0" w:line="175" w:lineRule="exact"/>
        <w:rPr>
          <w:rFonts w:ascii="Arial" w:cs="Arial" w:eastAsia="Arial" w:hAnsi="Arial"/>
          <w:sz w:val="18"/>
          <w:szCs w:val="18"/>
          <w:color w:val="auto"/>
        </w:rPr>
      </w:pPr>
    </w:p>
    <w:p>
      <w:pPr>
        <w:ind w:left="880" w:right="860" w:firstLine="729"/>
        <w:spacing w:after="0" w:line="251" w:lineRule="auto"/>
        <w:tabs>
          <w:tab w:leader="none" w:pos="2352" w:val="left"/>
        </w:tabs>
        <w:numPr>
          <w:ilvl w:val="2"/>
          <w:numId w:val="94"/>
        </w:numPr>
        <w:rPr>
          <w:rFonts w:ascii="Arial" w:cs="Arial" w:eastAsia="Arial" w:hAnsi="Arial"/>
          <w:sz w:val="18"/>
          <w:szCs w:val="18"/>
          <w:color w:val="auto"/>
        </w:rPr>
      </w:pPr>
      <w:r>
        <w:rPr>
          <w:rFonts w:ascii="Arial" w:cs="Arial" w:eastAsia="Arial" w:hAnsi="Arial"/>
          <w:sz w:val="18"/>
          <w:szCs w:val="18"/>
          <w:color w:val="auto"/>
        </w:rPr>
        <w:t>“Qualified Election Period” shall mean the eleven Plan Year period beginning with the Plan Year in which the Participant first becomes a Qualified Participant.</w:t>
      </w:r>
    </w:p>
    <w:p>
      <w:pPr>
        <w:spacing w:after="0" w:line="165" w:lineRule="exact"/>
        <w:rPr>
          <w:rFonts w:ascii="Arial" w:cs="Arial" w:eastAsia="Arial" w:hAnsi="Arial"/>
          <w:sz w:val="18"/>
          <w:szCs w:val="18"/>
          <w:color w:val="auto"/>
        </w:rPr>
      </w:pPr>
    </w:p>
    <w:p>
      <w:pPr>
        <w:ind w:left="880" w:right="880" w:firstLine="729"/>
        <w:spacing w:after="0" w:line="251" w:lineRule="auto"/>
        <w:tabs>
          <w:tab w:leader="none" w:pos="2352" w:val="left"/>
        </w:tabs>
        <w:numPr>
          <w:ilvl w:val="2"/>
          <w:numId w:val="94"/>
        </w:numPr>
        <w:rPr>
          <w:rFonts w:ascii="Arial" w:cs="Arial" w:eastAsia="Arial" w:hAnsi="Arial"/>
          <w:sz w:val="18"/>
          <w:szCs w:val="18"/>
          <w:color w:val="auto"/>
        </w:rPr>
      </w:pPr>
      <w:r>
        <w:rPr>
          <w:rFonts w:ascii="Arial" w:cs="Arial" w:eastAsia="Arial" w:hAnsi="Arial"/>
          <w:sz w:val="18"/>
          <w:szCs w:val="18"/>
          <w:color w:val="auto"/>
        </w:rPr>
        <w:t>“Annual Election Period” shall mean the 150-day period beginning on the January 1</w:t>
      </w:r>
      <w:r>
        <w:rPr>
          <w:rFonts w:ascii="Arial" w:cs="Arial" w:eastAsia="Arial" w:hAnsi="Arial"/>
          <w:sz w:val="15"/>
          <w:szCs w:val="15"/>
          <w:color w:val="auto"/>
        </w:rPr>
        <w:t>st</w:t>
      </w:r>
      <w:r>
        <w:rPr>
          <w:rFonts w:ascii="Arial" w:cs="Arial" w:eastAsia="Arial" w:hAnsi="Arial"/>
          <w:sz w:val="18"/>
          <w:szCs w:val="18"/>
          <w:color w:val="auto"/>
        </w:rPr>
        <w:t xml:space="preserve"> following the end of each Plan Year in the Participant’s Qualified Election Period.</w:t>
      </w:r>
    </w:p>
    <w:p>
      <w:pPr>
        <w:spacing w:after="0" w:line="165" w:lineRule="exact"/>
        <w:rPr>
          <w:rFonts w:ascii="Arial" w:cs="Arial" w:eastAsia="Arial" w:hAnsi="Arial"/>
          <w:sz w:val="18"/>
          <w:szCs w:val="18"/>
          <w:color w:val="auto"/>
        </w:rPr>
      </w:pPr>
    </w:p>
    <w:p>
      <w:pPr>
        <w:jc w:val="both"/>
        <w:ind w:left="880" w:right="860" w:hanging="5"/>
        <w:spacing w:after="0" w:line="238" w:lineRule="auto"/>
        <w:tabs>
          <w:tab w:leader="none" w:pos="1619" w:val="left"/>
        </w:tabs>
        <w:numPr>
          <w:ilvl w:val="1"/>
          <w:numId w:val="94"/>
        </w:numPr>
        <w:rPr>
          <w:rFonts w:ascii="Arial" w:cs="Arial" w:eastAsia="Arial" w:hAnsi="Arial"/>
          <w:sz w:val="18"/>
          <w:szCs w:val="18"/>
          <w:color w:val="auto"/>
        </w:rPr>
      </w:pPr>
      <w:r>
        <w:rPr>
          <w:rFonts w:ascii="Arial" w:cs="Arial" w:eastAsia="Arial" w:hAnsi="Arial"/>
          <w:sz w:val="18"/>
          <w:szCs w:val="18"/>
          <w:color w:val="auto"/>
        </w:rPr>
        <w:t>Each Qualified Participant shall be permitted to direct the Plan as to the diversification of 50% of the value of the vested portion of the Participant’s ESOP Account (or any subaccounts under such Account) subject to the diversification rules in respect of Company Stock which was acquired by the Plan after December 31, 1986, in the manner provided under subsection (c) below, during each Annual Election Period.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7171055" cy="139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172" w:name="page173"/>
    <w:bookmarkEnd w:id="172"/>
    <w:p>
      <w:pPr>
        <w:spacing w:after="0"/>
        <w:rPr>
          <w:sz w:val="20"/>
          <w:szCs w:val="20"/>
          <w:color w:val="auto"/>
        </w:rPr>
      </w:pPr>
      <w:r>
        <w:rPr>
          <w:rFonts w:ascii="Arial" w:cs="Arial" w:eastAsia="Arial" w:hAnsi="Arial"/>
          <w:sz w:val="17"/>
          <w:szCs w:val="17"/>
          <w:color w:val="auto"/>
        </w:rPr>
        <w:t>IN WITNESS WHEREOF, this instrument of amendment is executed this ______ day of December, 2020.</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PARSONS CORPORATION</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Signature Page to the Third Amendment</w:t>
      </w:r>
    </w:p>
    <w:p>
      <w:pPr>
        <w:spacing w:after="0" w:line="15"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to the Parsons Employee Stock Ownership Plan</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2019 Amendment and Restatement</w:t>
      </w:r>
    </w:p>
    <w:p>
      <w:pPr>
        <w:sectPr>
          <w:pgSz w:w="11900" w:h="16838" w:orient="portrait"/>
          <w:cols w:equalWidth="0" w:num="1">
            <w:col w:w="10159"/>
          </w:cols>
          <w:pgMar w:left="300" w:top="466" w:right="1440" w:bottom="1440" w:gutter="0" w:footer="0" w:header="0"/>
        </w:sectPr>
      </w:pPr>
    </w:p>
    <w:bookmarkStart w:id="173" w:name="page174"/>
    <w:bookmarkEnd w:id="173"/>
    <w:p>
      <w:pPr>
        <w:ind w:left="10400"/>
        <w:spacing w:after="0"/>
        <w:rPr>
          <w:sz w:val="20"/>
          <w:szCs w:val="20"/>
          <w:color w:val="auto"/>
        </w:rPr>
      </w:pPr>
      <w:r>
        <w:rPr>
          <w:rFonts w:ascii="Arial" w:cs="Arial" w:eastAsia="Arial" w:hAnsi="Arial"/>
          <w:sz w:val="16"/>
          <w:szCs w:val="16"/>
          <w:color w:val="auto"/>
        </w:rPr>
        <w:t>Exhibit 10.19</w:t>
      </w:r>
    </w:p>
    <w:p>
      <w:pPr>
        <w:spacing w:after="0" w:line="21" w:lineRule="exact"/>
        <w:rPr>
          <w:sz w:val="20"/>
          <w:szCs w:val="20"/>
          <w:color w:val="auto"/>
        </w:rPr>
      </w:pPr>
    </w:p>
    <w:p>
      <w:pPr>
        <w:jc w:val="center"/>
        <w:ind w:left="600"/>
        <w:spacing w:after="0"/>
        <w:rPr>
          <w:sz w:val="20"/>
          <w:szCs w:val="20"/>
          <w:color w:val="auto"/>
        </w:rPr>
      </w:pPr>
      <w:r>
        <w:rPr>
          <w:rFonts w:ascii="Arial" w:cs="Arial" w:eastAsia="Arial" w:hAnsi="Arial"/>
          <w:sz w:val="30"/>
          <w:szCs w:val="30"/>
          <w:color w:val="auto"/>
        </w:rPr>
        <w:t>Parsons Corporation</w:t>
      </w:r>
    </w:p>
    <w:p>
      <w:pPr>
        <w:spacing w:after="0" w:line="61" w:lineRule="exact"/>
        <w:rPr>
          <w:sz w:val="20"/>
          <w:szCs w:val="20"/>
          <w:color w:val="auto"/>
        </w:rPr>
      </w:pPr>
    </w:p>
    <w:p>
      <w:pPr>
        <w:jc w:val="center"/>
        <w:ind w:left="600"/>
        <w:spacing w:after="0"/>
        <w:rPr>
          <w:sz w:val="20"/>
          <w:szCs w:val="20"/>
          <w:color w:val="auto"/>
        </w:rPr>
      </w:pPr>
      <w:r>
        <w:rPr>
          <w:rFonts w:ascii="Arial" w:cs="Arial" w:eastAsia="Arial" w:hAnsi="Arial"/>
          <w:sz w:val="30"/>
          <w:szCs w:val="30"/>
          <w:color w:val="auto"/>
        </w:rPr>
        <w:t>Non-Employee Director Compensation Policy</w:t>
      </w:r>
    </w:p>
    <w:p>
      <w:pPr>
        <w:spacing w:after="0" w:line="9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(As of April 21, 2020)</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Borders>
              <w:right w:val="single" w:sz="8" w:color="auto"/>
            </w:tcBorders>
          </w:tcPr>
          <w:p>
            <w:pPr>
              <w:spacing w:after="0"/>
              <w:rPr>
                <w:sz w:val="16"/>
                <w:szCs w:val="16"/>
                <w:color w:val="auto"/>
              </w:rPr>
            </w:pPr>
          </w:p>
        </w:tc>
        <w:tc>
          <w:tcPr>
            <w:tcW w:w="8160" w:type="dxa"/>
            <w:vAlign w:val="bottom"/>
            <w:tcBorders>
              <w:top w:val="single" w:sz="8" w:color="auto"/>
              <w:right w:val="single" w:sz="8" w:color="auto"/>
            </w:tcBorders>
            <w:vMerge w:val="restart"/>
          </w:tcPr>
          <w:p>
            <w:pPr>
              <w:ind w:left="2580"/>
              <w:spacing w:after="0"/>
              <w:rPr>
                <w:sz w:val="20"/>
                <w:szCs w:val="20"/>
                <w:color w:val="auto"/>
              </w:rPr>
            </w:pPr>
            <w:r>
              <w:rPr>
                <w:rFonts w:ascii="Arial" w:cs="Arial" w:eastAsia="Arial" w:hAnsi="Arial"/>
                <w:sz w:val="18"/>
                <w:szCs w:val="18"/>
                <w:b w:val="1"/>
                <w:bCs w:val="1"/>
                <w:color w:val="auto"/>
              </w:rPr>
              <w:t>Non-Employee Director Compensation</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Fee</w:t>
            </w:r>
          </w:p>
        </w:tc>
        <w:tc>
          <w:tcPr>
            <w:tcW w:w="1080" w:type="dxa"/>
            <w:vAlign w:val="bottom"/>
            <w:tcBorders>
              <w:top w:val="single" w:sz="8" w:color="auto"/>
            </w:tcBorders>
            <w:gridSpan w:val="2"/>
          </w:tcPr>
          <w:p>
            <w:pPr>
              <w:jc w:val="right"/>
              <w:ind w:right="40"/>
              <w:spacing w:after="0" w:line="188" w:lineRule="exact"/>
              <w:rPr>
                <w:sz w:val="20"/>
                <w:szCs w:val="20"/>
                <w:color w:val="auto"/>
              </w:rPr>
            </w:pPr>
            <w:r>
              <w:rPr>
                <w:rFonts w:ascii="Arial" w:cs="Arial" w:eastAsia="Arial" w:hAnsi="Arial"/>
                <w:sz w:val="18"/>
                <w:szCs w:val="18"/>
                <w:b w:val="1"/>
                <w:bCs w:val="1"/>
                <w:color w:val="auto"/>
              </w:rPr>
              <w:t>Frequency</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 w:type="dxa"/>
            <w:vAlign w:val="bottom"/>
            <w:tcBorders>
              <w:right w:val="single" w:sz="8" w:color="auto"/>
            </w:tcBorders>
          </w:tcPr>
          <w:p>
            <w:pPr>
              <w:spacing w:after="0"/>
              <w:rPr>
                <w:sz w:val="13"/>
                <w:szCs w:val="13"/>
                <w:color w:val="auto"/>
              </w:rPr>
            </w:pPr>
          </w:p>
        </w:tc>
        <w:tc>
          <w:tcPr>
            <w:tcW w:w="816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Payment</w:t>
            </w:r>
          </w:p>
        </w:tc>
        <w:tc>
          <w:tcPr>
            <w:tcW w:w="0" w:type="dxa"/>
            <w:vAlign w:val="bottom"/>
          </w:tcPr>
          <w:p>
            <w:pPr>
              <w:spacing w:after="0"/>
              <w:rPr>
                <w:sz w:val="1"/>
                <w:szCs w:val="1"/>
                <w:color w:val="auto"/>
              </w:rPr>
            </w:pPr>
          </w:p>
        </w:tc>
      </w:tr>
      <w:tr>
        <w:trPr>
          <w:trHeight w:val="70"/>
        </w:trPr>
        <w:tc>
          <w:tcPr>
            <w:tcW w:w="420" w:type="dxa"/>
            <w:vAlign w:val="bottom"/>
            <w:tcBorders>
              <w:right w:val="single" w:sz="8" w:color="auto"/>
            </w:tcBorders>
          </w:tcPr>
          <w:p>
            <w:pPr>
              <w:spacing w:after="0"/>
              <w:rPr>
                <w:sz w:val="6"/>
                <w:szCs w:val="6"/>
                <w:color w:val="auto"/>
              </w:rPr>
            </w:pPr>
          </w:p>
        </w:tc>
        <w:tc>
          <w:tcPr>
            <w:tcW w:w="816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20" w:type="dxa"/>
            <w:vAlign w:val="bottom"/>
            <w:tcBorders>
              <w:right w:val="single" w:sz="8" w:color="auto"/>
            </w:tcBorders>
          </w:tcPr>
          <w:p>
            <w:pPr>
              <w:spacing w:after="0"/>
              <w:rPr>
                <w:sz w:val="16"/>
                <w:szCs w:val="16"/>
                <w:color w:val="auto"/>
              </w:rPr>
            </w:pPr>
          </w:p>
        </w:tc>
        <w:tc>
          <w:tcPr>
            <w:tcW w:w="8160" w:type="dxa"/>
            <w:vAlign w:val="bottom"/>
            <w:tcBorders>
              <w:top w:val="single" w:sz="8" w:color="auto"/>
              <w:bottom w:val="single" w:sz="8" w:color="auto"/>
            </w:tcBorders>
          </w:tcPr>
          <w:p>
            <w:pPr>
              <w:ind w:left="4320"/>
              <w:spacing w:after="0" w:line="190" w:lineRule="exact"/>
              <w:rPr>
                <w:sz w:val="20"/>
                <w:szCs w:val="20"/>
                <w:color w:val="auto"/>
              </w:rPr>
            </w:pPr>
            <w:r>
              <w:rPr>
                <w:rFonts w:ascii="Arial" w:cs="Arial" w:eastAsia="Arial" w:hAnsi="Arial"/>
                <w:sz w:val="18"/>
                <w:szCs w:val="18"/>
                <w:b w:val="1"/>
                <w:bCs w:val="1"/>
                <w:color w:val="auto"/>
              </w:rPr>
              <w:t>Annual Retainers and Meeting Fees</w:t>
            </w:r>
          </w:p>
        </w:tc>
        <w:tc>
          <w:tcPr>
            <w:tcW w:w="17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20" w:type="dxa"/>
            <w:vAlign w:val="bottom"/>
            <w:tcBorders>
              <w:right w:val="single" w:sz="8" w:color="auto"/>
            </w:tcBorders>
          </w:tcPr>
          <w:p>
            <w:pPr>
              <w:spacing w:after="0"/>
              <w:rPr>
                <w:sz w:val="14"/>
                <w:szCs w:val="14"/>
                <w:color w:val="auto"/>
              </w:rPr>
            </w:pPr>
          </w:p>
        </w:tc>
        <w:tc>
          <w:tcPr>
            <w:tcW w:w="81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b w:val="1"/>
                <w:bCs w:val="1"/>
                <w:color w:val="auto"/>
              </w:rPr>
              <w:t>Retainer</w:t>
            </w:r>
          </w:p>
        </w:tc>
        <w:tc>
          <w:tcPr>
            <w:tcW w:w="17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 w:type="dxa"/>
            <w:vAlign w:val="bottom"/>
            <w:tcBorders>
              <w:right w:val="single" w:sz="8" w:color="auto"/>
            </w:tcBorders>
          </w:tcPr>
          <w:p>
            <w:pPr>
              <w:spacing w:after="0"/>
              <w:rPr>
                <w:sz w:val="16"/>
                <w:szCs w:val="16"/>
                <w:color w:val="auto"/>
              </w:rPr>
            </w:pPr>
          </w:p>
        </w:tc>
        <w:tc>
          <w:tcPr>
            <w:tcW w:w="8160" w:type="dxa"/>
            <w:vAlign w:val="bottom"/>
            <w:tcBorders>
              <w:right w:val="single" w:sz="8" w:color="auto"/>
            </w:tcBorders>
          </w:tcPr>
          <w:p>
            <w:pPr>
              <w:spacing w:after="0"/>
              <w:rPr>
                <w:sz w:val="20"/>
                <w:szCs w:val="20"/>
                <w:color w:val="auto"/>
              </w:rPr>
            </w:pPr>
            <w:r>
              <w:rPr>
                <w:rFonts w:ascii="Arial" w:cs="Arial" w:eastAsia="Arial" w:hAnsi="Arial"/>
                <w:sz w:val="16"/>
                <w:szCs w:val="16"/>
                <w:color w:val="auto"/>
                <w:w w:val="97"/>
              </w:rPr>
              <w:t>Includes compensation for all the duties of a non-employee director, including attendance at regular, scheduled Board</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0"/>
              </w:rPr>
              <w:t>$25,000 per quarter, or</w:t>
            </w: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420" w:type="dxa"/>
            <w:vAlign w:val="bottom"/>
            <w:tcBorders>
              <w:right w:val="single" w:sz="8" w:color="auto"/>
            </w:tcBorders>
          </w:tcPr>
          <w:p>
            <w:pPr>
              <w:spacing w:after="0"/>
              <w:rPr>
                <w:sz w:val="7"/>
                <w:szCs w:val="7"/>
                <w:color w:val="auto"/>
              </w:rPr>
            </w:pPr>
          </w:p>
        </w:tc>
        <w:tc>
          <w:tcPr>
            <w:tcW w:w="81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5"/>
              </w:rPr>
              <w:t>meetings and attendance by Committee members at Committee meetings held on regular, scheduled Board of Directors</w:t>
            </w:r>
          </w:p>
        </w:tc>
        <w:tc>
          <w:tcPr>
            <w:tcW w:w="1700" w:type="dxa"/>
            <w:vAlign w:val="bottom"/>
            <w:tcBorders>
              <w:right w:val="single" w:sz="8" w:color="auto"/>
            </w:tcBorders>
            <w:vMerge w:val="continue"/>
          </w:tcPr>
          <w:p>
            <w:pPr>
              <w:spacing w:after="0"/>
              <w:rPr>
                <w:sz w:val="7"/>
                <w:szCs w:val="7"/>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100"/>
        </w:trPr>
        <w:tc>
          <w:tcPr>
            <w:tcW w:w="420" w:type="dxa"/>
            <w:vAlign w:val="bottom"/>
            <w:tcBorders>
              <w:right w:val="single" w:sz="8" w:color="auto"/>
            </w:tcBorders>
          </w:tcPr>
          <w:p>
            <w:pPr>
              <w:spacing w:after="0"/>
              <w:rPr>
                <w:sz w:val="8"/>
                <w:szCs w:val="8"/>
                <w:color w:val="auto"/>
              </w:rPr>
            </w:pPr>
          </w:p>
        </w:tc>
        <w:tc>
          <w:tcPr>
            <w:tcW w:w="816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any portion of a quarter</w:t>
            </w:r>
          </w:p>
        </w:tc>
        <w:tc>
          <w:tcPr>
            <w:tcW w:w="11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420" w:type="dxa"/>
            <w:vAlign w:val="bottom"/>
            <w:tcBorders>
              <w:right w:val="single" w:sz="8" w:color="auto"/>
            </w:tcBorders>
          </w:tcPr>
          <w:p>
            <w:pPr>
              <w:spacing w:after="0"/>
              <w:rPr>
                <w:sz w:val="9"/>
                <w:szCs w:val="9"/>
                <w:color w:val="auto"/>
              </w:rPr>
            </w:pPr>
          </w:p>
        </w:tc>
        <w:tc>
          <w:tcPr>
            <w:tcW w:w="816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w w:val="98"/>
              </w:rPr>
              <w:t>("Board") activity days and participation in periodic telephonic reports with the CEO and/or members of the Executive</w:t>
            </w:r>
          </w:p>
        </w:tc>
        <w:tc>
          <w:tcPr>
            <w:tcW w:w="1700" w:type="dxa"/>
            <w:vAlign w:val="bottom"/>
            <w:tcBorders>
              <w:right w:val="single" w:sz="8" w:color="auto"/>
            </w:tcBorders>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20" w:type="dxa"/>
            <w:vAlign w:val="bottom"/>
            <w:tcBorders>
              <w:right w:val="single" w:sz="8" w:color="auto"/>
            </w:tcBorders>
          </w:tcPr>
          <w:p>
            <w:pPr>
              <w:spacing w:after="0"/>
              <w:rPr>
                <w:sz w:val="7"/>
                <w:szCs w:val="7"/>
                <w:color w:val="auto"/>
              </w:rPr>
            </w:pPr>
          </w:p>
        </w:tc>
        <w:tc>
          <w:tcPr>
            <w:tcW w:w="8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8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Leadership Team.</w:t>
            </w:r>
          </w:p>
        </w:tc>
        <w:tc>
          <w:tcPr>
            <w:tcW w:w="17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20" w:type="dxa"/>
            <w:vAlign w:val="bottom"/>
            <w:tcBorders>
              <w:right w:val="single" w:sz="8" w:color="auto"/>
            </w:tcBorders>
          </w:tcPr>
          <w:p>
            <w:pPr>
              <w:spacing w:after="0"/>
              <w:rPr>
                <w:sz w:val="14"/>
                <w:szCs w:val="14"/>
                <w:color w:val="auto"/>
              </w:rPr>
            </w:pPr>
          </w:p>
        </w:tc>
        <w:tc>
          <w:tcPr>
            <w:tcW w:w="816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b w:val="1"/>
                <w:bCs w:val="1"/>
                <w:color w:val="auto"/>
              </w:rPr>
              <w:t>Retainer for Committee Chairs</w:t>
            </w:r>
          </w:p>
        </w:tc>
        <w:tc>
          <w:tcPr>
            <w:tcW w:w="1700" w:type="dxa"/>
            <w:vAlign w:val="bottom"/>
            <w:tcBorders>
              <w:right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20" w:type="dxa"/>
            <w:vAlign w:val="bottom"/>
            <w:tcBorders>
              <w:right w:val="single" w:sz="8" w:color="auto"/>
            </w:tcBorders>
          </w:tcPr>
          <w:p>
            <w:pPr>
              <w:spacing w:after="0"/>
              <w:rPr>
                <w:sz w:val="16"/>
                <w:szCs w:val="16"/>
                <w:color w:val="auto"/>
              </w:rPr>
            </w:pPr>
          </w:p>
        </w:tc>
        <w:tc>
          <w:tcPr>
            <w:tcW w:w="816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•Audit</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$5,000</w:t>
            </w: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107"/>
        </w:trPr>
        <w:tc>
          <w:tcPr>
            <w:tcW w:w="420" w:type="dxa"/>
            <w:vAlign w:val="bottom"/>
            <w:tcBorders>
              <w:right w:val="single" w:sz="8" w:color="auto"/>
            </w:tcBorders>
          </w:tcPr>
          <w:p>
            <w:pPr>
              <w:spacing w:after="0"/>
              <w:rPr>
                <w:sz w:val="9"/>
                <w:szCs w:val="9"/>
                <w:color w:val="auto"/>
              </w:rPr>
            </w:pPr>
          </w:p>
        </w:tc>
        <w:tc>
          <w:tcPr>
            <w:tcW w:w="81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6"/>
                <w:szCs w:val="16"/>
                <w:color w:val="auto"/>
              </w:rPr>
              <w:t>•Compensation</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$4,500</w:t>
            </w:r>
          </w:p>
        </w:tc>
        <w:tc>
          <w:tcPr>
            <w:tcW w:w="11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20" w:type="dxa"/>
            <w:vAlign w:val="bottom"/>
            <w:tcBorders>
              <w:right w:val="single" w:sz="8" w:color="auto"/>
            </w:tcBorders>
          </w:tcPr>
          <w:p>
            <w:pPr>
              <w:spacing w:after="0"/>
              <w:rPr>
                <w:sz w:val="7"/>
                <w:szCs w:val="7"/>
                <w:color w:val="auto"/>
              </w:rPr>
            </w:pPr>
          </w:p>
        </w:tc>
        <w:tc>
          <w:tcPr>
            <w:tcW w:w="8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81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•Nominating and Governance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$3,750</w:t>
            </w: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Retainer for Committee Members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$2,875</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0" w:type="dxa"/>
            <w:vAlign w:val="bottom"/>
            <w:tcBorders>
              <w:right w:val="single" w:sz="8" w:color="auto"/>
            </w:tcBorders>
          </w:tcPr>
          <w:p>
            <w:pPr>
              <w:spacing w:after="0"/>
              <w:rPr>
                <w:sz w:val="15"/>
                <w:szCs w:val="15"/>
                <w:color w:val="auto"/>
              </w:rPr>
            </w:pPr>
          </w:p>
        </w:tc>
        <w:tc>
          <w:tcPr>
            <w:tcW w:w="8160" w:type="dxa"/>
            <w:vAlign w:val="bottom"/>
            <w:tcBorders>
              <w:right w:val="single" w:sz="8" w:color="auto"/>
            </w:tcBorders>
          </w:tcPr>
          <w:p>
            <w:pPr>
              <w:ind w:left="260"/>
              <w:spacing w:after="0" w:line="174" w:lineRule="exact"/>
              <w:rPr>
                <w:sz w:val="20"/>
                <w:szCs w:val="20"/>
                <w:color w:val="auto"/>
              </w:rPr>
            </w:pPr>
            <w:r>
              <w:rPr>
                <w:rFonts w:ascii="Arial" w:cs="Arial" w:eastAsia="Arial" w:hAnsi="Arial"/>
                <w:sz w:val="16"/>
                <w:szCs w:val="16"/>
                <w:color w:val="auto"/>
              </w:rPr>
              <w:t>•Audit</w:t>
            </w:r>
          </w:p>
        </w:tc>
        <w:tc>
          <w:tcPr>
            <w:tcW w:w="1700" w:type="dxa"/>
            <w:vAlign w:val="bottom"/>
            <w:tcBorders>
              <w:right w:val="single" w:sz="8" w:color="auto"/>
            </w:tcBorders>
            <w:vMerge w:val="continue"/>
          </w:tcPr>
          <w:p>
            <w:pPr>
              <w:spacing w:after="0"/>
              <w:rPr>
                <w:sz w:val="15"/>
                <w:szCs w:val="15"/>
                <w:color w:val="auto"/>
              </w:rPr>
            </w:pPr>
          </w:p>
        </w:tc>
        <w:tc>
          <w:tcPr>
            <w:tcW w:w="1100" w:type="dxa"/>
            <w:vAlign w:val="bottom"/>
            <w:gridSpan w:val="3"/>
            <w:vMerge w:val="restart"/>
          </w:tcPr>
          <w:p>
            <w:pPr>
              <w:jc w:val="right"/>
              <w:ind w:right="40"/>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103"/>
        </w:trPr>
        <w:tc>
          <w:tcPr>
            <w:tcW w:w="420" w:type="dxa"/>
            <w:vAlign w:val="bottom"/>
            <w:tcBorders>
              <w:right w:val="single" w:sz="8" w:color="auto"/>
            </w:tcBorders>
          </w:tcPr>
          <w:p>
            <w:pPr>
              <w:spacing w:after="0"/>
              <w:rPr>
                <w:sz w:val="8"/>
                <w:szCs w:val="8"/>
                <w:color w:val="auto"/>
              </w:rPr>
            </w:pPr>
          </w:p>
        </w:tc>
        <w:tc>
          <w:tcPr>
            <w:tcW w:w="8160" w:type="dxa"/>
            <w:vAlign w:val="bottom"/>
            <w:tcBorders>
              <w:right w:val="single" w:sz="8" w:color="auto"/>
            </w:tcBorders>
            <w:vMerge w:val="restart"/>
          </w:tcPr>
          <w:p>
            <w:pPr>
              <w:ind w:left="260"/>
              <w:spacing w:after="0"/>
              <w:rPr>
                <w:sz w:val="20"/>
                <w:szCs w:val="20"/>
                <w:color w:val="auto"/>
              </w:rPr>
            </w:pPr>
            <w:r>
              <w:rPr>
                <w:rFonts w:ascii="Arial" w:cs="Arial" w:eastAsia="Arial" w:hAnsi="Arial"/>
                <w:sz w:val="16"/>
                <w:szCs w:val="16"/>
                <w:color w:val="auto"/>
              </w:rPr>
              <w:t>•Compensation</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$2,000</w:t>
            </w:r>
          </w:p>
        </w:tc>
        <w:tc>
          <w:tcPr>
            <w:tcW w:w="11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420" w:type="dxa"/>
            <w:vAlign w:val="bottom"/>
            <w:tcBorders>
              <w:right w:val="single" w:sz="8" w:color="auto"/>
            </w:tcBorders>
          </w:tcPr>
          <w:p>
            <w:pPr>
              <w:spacing w:after="0"/>
              <w:rPr>
                <w:sz w:val="7"/>
                <w:szCs w:val="7"/>
                <w:color w:val="auto"/>
              </w:rPr>
            </w:pPr>
          </w:p>
        </w:tc>
        <w:tc>
          <w:tcPr>
            <w:tcW w:w="8160" w:type="dxa"/>
            <w:vAlign w:val="bottom"/>
            <w:tcBorders>
              <w:right w:val="single" w:sz="8" w:color="auto"/>
            </w:tcBorders>
            <w:vMerge w:val="continue"/>
          </w:tcPr>
          <w:p>
            <w:pPr>
              <w:spacing w:after="0"/>
              <w:rPr>
                <w:sz w:val="7"/>
                <w:szCs w:val="7"/>
                <w:color w:val="auto"/>
              </w:rPr>
            </w:pPr>
          </w:p>
        </w:tc>
        <w:tc>
          <w:tcPr>
            <w:tcW w:w="1700" w:type="dxa"/>
            <w:vAlign w:val="bottom"/>
            <w:tcBorders>
              <w:right w:val="single" w:sz="8" w:color="auto"/>
            </w:tcBorders>
            <w:vMerge w:val="continue"/>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420" w:type="dxa"/>
            <w:vAlign w:val="bottom"/>
            <w:tcBorders>
              <w:right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6"/>
                <w:szCs w:val="16"/>
                <w:color w:val="auto"/>
              </w:rPr>
              <w:t>•Nominating and Governance</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$2,000</w:t>
            </w: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Retainer for Lead Independent Director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$8,750</w:t>
            </w:r>
          </w:p>
        </w:tc>
        <w:tc>
          <w:tcPr>
            <w:tcW w:w="1100" w:type="dxa"/>
            <w:vAlign w:val="bottom"/>
            <w:gridSpan w:val="3"/>
          </w:tcPr>
          <w:p>
            <w:pPr>
              <w:jc w:val="right"/>
              <w:ind w:right="40"/>
              <w:spacing w:after="0"/>
              <w:rPr>
                <w:sz w:val="20"/>
                <w:szCs w:val="20"/>
                <w:color w:val="auto"/>
              </w:rPr>
            </w:pPr>
            <w:r>
              <w:rPr>
                <w:rFonts w:ascii="Arial" w:cs="Arial" w:eastAsia="Arial" w:hAnsi="Arial"/>
                <w:sz w:val="16"/>
                <w:szCs w:val="16"/>
                <w:color w:val="auto"/>
              </w:rPr>
              <w:t>Quarterly</w:t>
            </w:r>
          </w:p>
        </w:tc>
        <w:tc>
          <w:tcPr>
            <w:tcW w:w="0" w:type="dxa"/>
            <w:vAlign w:val="bottom"/>
          </w:tcPr>
          <w:p>
            <w:pPr>
              <w:spacing w:after="0"/>
              <w:rPr>
                <w:sz w:val="1"/>
                <w:szCs w:val="1"/>
                <w:color w:val="auto"/>
              </w:rPr>
            </w:pPr>
          </w:p>
        </w:tc>
      </w:tr>
      <w:tr>
        <w:trPr>
          <w:trHeight w:val="30"/>
        </w:trPr>
        <w:tc>
          <w:tcPr>
            <w:tcW w:w="420" w:type="dxa"/>
            <w:vAlign w:val="bottom"/>
            <w:tcBorders>
              <w:right w:val="single" w:sz="8" w:color="auto"/>
            </w:tcBorders>
          </w:tcPr>
          <w:p>
            <w:pPr>
              <w:spacing w:after="0"/>
              <w:rPr>
                <w:sz w:val="2"/>
                <w:szCs w:val="2"/>
                <w:color w:val="auto"/>
              </w:rPr>
            </w:pPr>
          </w:p>
        </w:tc>
        <w:tc>
          <w:tcPr>
            <w:tcW w:w="8160" w:type="dxa"/>
            <w:vAlign w:val="bottom"/>
            <w:tcBorders>
              <w:bottom w:val="single" w:sz="8" w:color="auto"/>
              <w:right w:val="single" w:sz="8" w:color="auto"/>
            </w:tcBorders>
          </w:tcPr>
          <w:p>
            <w:pPr>
              <w:spacing w:after="0"/>
              <w:rPr>
                <w:sz w:val="2"/>
                <w:szCs w:val="2"/>
                <w:color w:val="auto"/>
              </w:rPr>
            </w:pPr>
          </w:p>
        </w:tc>
        <w:tc>
          <w:tcPr>
            <w:tcW w:w="170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20" w:type="dxa"/>
            <w:vAlign w:val="bottom"/>
            <w:tcBorders>
              <w:right w:val="single" w:sz="8" w:color="auto"/>
            </w:tcBorders>
          </w:tcPr>
          <w:p>
            <w:pPr>
              <w:spacing w:after="0"/>
              <w:rPr>
                <w:sz w:val="19"/>
                <w:szCs w:val="19"/>
                <w:color w:val="auto"/>
              </w:rPr>
            </w:pPr>
          </w:p>
        </w:tc>
        <w:tc>
          <w:tcPr>
            <w:tcW w:w="8160" w:type="dxa"/>
            <w:vAlign w:val="bottom"/>
            <w:tcBorders>
              <w:right w:val="single" w:sz="8" w:color="auto"/>
            </w:tcBorders>
          </w:tcPr>
          <w:p>
            <w:pPr>
              <w:ind w:left="20"/>
              <w:spacing w:after="0"/>
              <w:rPr>
                <w:sz w:val="20"/>
                <w:szCs w:val="20"/>
                <w:color w:val="auto"/>
              </w:rPr>
            </w:pPr>
            <w:r>
              <w:rPr>
                <w:rFonts w:ascii="Arial" w:cs="Arial" w:eastAsia="Arial" w:hAnsi="Arial"/>
                <w:sz w:val="16"/>
                <w:szCs w:val="16"/>
                <w:b w:val="1"/>
                <w:bCs w:val="1"/>
                <w:color w:val="auto"/>
              </w:rPr>
              <w:t>Special Meeting Fees</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In person: $2,000</w:t>
            </w: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420" w:type="dxa"/>
            <w:vAlign w:val="bottom"/>
            <w:tcBorders>
              <w:right w:val="single" w:sz="8" w:color="auto"/>
            </w:tcBorders>
          </w:tcPr>
          <w:p>
            <w:pPr>
              <w:spacing w:after="0"/>
              <w:rPr>
                <w:sz w:val="15"/>
                <w:szCs w:val="15"/>
                <w:color w:val="auto"/>
              </w:rPr>
            </w:pPr>
          </w:p>
        </w:tc>
        <w:tc>
          <w:tcPr>
            <w:tcW w:w="8160" w:type="dxa"/>
            <w:vAlign w:val="bottom"/>
            <w:tcBorders>
              <w:right w:val="single" w:sz="8" w:color="auto"/>
            </w:tcBorders>
          </w:tcPr>
          <w:p>
            <w:pPr>
              <w:ind w:left="240"/>
              <w:spacing w:after="0" w:line="174" w:lineRule="exact"/>
              <w:rPr>
                <w:sz w:val="20"/>
                <w:szCs w:val="20"/>
                <w:color w:val="auto"/>
              </w:rPr>
            </w:pPr>
            <w:r>
              <w:rPr>
                <w:rFonts w:ascii="Arial" w:cs="Arial" w:eastAsia="Arial" w:hAnsi="Arial"/>
                <w:sz w:val="16"/>
                <w:szCs w:val="16"/>
                <w:color w:val="auto"/>
                <w:w w:val="95"/>
              </w:rPr>
              <w:t>•Meetings in addition to and occurring on a day other than those days regularly scheduled for Board activity. Periodic</w:t>
            </w:r>
          </w:p>
        </w:tc>
        <w:tc>
          <w:tcPr>
            <w:tcW w:w="1700" w:type="dxa"/>
            <w:vAlign w:val="bottom"/>
            <w:tcBorders>
              <w:right w:val="single" w:sz="8" w:color="auto"/>
            </w:tcBorders>
            <w:vMerge w:val="continue"/>
          </w:tcPr>
          <w:p>
            <w:pPr>
              <w:spacing w:after="0"/>
              <w:rPr>
                <w:sz w:val="15"/>
                <w:szCs w:val="15"/>
                <w:color w:val="auto"/>
              </w:rPr>
            </w:pP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Per meeting</w:t>
            </w:r>
          </w:p>
        </w:tc>
        <w:tc>
          <w:tcPr>
            <w:tcW w:w="0" w:type="dxa"/>
            <w:vAlign w:val="bottom"/>
          </w:tcPr>
          <w:p>
            <w:pPr>
              <w:spacing w:after="0"/>
              <w:rPr>
                <w:sz w:val="1"/>
                <w:szCs w:val="1"/>
                <w:color w:val="auto"/>
              </w:rPr>
            </w:pPr>
          </w:p>
        </w:tc>
      </w:tr>
      <w:tr>
        <w:trPr>
          <w:trHeight w:val="103"/>
        </w:trPr>
        <w:tc>
          <w:tcPr>
            <w:tcW w:w="420" w:type="dxa"/>
            <w:vAlign w:val="bottom"/>
            <w:tcBorders>
              <w:right w:val="single" w:sz="8" w:color="auto"/>
            </w:tcBorders>
          </w:tcPr>
          <w:p>
            <w:pPr>
              <w:spacing w:after="0"/>
              <w:rPr>
                <w:sz w:val="8"/>
                <w:szCs w:val="8"/>
                <w:color w:val="auto"/>
              </w:rPr>
            </w:pPr>
          </w:p>
        </w:tc>
        <w:tc>
          <w:tcPr>
            <w:tcW w:w="8160" w:type="dxa"/>
            <w:vAlign w:val="bottom"/>
            <w:tcBorders>
              <w:right w:val="single" w:sz="8" w:color="auto"/>
            </w:tcBorders>
            <w:vMerge w:val="restart"/>
          </w:tcPr>
          <w:p>
            <w:pPr>
              <w:ind w:left="520"/>
              <w:spacing w:after="0"/>
              <w:rPr>
                <w:sz w:val="20"/>
                <w:szCs w:val="20"/>
                <w:color w:val="auto"/>
              </w:rPr>
            </w:pPr>
            <w:r>
              <w:rPr>
                <w:rFonts w:ascii="Arial" w:cs="Arial" w:eastAsia="Arial" w:hAnsi="Arial"/>
                <w:sz w:val="16"/>
                <w:szCs w:val="16"/>
                <w:color w:val="auto"/>
                <w:w w:val="96"/>
              </w:rPr>
              <w:t>telephonic reports from the CEO and/or members of the Executive Leadership Team are not considered special</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1"/>
              </w:rPr>
              <w:t>Telephonic: $1,000</w:t>
            </w:r>
          </w:p>
        </w:tc>
        <w:tc>
          <w:tcPr>
            <w:tcW w:w="11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20" w:type="dxa"/>
            <w:vAlign w:val="bottom"/>
            <w:tcBorders>
              <w:right w:val="single" w:sz="8" w:color="auto"/>
            </w:tcBorders>
          </w:tcPr>
          <w:p>
            <w:pPr>
              <w:spacing w:after="0"/>
              <w:rPr>
                <w:sz w:val="9"/>
                <w:szCs w:val="9"/>
                <w:color w:val="auto"/>
              </w:rPr>
            </w:pPr>
          </w:p>
        </w:tc>
        <w:tc>
          <w:tcPr>
            <w:tcW w:w="81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420" w:type="dxa"/>
            <w:vAlign w:val="bottom"/>
            <w:tcBorders>
              <w:right w:val="single" w:sz="8" w:color="auto"/>
            </w:tcBorders>
          </w:tcPr>
          <w:p>
            <w:pPr>
              <w:spacing w:after="0"/>
              <w:rPr>
                <w:sz w:val="17"/>
                <w:szCs w:val="17"/>
                <w:color w:val="auto"/>
              </w:rPr>
            </w:pPr>
          </w:p>
        </w:tc>
        <w:tc>
          <w:tcPr>
            <w:tcW w:w="816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6"/>
                <w:szCs w:val="16"/>
                <w:color w:val="auto"/>
              </w:rPr>
              <w:t>meetings.</w:t>
            </w:r>
          </w:p>
        </w:tc>
        <w:tc>
          <w:tcPr>
            <w:tcW w:w="1700" w:type="dxa"/>
            <w:vAlign w:val="bottom"/>
            <w:tcBorders>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420" w:type="dxa"/>
            <w:vAlign w:val="bottom"/>
            <w:tcBorders>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7169150</wp:posOffset>
            </wp:positionH>
            <wp:positionV relativeFrom="paragraph">
              <wp:posOffset>-6350</wp:posOffset>
            </wp:positionV>
            <wp:extent cx="6985"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360"/>
          </w:cols>
          <w:pgMar w:left="300" w:top="126" w:right="239" w:bottom="1440" w:gutter="0" w:footer="0" w:header="0"/>
        </w:sectPr>
      </w:pPr>
    </w:p>
    <w:bookmarkStart w:id="174" w:name="page175"/>
    <w:bookmarkEnd w:id="174"/>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449580</wp:posOffset>
            </wp:positionH>
            <wp:positionV relativeFrom="page">
              <wp:posOffset>553720</wp:posOffset>
            </wp:positionV>
            <wp:extent cx="6954520" cy="4152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6954520" cy="4152265"/>
                    </a:xfrm>
                    <a:prstGeom prst="rect">
                      <a:avLst/>
                    </a:prstGeom>
                    <a:noFill/>
                  </pic:spPr>
                </pic:pic>
              </a:graphicData>
            </a:graphic>
          </wp:anchor>
        </w:drawing>
        <w:t>Form of Payment</w:t>
      </w:r>
    </w:p>
    <w:p>
      <w:pPr>
        <w:spacing w:after="0" w:line="42" w:lineRule="exact"/>
        <w:rPr>
          <w:sz w:val="20"/>
          <w:szCs w:val="20"/>
          <w:color w:val="auto"/>
        </w:rPr>
      </w:pPr>
    </w:p>
    <w:p>
      <w:pPr>
        <w:ind w:left="940" w:right="3020" w:hanging="265"/>
        <w:spacing w:after="0" w:line="254" w:lineRule="auto"/>
        <w:rPr>
          <w:sz w:val="20"/>
          <w:szCs w:val="20"/>
          <w:color w:val="auto"/>
        </w:rPr>
      </w:pPr>
      <w:r>
        <w:rPr>
          <w:rFonts w:ascii="Arial" w:cs="Arial" w:eastAsia="Arial" w:hAnsi="Arial"/>
          <w:sz w:val="16"/>
          <w:szCs w:val="16"/>
          <w:color w:val="auto"/>
        </w:rPr>
        <w:t>•Directors may elect to receive all or a portion of their cash retainers (but not meeting fees) in the form of fully vested shares of common stock (election may be made in increments of 25%).</w:t>
      </w:r>
    </w:p>
    <w:p>
      <w:pPr>
        <w:spacing w:after="0" w:line="1" w:lineRule="exact"/>
        <w:rPr>
          <w:sz w:val="20"/>
          <w:szCs w:val="20"/>
          <w:color w:val="auto"/>
        </w:rPr>
      </w:pPr>
    </w:p>
    <w:p>
      <w:pPr>
        <w:ind w:left="940" w:right="2860" w:hanging="265"/>
        <w:spacing w:after="0" w:line="245" w:lineRule="auto"/>
        <w:rPr>
          <w:sz w:val="20"/>
          <w:szCs w:val="20"/>
          <w:color w:val="auto"/>
        </w:rPr>
      </w:pPr>
      <w:r>
        <w:rPr>
          <w:rFonts w:ascii="Arial" w:cs="Arial" w:eastAsia="Arial" w:hAnsi="Arial"/>
          <w:sz w:val="16"/>
          <w:szCs w:val="16"/>
          <w:color w:val="auto"/>
        </w:rPr>
        <w:t>•The cash/stock election must be made prior to the last day of the calendar year preceding the year to which the retainers relate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director fails to make a valid cash/stock election, all of his or her retainers will be paid in cash.</w:t>
      </w:r>
    </w:p>
    <w:p>
      <w:pPr>
        <w:spacing w:after="0" w:line="4" w:lineRule="exact"/>
        <w:rPr>
          <w:sz w:val="20"/>
          <w:szCs w:val="20"/>
          <w:color w:val="auto"/>
        </w:rPr>
      </w:pPr>
    </w:p>
    <w:p>
      <w:pPr>
        <w:ind w:left="940" w:right="2920" w:hanging="265"/>
        <w:spacing w:after="0" w:line="262" w:lineRule="auto"/>
        <w:rPr>
          <w:sz w:val="20"/>
          <w:szCs w:val="20"/>
          <w:color w:val="auto"/>
        </w:rPr>
      </w:pPr>
      <w:r>
        <w:rPr>
          <w:rFonts w:ascii="Arial" w:cs="Arial" w:eastAsia="Arial" w:hAnsi="Arial"/>
          <w:sz w:val="15"/>
          <w:szCs w:val="15"/>
          <w:color w:val="auto"/>
        </w:rPr>
        <w:t>•If a director elects to receive all or a portion of his or her cash retainers in the form of fully vested shares of common stock, such shares will be issued to the director on the first day of each calendar quarter, in advance (and in the case of a newly-elected or appointed director, on the first day of his or her service for the then-current quarter).</w:t>
      </w:r>
    </w:p>
    <w:p>
      <w:pPr>
        <w:ind w:left="940" w:right="2980" w:hanging="265"/>
        <w:spacing w:after="0" w:line="245" w:lineRule="auto"/>
        <w:rPr>
          <w:sz w:val="20"/>
          <w:szCs w:val="20"/>
          <w:color w:val="auto"/>
        </w:rPr>
      </w:pPr>
      <w:r>
        <w:rPr>
          <w:rFonts w:ascii="Arial" w:cs="Arial" w:eastAsia="Arial" w:hAnsi="Arial"/>
          <w:sz w:val="16"/>
          <w:szCs w:val="16"/>
          <w:color w:val="auto"/>
        </w:rPr>
        <w:t>•The number of shares of common stock to be issued to a director will be determined by dividing (1) the cash retainers to be paid in the</w:t>
      </w:r>
    </w:p>
    <w:p>
      <w:pPr>
        <w:spacing w:after="0" w:line="1" w:lineRule="exact"/>
        <w:rPr>
          <w:sz w:val="20"/>
          <w:szCs w:val="20"/>
          <w:color w:val="auto"/>
        </w:rPr>
      </w:pPr>
    </w:p>
    <w:p>
      <w:pPr>
        <w:ind w:left="940" w:right="3100"/>
        <w:spacing w:after="0" w:line="245" w:lineRule="auto"/>
        <w:rPr>
          <w:sz w:val="20"/>
          <w:szCs w:val="20"/>
          <w:color w:val="auto"/>
        </w:rPr>
      </w:pPr>
      <w:r>
        <w:rPr>
          <w:rFonts w:ascii="Arial" w:cs="Arial" w:eastAsia="Arial" w:hAnsi="Arial"/>
          <w:sz w:val="16"/>
          <w:szCs w:val="16"/>
          <w:color w:val="auto"/>
        </w:rPr>
        <w:t>form of fully vested shares of common stock, by (2) the "Trailing 60 Trading Day Weighted Average Price" (as defined below) for the Determination Period (as defined below) up to and including the last day of the preceding calendar quarter, rounded up to the nearest whole share.</w:t>
      </w:r>
    </w:p>
    <w:p>
      <w:pPr>
        <w:spacing w:after="0" w:line="2" w:lineRule="exact"/>
        <w:rPr>
          <w:sz w:val="20"/>
          <w:szCs w:val="20"/>
          <w:color w:val="auto"/>
        </w:rPr>
      </w:pPr>
    </w:p>
    <w:p>
      <w:pPr>
        <w:ind w:left="940" w:right="3080" w:hanging="265"/>
        <w:spacing w:after="0" w:line="245" w:lineRule="auto"/>
        <w:rPr>
          <w:sz w:val="20"/>
          <w:szCs w:val="20"/>
          <w:color w:val="auto"/>
        </w:rPr>
      </w:pPr>
      <w:r>
        <w:rPr>
          <w:rFonts w:ascii="Arial" w:cs="Arial" w:eastAsia="Arial" w:hAnsi="Arial"/>
          <w:sz w:val="16"/>
          <w:szCs w:val="16"/>
          <w:color w:val="auto"/>
        </w:rPr>
        <w:t>•The shares issued pursuant to a cash/stock election shall be granted under and shall be subject to the terms and provisions of the Parsons Corporation Incentive Award Plan (the “2019 Plan”), and, if a deferral election is made with respect to such shares, shall be granted subject to the execution and delivery of award agreements in substantially the forms previously approved by the Board.</w:t>
      </w:r>
    </w:p>
    <w:p>
      <w:pPr>
        <w:spacing w:after="0" w:line="2" w:lineRule="exact"/>
        <w:rPr>
          <w:sz w:val="20"/>
          <w:szCs w:val="20"/>
          <w:color w:val="auto"/>
        </w:rPr>
      </w:pPr>
    </w:p>
    <w:p>
      <w:pPr>
        <w:ind w:left="940" w:right="2900" w:hanging="265"/>
        <w:spacing w:after="0" w:line="246" w:lineRule="auto"/>
        <w:rPr>
          <w:sz w:val="20"/>
          <w:szCs w:val="20"/>
          <w:color w:val="auto"/>
        </w:rPr>
      </w:pPr>
      <w:r>
        <w:rPr>
          <w:rFonts w:ascii="Arial" w:cs="Arial" w:eastAsia="Arial" w:hAnsi="Arial"/>
          <w:sz w:val="16"/>
          <w:szCs w:val="16"/>
          <w:color w:val="auto"/>
        </w:rPr>
        <w:t>•For purposes of this summary, the "Trailing 60 Trading Day Weighted Average Price" will be calculated by (1) first multiplying (A) the closing price per share of Parsons common stock for each trading day in the Determination Period, by (B) the closing volume of shares of Parsons common stock traded on such day, then (2) adding together the results in clause (1) for all of the trading days in the Determination Period, then (3) adding together the share volume in clause (B) for all of the trading days in the Determination Period, then (4) dividing the amount determined under clause (2) by the amount determined under clause (3). The "Determination Period" will be the 60 trading days preceding the date of determination (e.g., if the Trailing 60 Day Weighted Average Price is to be determined for purposes of a grant date of January 1, the Determination Period will be the 60 trading days up to and including the preceding December 31).</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Director Fee Deferral Plan</w:t>
      </w:r>
    </w:p>
    <w:p>
      <w:pPr>
        <w:spacing w:after="0" w:line="11" w:lineRule="exact"/>
        <w:rPr>
          <w:sz w:val="20"/>
          <w:szCs w:val="20"/>
          <w:color w:val="auto"/>
        </w:rPr>
      </w:pPr>
    </w:p>
    <w:p>
      <w:pPr>
        <w:ind w:left="420"/>
        <w:spacing w:after="0" w:line="249" w:lineRule="auto"/>
        <w:rPr>
          <w:sz w:val="20"/>
          <w:szCs w:val="20"/>
          <w:color w:val="auto"/>
        </w:rPr>
      </w:pPr>
      <w:r>
        <w:rPr>
          <w:rFonts w:ascii="Arial" w:cs="Arial" w:eastAsia="Arial" w:hAnsi="Arial"/>
          <w:sz w:val="16"/>
          <w:szCs w:val="16"/>
          <w:color w:val="auto"/>
        </w:rPr>
        <w:t>Each non-employee director is entitled annually to defer part or all of the retainer fee(s) and meeting fees, whether to be paid in cash or stock pursuant to a cash/stock election, in accordance with the deferral alternatives set forth in the Parsons Corporation Board of Directors Fee Deferral Plan for Outside Directors (the “Fee Deferral Plan”). Any shares deferred pursuant to such a deferral election will be issued in the form of a deferred fee award consisting of a number of restricted stock units under t 2019 Plan determined in accordance with the formula above and reflecting the director’s deferral election.</w:t>
      </w:r>
    </w:p>
    <w:p>
      <w:pPr>
        <w:spacing w:after="0" w:line="16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Long-Term Incentive Compensation</w:t>
      </w:r>
    </w:p>
    <w:p>
      <w:pPr>
        <w:spacing w:after="0" w:line="377" w:lineRule="exact"/>
        <w:rPr>
          <w:sz w:val="20"/>
          <w:szCs w:val="20"/>
          <w:color w:val="auto"/>
        </w:rPr>
      </w:pPr>
    </w:p>
    <w:p>
      <w:pPr>
        <w:spacing w:after="0"/>
        <w:rPr>
          <w:sz w:val="20"/>
          <w:szCs w:val="20"/>
          <w:color w:val="auto"/>
        </w:rPr>
      </w:pPr>
      <w:r>
        <w:rPr>
          <w:rFonts w:ascii="Arial" w:cs="Arial" w:eastAsia="Arial" w:hAnsi="Arial"/>
          <w:sz w:val="12"/>
          <w:szCs w:val="12"/>
          <w:color w:val="auto"/>
        </w:rPr>
        <w:t>US-DOCS\114988828.1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7171055" cy="1397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360"/>
          </w:cols>
          <w:pgMar w:left="300" w:top="908" w:right="239" w:bottom="1440" w:gutter="0" w:footer="0" w:header="0"/>
        </w:sectPr>
      </w:pPr>
    </w:p>
    <w:bookmarkStart w:id="175" w:name="page176"/>
    <w:bookmarkEnd w:id="175"/>
    <w:p>
      <w:pPr>
        <w:ind w:left="420" w:right="20"/>
        <w:spacing w:after="0" w:line="254" w:lineRule="auto"/>
        <w:rPr>
          <w:sz w:val="20"/>
          <w:szCs w:val="20"/>
          <w:color w:val="auto"/>
        </w:rPr>
      </w:pPr>
      <w:r>
        <w:rPr>
          <w:rFonts w:ascii="Arial" w:cs="Arial" w:eastAsia="Arial" w:hAnsi="Arial"/>
          <w:sz w:val="16"/>
          <w:szCs w:val="16"/>
          <w:color w:val="auto"/>
        </w:rPr>
        <w:t>From and after the 2020 annual shareholders' meeting, on the date of each annual shareholders' meeting, each non-employee director will be granted such number of restricted stock units as is equal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-244475</wp:posOffset>
            </wp:positionV>
            <wp:extent cx="6954520" cy="71075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6954520" cy="7107555"/>
                    </a:xfrm>
                    <a:prstGeom prst="rect">
                      <a:avLst/>
                    </a:prstGeom>
                    <a:noFill/>
                  </pic:spPr>
                </pic:pic>
              </a:graphicData>
            </a:graphic>
          </wp:anchor>
        </w:drawing>
      </w:r>
    </w:p>
    <w:p>
      <w:pPr>
        <w:ind w:left="420"/>
        <w:spacing w:after="0" w:line="245" w:lineRule="auto"/>
        <w:rPr>
          <w:sz w:val="20"/>
          <w:szCs w:val="20"/>
          <w:color w:val="auto"/>
        </w:rPr>
      </w:pPr>
      <w:r>
        <w:rPr>
          <w:rFonts w:ascii="Arial" w:cs="Arial" w:eastAsia="Arial" w:hAnsi="Arial"/>
          <w:sz w:val="16"/>
          <w:szCs w:val="16"/>
          <w:color w:val="auto"/>
        </w:rPr>
        <w:t>the annual target dollar amount (plus, with respect to the 2020 annual shareholders' meeting, a prorated quarterly target dollar amount for the portion of the calendar quarter in which such meeting occurs preceding the date of such meeting), divided by (2) the Trailing 60 Trading Day Weighted Average Price for the Determination Period up to and including the last day preceding the date of grant, rounded up to the nearest whole share. If a non-employee director is not standing for re-election at the 2020 annual shareholders' meeting, he or she will still receive such number of restricted stock units on such date as is equal to (1) $40,000 prorated for the portion of the calendar quarter in which such meeting occurs preceding the date of such meeting, divided by (2) the Trailing 60 Trading Day Weighted Average Price for the Determination Period up to and including the last day preceding the</w:t>
      </w:r>
    </w:p>
    <w:p>
      <w:pPr>
        <w:spacing w:after="0" w:line="5" w:lineRule="exact"/>
        <w:rPr>
          <w:sz w:val="20"/>
          <w:szCs w:val="20"/>
          <w:color w:val="auto"/>
        </w:rPr>
      </w:pPr>
    </w:p>
    <w:p>
      <w:pPr>
        <w:ind w:left="420"/>
        <w:spacing w:after="0" w:line="262" w:lineRule="auto"/>
        <w:rPr>
          <w:sz w:val="20"/>
          <w:szCs w:val="20"/>
          <w:color w:val="auto"/>
        </w:rPr>
      </w:pPr>
      <w:r>
        <w:rPr>
          <w:rFonts w:ascii="Arial" w:cs="Arial" w:eastAsia="Arial" w:hAnsi="Arial"/>
          <w:sz w:val="15"/>
          <w:szCs w:val="15"/>
          <w:color w:val="auto"/>
        </w:rPr>
        <w:t>date of grant, rounded up to the nearest whole share, which restricted stock units will be fully vested on the date of grant. Except as described above, all restricted stock units will vest on the first anniversary of the date of grant (e.g., if the date of grant is April 21, the award will vest on April 20, the following year. The restricted stock units will also vest upon a Change in Control (as defined in the 2019 Plan), or a non-employee director's death or disability, where disability shall mean an illness or other incapacitation which the Board determines is not a Section 409A Disability, but precludes such non-employee director from fully discharging his or her responsibilities as a member of the Board. In addition, for awards granted on or after April 21, 2020, a prorated portion of the restricted stock units will vest upon a non-employee director's Retirement based on the number of days that have elapsed from the grant date through the date of Retirement, divided by</w:t>
      </w:r>
    </w:p>
    <w:p>
      <w:pPr>
        <w:spacing w:after="0" w:line="1" w:lineRule="exact"/>
        <w:rPr>
          <w:sz w:val="20"/>
          <w:szCs w:val="20"/>
          <w:color w:val="auto"/>
        </w:rPr>
      </w:pPr>
    </w:p>
    <w:p>
      <w:pPr>
        <w:ind w:left="420" w:right="20" w:hanging="4"/>
        <w:spacing w:after="0" w:line="271" w:lineRule="auto"/>
        <w:tabs>
          <w:tab w:leader="none" w:pos="745" w:val="left"/>
        </w:tabs>
        <w:numPr>
          <w:ilvl w:val="0"/>
          <w:numId w:val="95"/>
        </w:numPr>
        <w:rPr>
          <w:rFonts w:ascii="Arial" w:cs="Arial" w:eastAsia="Arial" w:hAnsi="Arial"/>
          <w:sz w:val="15"/>
          <w:szCs w:val="15"/>
          <w:color w:val="auto"/>
        </w:rPr>
      </w:pPr>
      <w:r>
        <w:rPr>
          <w:rFonts w:ascii="Arial" w:cs="Arial" w:eastAsia="Arial" w:hAnsi="Arial"/>
          <w:sz w:val="15"/>
          <w:szCs w:val="15"/>
          <w:color w:val="auto"/>
        </w:rPr>
        <w:t>"Section 409A Disability" means, with respect to any non-employee director, a disability as defined in Treasury Regulation Section 1.409A-3(i)(4)(i), as such term is defined in Section 409A of the Internal Revenue Code. "Retirement" means a director's termination of service on the board for any reason other than removal for cause. For awards granted prior to April 21, 2020, the board may elect to provide for accelerated vesting upon Retirement, in its discretion.</w:t>
      </w:r>
    </w:p>
    <w:p>
      <w:pPr>
        <w:spacing w:after="0" w:line="149" w:lineRule="exact"/>
        <w:rPr>
          <w:sz w:val="20"/>
          <w:szCs w:val="20"/>
          <w:color w:val="auto"/>
        </w:rPr>
      </w:pPr>
    </w:p>
    <w:p>
      <w:pPr>
        <w:ind w:left="420" w:right="640"/>
        <w:spacing w:after="0" w:line="275" w:lineRule="auto"/>
        <w:rPr>
          <w:sz w:val="20"/>
          <w:szCs w:val="20"/>
          <w:color w:val="auto"/>
        </w:rPr>
      </w:pPr>
      <w:r>
        <w:rPr>
          <w:rFonts w:ascii="Arial" w:cs="Arial" w:eastAsia="Arial" w:hAnsi="Arial"/>
          <w:sz w:val="16"/>
          <w:szCs w:val="16"/>
          <w:color w:val="auto"/>
        </w:rPr>
        <w:t>Restricted stock unit award agreements for awards granted for service in 2020 and after will permit deferrals of the restricted stock unit awards on terms similar to those under the Fee Deferral Plan.</w:t>
      </w:r>
    </w:p>
    <w:p>
      <w:pPr>
        <w:spacing w:after="0" w:line="144" w:lineRule="exact"/>
        <w:rPr>
          <w:sz w:val="20"/>
          <w:szCs w:val="20"/>
          <w:color w:val="auto"/>
        </w:rPr>
      </w:pPr>
    </w:p>
    <w:p>
      <w:pPr>
        <w:ind w:left="420" w:right="240"/>
        <w:spacing w:after="0" w:line="260" w:lineRule="auto"/>
        <w:rPr>
          <w:sz w:val="20"/>
          <w:szCs w:val="20"/>
          <w:color w:val="auto"/>
        </w:rPr>
      </w:pPr>
      <w:r>
        <w:rPr>
          <w:rFonts w:ascii="Arial" w:cs="Arial" w:eastAsia="Arial" w:hAnsi="Arial"/>
          <w:sz w:val="16"/>
          <w:szCs w:val="16"/>
          <w:color w:val="auto"/>
        </w:rPr>
        <w:t>The awards described above shall be granted under and shall be subject to the terms and provisions of the 2019 Plan, and shall be granted subject to the execution and delivery of award agreements in substantially the forms approved by the Board.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color w:val="auto"/>
        </w:rPr>
        <w:t>$160,000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the form of restricted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stock units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Annual</w:t>
      </w:r>
    </w:p>
    <w:p>
      <w:pPr>
        <w:spacing w:after="0" w:line="5523" w:lineRule="exact"/>
        <w:rPr>
          <w:sz w:val="20"/>
          <w:szCs w:val="20"/>
          <w:color w:val="auto"/>
        </w:rPr>
      </w:pPr>
    </w:p>
    <w:p>
      <w:pPr>
        <w:sectPr>
          <w:pgSz w:w="11900" w:h="16838" w:orient="portrait"/>
          <w:cols w:equalWidth="0" w:num="3">
            <w:col w:w="8520" w:space="100"/>
            <w:col w:w="1540" w:space="620"/>
            <w:col w:w="580"/>
          </w:cols>
          <w:pgMar w:left="300" w:top="8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Director Liability Insurance</w:t>
      </w:r>
    </w:p>
    <w:p>
      <w:pPr>
        <w:spacing w:after="0" w:line="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Named beneficiary when acting in capacity as director, under two Parsons Corporation insurance policies:</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•Directors and Officers Liability Insurance policy - $50 million aggregate coverage</w:t>
      </w:r>
    </w:p>
    <w:p>
      <w:pPr>
        <w:spacing w:after="0" w:line="4"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•Directors and Officers Fiduciary Liability Insurance policy - $35 million aggregate coverage</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Travel Accident Policy</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$500,000 (aggregate $5 million for Board per event)</w:t>
      </w:r>
    </w:p>
    <w:p>
      <w:pPr>
        <w:spacing w:after="0" w:line="9"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Travel Costs</w:t>
      </w:r>
    </w:p>
    <w:p>
      <w:pPr>
        <w:spacing w:after="0" w:line="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Travel will be reimbursed based on the following guidelines, with receipts required for expense items &gt; $25: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•AIR TRAVEL: Domestic, First Class; International, Business Class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•GROUND TRANSPORTATION: Rail, bus, taxi, parking, tolls, rental cars, and mileage at the IRS standard mileage rate</w:t>
      </w:r>
    </w:p>
    <w:p>
      <w:pPr>
        <w:spacing w:after="0" w:line="4" w:lineRule="exact"/>
        <w:rPr>
          <w:sz w:val="20"/>
          <w:szCs w:val="20"/>
          <w:color w:val="auto"/>
        </w:rPr>
      </w:pPr>
    </w:p>
    <w:p>
      <w:pPr>
        <w:jc w:val="both"/>
        <w:ind w:left="940" w:hanging="265"/>
        <w:spacing w:after="0" w:line="245" w:lineRule="auto"/>
        <w:rPr>
          <w:sz w:val="20"/>
          <w:szCs w:val="20"/>
          <w:color w:val="auto"/>
        </w:rPr>
      </w:pPr>
      <w:r>
        <w:rPr>
          <w:rFonts w:ascii="Arial" w:cs="Arial" w:eastAsia="Arial" w:hAnsi="Arial"/>
          <w:sz w:val="16"/>
          <w:szCs w:val="16"/>
          <w:color w:val="auto"/>
        </w:rPr>
        <w:t>•LODGING COSTS: As required for attending scheduled meetings. Saturday night stay-over costs reimbursed if air-fare savings exceed the costs of lodging and me and incidentals. All expenses incurred with add-on/personal travel (travel either before or after board meetings that is scheduled at the sole discretion of the direc are the responsibility of the traveler.</w:t>
      </w:r>
    </w:p>
    <w:p>
      <w:pPr>
        <w:spacing w:after="0" w:line="2" w:lineRule="exact"/>
        <w:rPr>
          <w:sz w:val="20"/>
          <w:szCs w:val="20"/>
          <w:color w:val="auto"/>
        </w:rPr>
      </w:pPr>
    </w:p>
    <w:p>
      <w:pPr>
        <w:ind w:left="940" w:right="100" w:hanging="265"/>
        <w:spacing w:after="0" w:line="257" w:lineRule="auto"/>
        <w:rPr>
          <w:sz w:val="20"/>
          <w:szCs w:val="20"/>
          <w:color w:val="auto"/>
        </w:rPr>
      </w:pPr>
      <w:r>
        <w:rPr>
          <w:rFonts w:ascii="Arial" w:cs="Arial" w:eastAsia="Arial" w:hAnsi="Arial"/>
          <w:sz w:val="16"/>
          <w:szCs w:val="16"/>
          <w:color w:val="auto"/>
        </w:rPr>
        <w:t>•SPOUSE/SIGNIFICANT OTHER TRAVEL: At the discretion and sole expense of the director. Ground transportation and meal costs for those functions that are designated as social functions will be reimbursable by Parsons.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2"/>
          <w:szCs w:val="12"/>
          <w:color w:val="auto"/>
        </w:rPr>
        <w:t>US-DOCS\114988828.1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7171055" cy="139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360"/>
          </w:cols>
          <w:pgMar w:left="300" w:top="868" w:right="239" w:bottom="1440" w:gutter="0" w:footer="0" w:header="0"/>
          <w:type w:val="continuous"/>
        </w:sectPr>
      </w:pPr>
    </w:p>
    <w:bookmarkStart w:id="176" w:name="page177"/>
    <w:bookmarkEnd w:id="176"/>
    <w:p>
      <w:pPr>
        <w:ind w:left="420"/>
        <w:spacing w:after="0"/>
        <w:rPr>
          <w:sz w:val="20"/>
          <w:szCs w:val="20"/>
          <w:color w:val="auto"/>
        </w:rPr>
      </w:pPr>
      <w:r>
        <w:rPr>
          <w:rFonts w:ascii="Arial" w:cs="Arial" w:eastAsia="Arial" w:hAnsi="Arial"/>
          <w:sz w:val="16"/>
          <w:szCs w:val="16"/>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-111125</wp:posOffset>
            </wp:positionV>
            <wp:extent cx="6954520" cy="29978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6954520" cy="2997835"/>
                    </a:xfrm>
                    <a:prstGeom prst="rect">
                      <a:avLst/>
                    </a:prstGeom>
                    <a:noFill/>
                  </pic:spPr>
                </pic:pic>
              </a:graphicData>
            </a:graphic>
          </wp:anchor>
        </w:drawing>
      </w:r>
    </w:p>
    <w:p>
      <w:pPr>
        <w:spacing w:after="0" w:line="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Directors will be subject to the Company’s stock ownership requirements.</w:t>
      </w:r>
    </w:p>
    <w:p>
      <w:pPr>
        <w:spacing w:after="0" w:line="168" w:lineRule="exact"/>
        <w:rPr>
          <w:sz w:val="20"/>
          <w:szCs w:val="20"/>
          <w:color w:val="auto"/>
        </w:rPr>
      </w:pPr>
    </w:p>
    <w:p>
      <w:pPr>
        <w:ind w:left="420"/>
        <w:spacing w:after="0" w:line="255" w:lineRule="auto"/>
        <w:rPr>
          <w:sz w:val="20"/>
          <w:szCs w:val="20"/>
          <w:color w:val="auto"/>
        </w:rPr>
      </w:pPr>
      <w:r>
        <w:rPr>
          <w:rFonts w:ascii="Arial" w:cs="Arial" w:eastAsia="Arial" w:hAnsi="Arial"/>
          <w:sz w:val="16"/>
          <w:szCs w:val="16"/>
          <w:color w:val="auto"/>
        </w:rPr>
        <w:t>The director stock ownership requirement is 5X the annual retainer. Directors are expected to achieve the guideline ownership levels within 5 years of appointment to th Board of Directors. After achievement, directors must continue to hold enough shares to maintain such level while covered by the guidelines. Failure to meet or show progress toward meeting the guidelines may result in (at the Committee’s discretion): restrictions on sales of stock acquired upon vesting of Company equity awards, un such guidelines are met.</w:t>
      </w:r>
    </w:p>
    <w:p>
      <w:pPr>
        <w:spacing w:after="0" w:line="149" w:lineRule="exact"/>
        <w:rPr>
          <w:sz w:val="20"/>
          <w:szCs w:val="20"/>
          <w:color w:val="auto"/>
        </w:rPr>
      </w:pPr>
    </w:p>
    <w:p>
      <w:pPr>
        <w:ind w:left="420" w:right="80"/>
        <w:spacing w:after="0" w:line="275" w:lineRule="auto"/>
        <w:rPr>
          <w:sz w:val="20"/>
          <w:szCs w:val="20"/>
          <w:color w:val="auto"/>
        </w:rPr>
      </w:pPr>
      <w:r>
        <w:rPr>
          <w:rFonts w:ascii="Arial" w:cs="Arial" w:eastAsia="Arial" w:hAnsi="Arial"/>
          <w:sz w:val="16"/>
          <w:szCs w:val="16"/>
          <w:color w:val="auto"/>
        </w:rPr>
        <w:t>Ownership is defined as common stock directly owned by the director or immediate family member, common stock owned indirectly if the individual has an economic interest in the shares (beneficial ownership as defined in Rule 13d-3 and reported in the proxy), unvested restricted stock or RSUs.</w:t>
      </w:r>
    </w:p>
    <w:p>
      <w:pPr>
        <w:spacing w:after="0" w:line="132" w:lineRule="exact"/>
        <w:rPr>
          <w:sz w:val="20"/>
          <w:szCs w:val="20"/>
          <w:color w:val="auto"/>
        </w:rPr>
      </w:pPr>
    </w:p>
    <w:p>
      <w:pPr>
        <w:jc w:val="both"/>
        <w:ind w:left="420"/>
        <w:spacing w:after="0" w:line="270" w:lineRule="auto"/>
        <w:rPr>
          <w:sz w:val="20"/>
          <w:szCs w:val="20"/>
          <w:color w:val="auto"/>
        </w:rPr>
      </w:pPr>
      <w:r>
        <w:rPr>
          <w:rFonts w:ascii="Arial" w:cs="Arial" w:eastAsia="Arial" w:hAnsi="Arial"/>
          <w:sz w:val="15"/>
          <w:szCs w:val="15"/>
          <w:color w:val="auto"/>
        </w:rPr>
        <w:t xml:space="preserve">Value of ownership will be measured by reference to the 60 trading day weighted average of the Parsons common stock, up to and including last day of the calendar yea compliance will be evaluated annually. In the event of a significant decline in stock price, causing the directors holdings to fall below guideline levels, Directors will </w:t>
      </w:r>
      <w:r>
        <w:rPr>
          <w:rFonts w:ascii="Arial" w:cs="Arial" w:eastAsia="Arial" w:hAnsi="Arial"/>
          <w:sz w:val="15"/>
          <w:szCs w:val="15"/>
          <w:i w:val="1"/>
          <w:iCs w:val="1"/>
          <w:u w:val="single" w:color="auto"/>
          <w:color w:val="auto"/>
        </w:rPr>
        <w:t>no</w:t>
      </w:r>
      <w:r>
        <w:rPr>
          <w:rFonts w:ascii="Arial" w:cs="Arial" w:eastAsia="Arial" w:hAnsi="Arial"/>
          <w:sz w:val="15"/>
          <w:szCs w:val="15"/>
          <w:color w:val="auto"/>
        </w:rPr>
        <w:t xml:space="preserve"> required to purchase additional stock. Determination of the impact of share price fluctuation is subject to Committee discretion.</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Compensation Limits</w:t>
      </w:r>
    </w:p>
    <w:p>
      <w:pPr>
        <w:spacing w:after="0" w:line="11" w:lineRule="exact"/>
        <w:rPr>
          <w:sz w:val="20"/>
          <w:szCs w:val="20"/>
          <w:color w:val="auto"/>
        </w:rPr>
      </w:pPr>
    </w:p>
    <w:p>
      <w:pPr>
        <w:jc w:val="both"/>
        <w:ind w:left="420"/>
        <w:spacing w:after="0" w:line="248" w:lineRule="auto"/>
        <w:rPr>
          <w:sz w:val="20"/>
          <w:szCs w:val="20"/>
          <w:color w:val="auto"/>
        </w:rPr>
      </w:pPr>
      <w:r>
        <w:rPr>
          <w:rFonts w:ascii="Arial" w:cs="Arial" w:eastAsia="Arial" w:hAnsi="Arial"/>
          <w:sz w:val="16"/>
          <w:szCs w:val="16"/>
          <w:color w:val="auto"/>
        </w:rPr>
        <w:t>Notwithstanding anything to the contrary in this Policy, all compensation payable under this Policy will be subject to any limits on the maximum amount of non-employ director compensation set forth in the 2019 Plan, as in effect from time to time.</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General</w:t>
      </w:r>
    </w:p>
    <w:p>
      <w:pPr>
        <w:spacing w:after="0" w:line="11" w:lineRule="exact"/>
        <w:rPr>
          <w:sz w:val="20"/>
          <w:szCs w:val="20"/>
          <w:color w:val="auto"/>
        </w:rPr>
      </w:pPr>
    </w:p>
    <w:p>
      <w:pPr>
        <w:jc w:val="both"/>
        <w:ind w:left="420"/>
        <w:spacing w:after="0" w:line="271" w:lineRule="auto"/>
        <w:rPr>
          <w:sz w:val="20"/>
          <w:szCs w:val="20"/>
          <w:color w:val="auto"/>
        </w:rPr>
      </w:pPr>
      <w:r>
        <w:rPr>
          <w:rFonts w:ascii="Arial" w:cs="Arial" w:eastAsia="Arial" w:hAnsi="Arial"/>
          <w:sz w:val="15"/>
          <w:szCs w:val="15"/>
          <w:color w:val="auto"/>
        </w:rPr>
        <w:t>The cash and long-term incentive compensation described in this Policy shall be paid or be made, as applicable, automatically and without further action of the Board, to member of the Board who is not an employee of Parsons or any parent or subsidiary of Parsons who is entitled to receive such cash or long-term incentive compensation unless such non-employee director declines the receipt of such cash or equity compensation by written notice to Parsons. This Policy shall remain in effect until it is rev or rescinded by further action of the Board. This Policy may be amended, modified or terminated by the Board at any time in its sole discretion.</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avoidance of doubt, the share numbers in this Policy shall be subject to adjustment as provided in the 2019 Plan Date.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auto"/>
        </w:rPr>
        <w:t>US-DOCS\114988828.1</w:t>
      </w:r>
    </w:p>
    <w:p>
      <w:pPr>
        <w:sectPr>
          <w:pgSz w:w="11900" w:h="16838" w:orient="portrait"/>
          <w:cols w:equalWidth="0" w:num="1">
            <w:col w:w="11360"/>
          </w:cols>
          <w:pgMar w:left="300" w:top="86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PARSONS CORPORATION</w:t>
      </w:r>
    </w:p>
    <w:p>
      <w:pPr>
        <w:spacing w:after="0" w:line="19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SUPPLEMENTAL EXECUTIVE RETIREMENT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As Established</w:t>
      </w:r>
    </w:p>
    <w:p>
      <w:pPr>
        <w:spacing w:after="0" w:line="18"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Effective January 1,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404495</wp:posOffset>
            </wp:positionV>
            <wp:extent cx="7171055" cy="1397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140"/>
          </w:cols>
          <w:pgMar w:left="1440" w:top="130" w:right="319" w:bottom="1440" w:gutter="0" w:footer="0" w:header="0"/>
        </w:sectPr>
      </w:pPr>
    </w:p>
    <w:bookmarkStart w:id="178" w:name="page179"/>
    <w:bookmarkEnd w:id="178"/>
    <w:p>
      <w:pPr>
        <w:jc w:val="center"/>
        <w:ind w:right="-79"/>
        <w:spacing w:after="0"/>
        <w:rPr>
          <w:sz w:val="20"/>
          <w:szCs w:val="20"/>
          <w:color w:val="auto"/>
        </w:rPr>
      </w:pPr>
      <w:r>
        <w:rPr>
          <w:rFonts w:ascii="Arial" w:cs="Arial" w:eastAsia="Arial" w:hAnsi="Arial"/>
          <w:sz w:val="16"/>
          <w:szCs w:val="16"/>
          <w:color w:val="auto"/>
        </w:rPr>
        <w:t>PARSONS CORPORATION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SUPPLEMENTAL EXECUTIVE RETIREMENT PLAN</w:t>
      </w:r>
    </w:p>
    <w:p>
      <w:pPr>
        <w:spacing w:after="0" w:line="367" w:lineRule="exact"/>
        <w:rPr>
          <w:sz w:val="20"/>
          <w:szCs w:val="20"/>
          <w:color w:val="auto"/>
        </w:rPr>
      </w:pPr>
    </w:p>
    <w:p>
      <w:pPr>
        <w:ind w:right="460" w:firstLine="591"/>
        <w:spacing w:after="0" w:line="349" w:lineRule="auto"/>
        <w:rPr>
          <w:sz w:val="20"/>
          <w:szCs w:val="20"/>
          <w:color w:val="auto"/>
        </w:rPr>
      </w:pPr>
      <w:r>
        <w:rPr>
          <w:rFonts w:ascii="Arial" w:cs="Arial" w:eastAsia="Arial" w:hAnsi="Arial"/>
          <w:sz w:val="14"/>
          <w:szCs w:val="14"/>
          <w:color w:val="auto"/>
        </w:rPr>
        <w:t>Parsons Corporation, a Delaware corporation with its principal place of business in California, (the “Employer”) hereby establishes the Parsons Corporation Supplemental Executive Retirement Plan (SERP) for the benefit of the eligible employees of the Employer on the terms and conditions described hereinafter:</w:t>
      </w:r>
    </w:p>
    <w:p>
      <w:pPr>
        <w:spacing w:after="0" w:line="97"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ARTICLE 1</w:t>
      </w:r>
    </w:p>
    <w:p>
      <w:pPr>
        <w:spacing w:after="0" w:line="18" w:lineRule="exact"/>
        <w:rPr>
          <w:sz w:val="20"/>
          <w:szCs w:val="20"/>
          <w:color w:val="auto"/>
        </w:rPr>
      </w:pPr>
    </w:p>
    <w:p>
      <w:pPr>
        <w:ind w:left="5300"/>
        <w:spacing w:after="0"/>
        <w:rPr>
          <w:sz w:val="20"/>
          <w:szCs w:val="20"/>
          <w:color w:val="auto"/>
        </w:rPr>
      </w:pPr>
      <w:r>
        <w:rPr>
          <w:rFonts w:ascii="Arial" w:cs="Arial" w:eastAsia="Arial" w:hAnsi="Arial"/>
          <w:sz w:val="16"/>
          <w:szCs w:val="16"/>
          <w:u w:val="single" w:color="auto"/>
          <w:color w:val="auto"/>
        </w:rPr>
        <w:t>PREFACE</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 Date</w:t>
      </w:r>
      <w:r>
        <w:rPr>
          <w:rFonts w:ascii="Arial" w:cs="Arial" w:eastAsia="Arial" w:hAnsi="Arial"/>
          <w:sz w:val="16"/>
          <w:szCs w:val="16"/>
          <w:color w:val="auto"/>
        </w:rPr>
        <w:t>. The effective date of the Plan is January 1, 1997.</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Purpose of the Plan</w:t>
      </w:r>
      <w:r>
        <w:rPr>
          <w:rFonts w:ascii="Arial" w:cs="Arial" w:eastAsia="Arial" w:hAnsi="Arial"/>
          <w:sz w:val="16"/>
          <w:szCs w:val="16"/>
          <w:color w:val="auto"/>
        </w:rPr>
        <w:t>. The Plan is intended to benefit a select group of management or highly compensated employees of the Employer.</w:t>
      </w:r>
    </w:p>
    <w:p>
      <w:pPr>
        <w:spacing w:after="0" w:line="193" w:lineRule="exact"/>
        <w:rPr>
          <w:sz w:val="20"/>
          <w:szCs w:val="20"/>
          <w:color w:val="auto"/>
        </w:rPr>
      </w:pPr>
    </w:p>
    <w:p>
      <w:pPr>
        <w:ind w:firstLine="591"/>
        <w:spacing w:after="0" w:line="275" w:lineRule="auto"/>
        <w:rPr>
          <w:sz w:val="20"/>
          <w:szCs w:val="20"/>
          <w:color w:val="auto"/>
        </w:rPr>
      </w:pP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u w:val="single" w:color="auto"/>
          <w:color w:val="auto"/>
        </w:rPr>
        <w:t>Governing Law</w:t>
      </w:r>
      <w:r>
        <w:rPr>
          <w:rFonts w:ascii="Arial" w:cs="Arial" w:eastAsia="Arial" w:hAnsi="Arial"/>
          <w:sz w:val="16"/>
          <w:szCs w:val="16"/>
          <w:color w:val="auto"/>
        </w:rPr>
        <w:t>. This Plan shall be regulated, construed and administered under the laws of the State of California to the extent that such laws are not preempted by the laws of the United States of America.</w:t>
      </w:r>
    </w:p>
    <w:p>
      <w:pPr>
        <w:spacing w:after="0" w:line="144" w:lineRule="exact"/>
        <w:rPr>
          <w:sz w:val="20"/>
          <w:szCs w:val="20"/>
          <w:color w:val="auto"/>
        </w:rPr>
      </w:pPr>
    </w:p>
    <w:p>
      <w:pPr>
        <w:ind w:right="100" w:firstLine="591"/>
        <w:spacing w:after="0" w:line="275" w:lineRule="auto"/>
        <w:rPr>
          <w:sz w:val="20"/>
          <w:szCs w:val="20"/>
          <w:color w:val="auto"/>
        </w:rPr>
      </w:pP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Gender and Number</w:t>
      </w:r>
      <w:r>
        <w:rPr>
          <w:rFonts w:ascii="Arial" w:cs="Arial" w:eastAsia="Arial" w:hAnsi="Arial"/>
          <w:sz w:val="16"/>
          <w:szCs w:val="16"/>
          <w:color w:val="auto"/>
        </w:rPr>
        <w:t>. The masculine gender shall be deemed to include the feminine, the feminine gender shall be deemed to include the masculine, and the singular shall include the plural unless otherwise clearly required by the context.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ARTICLE 2</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6"/>
          <w:szCs w:val="16"/>
          <w:u w:val="single" w:color="auto"/>
          <w:color w:val="auto"/>
        </w:rPr>
        <w:t>DEFINITIONS</w:t>
      </w:r>
    </w:p>
    <w:p>
      <w:pPr>
        <w:spacing w:after="0" w:line="179" w:lineRule="exact"/>
        <w:rPr>
          <w:sz w:val="20"/>
          <w:szCs w:val="20"/>
          <w:color w:val="auto"/>
        </w:rPr>
      </w:pPr>
    </w:p>
    <w:p>
      <w:pPr>
        <w:ind w:right="20" w:firstLine="591"/>
        <w:spacing w:after="0" w:line="275" w:lineRule="auto"/>
        <w:rPr>
          <w:sz w:val="20"/>
          <w:szCs w:val="20"/>
          <w:color w:val="auto"/>
        </w:rPr>
      </w:pPr>
      <w:r>
        <w:rPr>
          <w:rFonts w:ascii="Arial" w:cs="Arial" w:eastAsia="Arial" w:hAnsi="Arial"/>
          <w:sz w:val="16"/>
          <w:szCs w:val="16"/>
          <w:color w:val="auto"/>
        </w:rPr>
        <w:t>Except as otherwise provided in the Plan, the definitions in The Parsons Corporation Employee Stock Ownership Plan, which are expressly incorporated herein by reference, shall have the same meanings wherever used in the Plan, unless the context clearly indicates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7171055" cy="13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00"/>
          </w:cols>
          <w:pgMar w:left="300" w:top="868" w:right="399" w:bottom="1440" w:gutter="0" w:footer="0" w:header="0"/>
        </w:sectPr>
      </w:pPr>
    </w:p>
    <w:bookmarkStart w:id="179" w:name="page180"/>
    <w:bookmarkEnd w:id="179"/>
    <w:p>
      <w:pPr>
        <w:ind w:right="40" w:firstLine="591"/>
        <w:spacing w:after="0" w:line="275" w:lineRule="auto"/>
        <w:rPr>
          <w:sz w:val="20"/>
          <w:szCs w:val="20"/>
          <w:color w:val="auto"/>
        </w:rPr>
      </w:pP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Account</w:t>
      </w:r>
      <w:r>
        <w:rPr>
          <w:rFonts w:ascii="Arial" w:cs="Arial" w:eastAsia="Arial" w:hAnsi="Arial"/>
          <w:sz w:val="16"/>
          <w:szCs w:val="16"/>
          <w:color w:val="auto"/>
        </w:rPr>
        <w:t xml:space="preserve"> shall mean the balance posted to the record of each Participant consisting of the Employer contributions made pursuant to Section 3.1 less any payment therefrom, as adjusted as set forth in Section 3.2.</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shall mean the Board of Directors of Parsons Corporation.</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Code</w:t>
      </w:r>
      <w:r>
        <w:rPr>
          <w:rFonts w:ascii="Arial" w:cs="Arial" w:eastAsia="Arial" w:hAnsi="Arial"/>
          <w:sz w:val="16"/>
          <w:szCs w:val="16"/>
          <w:color w:val="auto"/>
        </w:rPr>
        <w:t xml:space="preserve"> shall mean the Internal Revenue Code of 1986, as amended, and any rulings or regulations thereunder.</w:t>
      </w:r>
    </w:p>
    <w:p>
      <w:pPr>
        <w:spacing w:after="0" w:line="193" w:lineRule="exact"/>
        <w:rPr>
          <w:sz w:val="20"/>
          <w:szCs w:val="20"/>
          <w:color w:val="auto"/>
        </w:rPr>
      </w:pPr>
    </w:p>
    <w:p>
      <w:pPr>
        <w:ind w:right="240" w:firstLine="591"/>
        <w:spacing w:after="0" w:line="260" w:lineRule="auto"/>
        <w:rPr>
          <w:sz w:val="20"/>
          <w:szCs w:val="20"/>
          <w:color w:val="auto"/>
        </w:rPr>
      </w:pP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xml:space="preserve"> shall mean the Policy Committee and may consist of the CEO; the Senior Vice President and Chief Financial Officer; the Senior Vice President, General Counsel and Secretary; and the Vice President of Human Resources. Committee members shall be appointed and removed at the sole discretion of the Chief Executive Officer.</w:t>
      </w:r>
    </w:p>
    <w:p>
      <w:pPr>
        <w:spacing w:after="0" w:line="156" w:lineRule="exact"/>
        <w:rPr>
          <w:sz w:val="20"/>
          <w:szCs w:val="20"/>
          <w:color w:val="auto"/>
        </w:rPr>
      </w:pPr>
    </w:p>
    <w:p>
      <w:pPr>
        <w:ind w:firstLine="591"/>
        <w:spacing w:after="0" w:line="267" w:lineRule="auto"/>
        <w:rPr>
          <w:sz w:val="20"/>
          <w:szCs w:val="20"/>
          <w:color w:val="auto"/>
        </w:rPr>
      </w:pP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w:t>
      </w:r>
      <w:r>
        <w:rPr>
          <w:rFonts w:ascii="Arial" w:cs="Arial" w:eastAsia="Arial" w:hAnsi="Arial"/>
          <w:sz w:val="15"/>
          <w:szCs w:val="15"/>
          <w:u w:val="single" w:color="auto"/>
          <w:color w:val="auto"/>
        </w:rPr>
        <w:t>Beneficiary</w:t>
      </w:r>
      <w:r>
        <w:rPr>
          <w:rFonts w:ascii="Arial" w:cs="Arial" w:eastAsia="Arial" w:hAnsi="Arial"/>
          <w:sz w:val="15"/>
          <w:szCs w:val="15"/>
          <w:color w:val="auto"/>
        </w:rPr>
        <w:t xml:space="preserve"> shall mean the person or estate of a deceased Participant, entitled to benefits hereunder upon the death of a Participant. At any time and from time to time, each Participant shall have the right to designate the Beneficiary or Beneficiaries to receive a portion of his death benefit or to revoke such designation; provided, that a Participant’s designation of a Beneficiary other than his spouse shall not be valid unless such spouse has consented to the designation in a form and manner satisfactory to the Committee and in compliance with the requirements of Code Section 417. Each Beneficiary designation shall be evidenced by a written instrument signed by the Participant and filed with the Committee. If a deceased Participant failed to designate a Beneficiary, the Committee is unable to locate the designated Beneficiary after making reasonable efforts, or the Beneficiary is deceased, distribution shall be made by payment of the deceased Participant’s entire Account to his personal representative in a lump sum within one year after his death. If the deceased Participant is not a resident of California at the date of his death, the Committee in its discretion may require the establishment of ancillary administration in California. If the Committee cannot locate a qualified personal representative of the deceased Participant, or if administration of his estate is not otherwise required, the Committee in its discretion may pay the deceased Participant’s Account to his heirs at law (determined in accordance with the laws of the State of California as they existed at the date of the Participant’s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437515</wp:posOffset>
            </wp:positionV>
            <wp:extent cx="7171055" cy="1397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868" w:right="319" w:bottom="1440" w:gutter="0" w:footer="0" w:header="0"/>
        </w:sectPr>
      </w:pPr>
    </w:p>
    <w:bookmarkStart w:id="180" w:name="page181"/>
    <w:bookmarkEnd w:id="180"/>
    <w:p>
      <w:pPr>
        <w:ind w:firstLine="591"/>
        <w:spacing w:after="0" w:line="275" w:lineRule="auto"/>
        <w:rPr>
          <w:sz w:val="20"/>
          <w:szCs w:val="20"/>
          <w:color w:val="auto"/>
        </w:rPr>
      </w:pP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w:t>
      </w:r>
      <w:r>
        <w:rPr>
          <w:rFonts w:ascii="Arial" w:cs="Arial" w:eastAsia="Arial" w:hAnsi="Arial"/>
          <w:sz w:val="16"/>
          <w:szCs w:val="16"/>
          <w:u w:val="single" w:color="auto"/>
          <w:color w:val="auto"/>
        </w:rPr>
        <w:t>Eligible Compensation</w:t>
      </w:r>
      <w:r>
        <w:rPr>
          <w:rFonts w:ascii="Arial" w:cs="Arial" w:eastAsia="Arial" w:hAnsi="Arial"/>
          <w:sz w:val="16"/>
          <w:szCs w:val="16"/>
          <w:color w:val="auto"/>
        </w:rPr>
        <w:t xml:space="preserve"> shall mean, with respect to any Participant for any Plan Year, his Compensation, as defined in the ESOP, that is in excess of the compensation limit under Code Section 401(a)(17) for such Plan Year.</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w:t>
      </w:r>
      <w:r>
        <w:rPr>
          <w:rFonts w:ascii="Arial" w:cs="Arial" w:eastAsia="Arial" w:hAnsi="Arial"/>
          <w:sz w:val="16"/>
          <w:szCs w:val="16"/>
          <w:u w:val="single" w:color="auto"/>
          <w:color w:val="auto"/>
        </w:rPr>
        <w:t>Employer</w:t>
      </w:r>
      <w:r>
        <w:rPr>
          <w:rFonts w:ascii="Arial" w:cs="Arial" w:eastAsia="Arial" w:hAnsi="Arial"/>
          <w:sz w:val="16"/>
          <w:szCs w:val="16"/>
          <w:color w:val="auto"/>
        </w:rPr>
        <w:t xml:space="preserve"> shall mean Parsons Corporation and any affiliate approved by the Board of Directors of Parsons Corporation.</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ESOP</w:t>
      </w:r>
      <w:r>
        <w:rPr>
          <w:rFonts w:ascii="Arial" w:cs="Arial" w:eastAsia="Arial" w:hAnsi="Arial"/>
          <w:sz w:val="16"/>
          <w:szCs w:val="16"/>
          <w:color w:val="auto"/>
        </w:rPr>
        <w:t xml:space="preserve"> shall mean The Parsons Corporation Employee Stock Ownership Plan.</w:t>
      </w:r>
    </w:p>
    <w:p>
      <w:pPr>
        <w:spacing w:after="0" w:line="193" w:lineRule="exact"/>
        <w:rPr>
          <w:sz w:val="20"/>
          <w:szCs w:val="20"/>
          <w:color w:val="auto"/>
        </w:rPr>
      </w:pPr>
    </w:p>
    <w:p>
      <w:pPr>
        <w:ind w:firstLine="591"/>
        <w:spacing w:after="0" w:line="260" w:lineRule="auto"/>
        <w:rPr>
          <w:sz w:val="20"/>
          <w:szCs w:val="20"/>
          <w:color w:val="auto"/>
        </w:rPr>
      </w:pP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shall mean each Senior Corporate Officer, President of a Global Business Unit or Regional Business Unit, and any other select management or highly compensated employee determined by the Committee to be eligible to participate in the Plan, as listed in Schedule A, which is attached to and made a part of the Plan. An individual shall continue to be a Participant until all of his benefits are distributed from the Plan.</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shall mean Parsons Corporation Supplemental Executive Retirement Plan as herein set out or as duly amended.</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Plan Year</w:t>
      </w:r>
      <w:r>
        <w:rPr>
          <w:rFonts w:ascii="Arial" w:cs="Arial" w:eastAsia="Arial" w:hAnsi="Arial"/>
          <w:sz w:val="16"/>
          <w:szCs w:val="16"/>
          <w:color w:val="auto"/>
        </w:rPr>
        <w:t xml:space="preserve"> shall mean the calendar year.</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Valuation Date</w:t>
      </w:r>
      <w:r>
        <w:rPr>
          <w:rFonts w:ascii="Arial" w:cs="Arial" w:eastAsia="Arial" w:hAnsi="Arial"/>
          <w:sz w:val="16"/>
          <w:szCs w:val="16"/>
          <w:color w:val="auto"/>
        </w:rPr>
        <w:t xml:space="preserve"> shall mean the last day of the Plan Year.</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5"/>
          <w:szCs w:val="15"/>
          <w:u w:val="single" w:color="auto"/>
          <w:color w:val="auto"/>
        </w:rPr>
        <w:t>Section 2.13</w:t>
      </w:r>
      <w:r>
        <w:rPr>
          <w:rFonts w:ascii="Arial" w:cs="Arial" w:eastAsia="Arial" w:hAnsi="Arial"/>
          <w:sz w:val="15"/>
          <w:szCs w:val="15"/>
          <w:color w:val="auto"/>
        </w:rPr>
        <w:t xml:space="preserve">. </w:t>
      </w:r>
      <w:r>
        <w:rPr>
          <w:rFonts w:ascii="Arial" w:cs="Arial" w:eastAsia="Arial" w:hAnsi="Arial"/>
          <w:sz w:val="15"/>
          <w:szCs w:val="15"/>
          <w:u w:val="single" w:color="auto"/>
          <w:color w:val="auto"/>
        </w:rPr>
        <w:t>Year of Service</w:t>
      </w:r>
      <w:r>
        <w:rPr>
          <w:rFonts w:ascii="Arial" w:cs="Arial" w:eastAsia="Arial" w:hAnsi="Arial"/>
          <w:sz w:val="15"/>
          <w:szCs w:val="15"/>
          <w:color w:val="auto"/>
        </w:rPr>
        <w:t xml:space="preserve"> shall mean each Year of Cumulative Service, as defined in the ESOP, including such years before the effective date of the Plan.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3</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EMPLOYER CONTRIBUTIONS</w:t>
      </w:r>
    </w:p>
    <w:p>
      <w:pPr>
        <w:spacing w:after="0" w:line="179" w:lineRule="exact"/>
        <w:rPr>
          <w:sz w:val="20"/>
          <w:szCs w:val="20"/>
          <w:color w:val="auto"/>
        </w:rPr>
      </w:pPr>
    </w:p>
    <w:p>
      <w:pPr>
        <w:ind w:right="20" w:firstLine="591"/>
        <w:spacing w:after="0" w:line="275" w:lineRule="auto"/>
        <w:rPr>
          <w:sz w:val="20"/>
          <w:szCs w:val="20"/>
          <w:color w:val="auto"/>
        </w:rPr>
      </w:pP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Employer Contributions</w:t>
      </w:r>
      <w:r>
        <w:rPr>
          <w:rFonts w:ascii="Arial" w:cs="Arial" w:eastAsia="Arial" w:hAnsi="Arial"/>
          <w:sz w:val="16"/>
          <w:szCs w:val="16"/>
          <w:color w:val="auto"/>
        </w:rPr>
        <w:t>. The Employer shall credit fifteen percent (15%) of Eligible Compensation to the Account of each Participant whether or not he is actively at work on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7171055" cy="1397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40"/>
          </w:cols>
          <w:pgMar w:left="300" w:top="867" w:right="359" w:bottom="1440" w:gutter="0" w:footer="0" w:header="0"/>
        </w:sectPr>
      </w:pPr>
    </w:p>
    <w:bookmarkStart w:id="181" w:name="page182"/>
    <w:bookmarkEnd w:id="181"/>
    <w:p>
      <w:pPr>
        <w:ind w:left="600"/>
        <w:spacing w:after="0"/>
        <w:rPr>
          <w:sz w:val="20"/>
          <w:szCs w:val="20"/>
          <w:color w:val="auto"/>
        </w:rPr>
      </w:pP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Adjustments</w:t>
      </w:r>
      <w:r>
        <w:rPr>
          <w:rFonts w:ascii="Arial" w:cs="Arial" w:eastAsia="Arial" w:hAnsi="Arial"/>
          <w:sz w:val="16"/>
          <w:szCs w:val="16"/>
          <w:color w:val="auto"/>
        </w:rPr>
        <w:t>. Each Participant's Account shall be adjusted in the following manner and order as of each Valuation Date:</w:t>
      </w:r>
    </w:p>
    <w:p>
      <w:pPr>
        <w:spacing w:after="0" w:line="193" w:lineRule="exact"/>
        <w:rPr>
          <w:sz w:val="20"/>
          <w:szCs w:val="20"/>
          <w:color w:val="auto"/>
        </w:rPr>
      </w:pPr>
    </w:p>
    <w:p>
      <w:pPr>
        <w:ind w:left="1720" w:hanging="1124"/>
        <w:spacing w:after="0"/>
        <w:tabs>
          <w:tab w:leader="none" w:pos="17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The total amount of payments made from the Account since the preceding Valuation Date shall be subtracted.</w:t>
      </w:r>
    </w:p>
    <w:p>
      <w:pPr>
        <w:spacing w:after="0" w:line="192" w:lineRule="exact"/>
        <w:rPr>
          <w:rFonts w:ascii="Arial" w:cs="Arial" w:eastAsia="Arial" w:hAnsi="Arial"/>
          <w:sz w:val="16"/>
          <w:szCs w:val="16"/>
          <w:color w:val="auto"/>
        </w:rPr>
      </w:pPr>
    </w:p>
    <w:p>
      <w:pPr>
        <w:ind w:left="1720" w:right="60" w:hanging="1124"/>
        <w:spacing w:after="0" w:line="253" w:lineRule="auto"/>
        <w:tabs>
          <w:tab w:leader="none" w:pos="17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Net Gain or Loss</w:t>
      </w:r>
      <w:r>
        <w:rPr>
          <w:rFonts w:ascii="Arial" w:cs="Arial" w:eastAsia="Arial" w:hAnsi="Arial"/>
          <w:sz w:val="16"/>
          <w:szCs w:val="16"/>
          <w:color w:val="auto"/>
        </w:rPr>
        <w:t>. Each Account will be increased or decreased by a percentage determined so as to reflect the change in the value of Parsons Company voting common stock since the preceding Valuation Date. The value of such stock shall be the value established by an independent appraiser retained by the Policy Committee as of such Valuation Date for purposes of the ESOP. Solely, with respect to Accounts in payment status under an installment option, each Account shall be credited with interest equal to the Bank of America prime rate in effect on the Valuation Date.</w:t>
      </w:r>
    </w:p>
    <w:p>
      <w:pPr>
        <w:spacing w:after="0" w:line="160" w:lineRule="exact"/>
        <w:rPr>
          <w:rFonts w:ascii="Arial" w:cs="Arial" w:eastAsia="Arial" w:hAnsi="Arial"/>
          <w:sz w:val="16"/>
          <w:szCs w:val="16"/>
          <w:color w:val="auto"/>
        </w:rPr>
      </w:pPr>
    </w:p>
    <w:p>
      <w:pPr>
        <w:ind w:left="1720" w:hanging="1124"/>
        <w:spacing w:after="0"/>
        <w:tabs>
          <w:tab w:leader="none" w:pos="172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Employer Contributions</w:t>
      </w:r>
      <w:r>
        <w:rPr>
          <w:rFonts w:ascii="Arial" w:cs="Arial" w:eastAsia="Arial" w:hAnsi="Arial"/>
          <w:sz w:val="16"/>
          <w:szCs w:val="16"/>
          <w:color w:val="auto"/>
        </w:rPr>
        <w:t>. The Employer contributions made for the Participant since the preceding Valuation Date shall be added.</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4</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VESTING AND DEATH BENEFITS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Vesting</w:t>
      </w:r>
      <w:r>
        <w:rPr>
          <w:rFonts w:ascii="Arial" w:cs="Arial" w:eastAsia="Arial" w:hAnsi="Arial"/>
          <w:sz w:val="16"/>
          <w:szCs w:val="16"/>
          <w:color w:val="auto"/>
        </w:rPr>
        <w:t>. Each Participant shall be vested in his Account in accordance with the vesting schedule applicable to the ESOP.</w:t>
      </w:r>
    </w:p>
    <w:p>
      <w:pPr>
        <w:spacing w:after="0" w:line="193" w:lineRule="exact"/>
        <w:rPr>
          <w:sz w:val="20"/>
          <w:szCs w:val="20"/>
          <w:color w:val="auto"/>
        </w:rPr>
      </w:pPr>
    </w:p>
    <w:p>
      <w:pPr>
        <w:ind w:right="160" w:firstLine="591"/>
        <w:spacing w:after="0" w:line="260" w:lineRule="auto"/>
        <w:rPr>
          <w:sz w:val="20"/>
          <w:szCs w:val="20"/>
          <w:color w:val="auto"/>
        </w:rPr>
      </w:pP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Death Benefits</w:t>
      </w:r>
      <w:r>
        <w:rPr>
          <w:rFonts w:ascii="Arial" w:cs="Arial" w:eastAsia="Arial" w:hAnsi="Arial"/>
          <w:sz w:val="16"/>
          <w:szCs w:val="16"/>
          <w:color w:val="auto"/>
        </w:rPr>
        <w:t>. If a Participant dies before payment in full of his Account, his Beneficiary shall be entitled to receive the Participant’s Account in a lump sum payment. Such amount shall be distributed as soon as practicable after the Participant’s date of death. The value of the Account shall be determined as of the Valuation Date coinciding with or immediately preceding the date of distribution.</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5</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6"/>
          <w:szCs w:val="16"/>
          <w:u w:val="single" w:color="auto"/>
          <w:color w:val="auto"/>
        </w:rPr>
        <w:t>DISTRIBUTION OF BENEFITS</w:t>
      </w:r>
    </w:p>
    <w:p>
      <w:pPr>
        <w:spacing w:after="0" w:line="179" w:lineRule="exact"/>
        <w:rPr>
          <w:sz w:val="20"/>
          <w:szCs w:val="20"/>
          <w:color w:val="auto"/>
        </w:rPr>
      </w:pPr>
    </w:p>
    <w:p>
      <w:pPr>
        <w:jc w:val="both"/>
        <w:ind w:firstLine="591"/>
        <w:spacing w:after="0" w:line="260" w:lineRule="auto"/>
        <w:rPr>
          <w:sz w:val="20"/>
          <w:szCs w:val="20"/>
          <w:color w:val="auto"/>
        </w:rPr>
      </w:pP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Retirement or Termination of Employment</w:t>
      </w:r>
      <w:r>
        <w:rPr>
          <w:rFonts w:ascii="Arial" w:cs="Arial" w:eastAsia="Arial" w:hAnsi="Arial"/>
          <w:sz w:val="16"/>
          <w:szCs w:val="16"/>
          <w:color w:val="auto"/>
        </w:rPr>
        <w:t>. A Participant shall be eligible to retire under the Plan and receive his full Account at his Early Retirement Date or Normal Retirement Date, both as defined in the ESOP. If a Participant remains employed beyond eligibility for retirement, his Account shall not be payable, and his participation in the Plan shall continue until he actually retires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319405</wp:posOffset>
            </wp:positionV>
            <wp:extent cx="7171055" cy="1397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40"/>
          </w:cols>
          <w:pgMar w:left="300" w:top="868" w:right="359" w:bottom="1440" w:gutter="0" w:footer="0" w:header="0"/>
        </w:sectPr>
      </w:pPr>
    </w:p>
    <w:bookmarkStart w:id="182" w:name="page183"/>
    <w:bookmarkEnd w:id="182"/>
    <w:p>
      <w:pPr>
        <w:ind w:right="60"/>
        <w:spacing w:after="0" w:line="271" w:lineRule="auto"/>
        <w:rPr>
          <w:sz w:val="20"/>
          <w:szCs w:val="20"/>
          <w:color w:val="auto"/>
        </w:rPr>
      </w:pPr>
      <w:r>
        <w:rPr>
          <w:rFonts w:ascii="Arial" w:cs="Arial" w:eastAsia="Arial" w:hAnsi="Arial"/>
          <w:sz w:val="15"/>
          <w:szCs w:val="15"/>
          <w:color w:val="auto"/>
        </w:rPr>
        <w:t>from employment with the Employer. A Participant who terminates employment before eligibility for retirement shall be eligible to receive his vested Account at his Normal Retirement Date, or at his Early Retirement Date if he has completed seven Years of Service, and the nonvested amounts shall be forfeited. A Participant’s benefits shall be paid in a lump sum or in substantially equal annual installments for five or ten years, as elected by the Participant within 30 days of the date he first becomes a Participant. Such benefits shall be paid, or commence to be paid, as soon as practicable following the Participant’s eligibility for distribution. The value of a Participant’s Account shall be determined as of the Valuation Date coinciding with or immediately preceding the date distribution commences. With respect to Accounts in payment status under an installment option, each Account shall be credited with interest equal to the Bank of America prime rate in effect on the Valuation Date.</w:t>
      </w:r>
    </w:p>
    <w:p>
      <w:pPr>
        <w:spacing w:after="0" w:line="150" w:lineRule="exact"/>
        <w:rPr>
          <w:sz w:val="20"/>
          <w:szCs w:val="20"/>
          <w:color w:val="auto"/>
        </w:rPr>
      </w:pPr>
    </w:p>
    <w:p>
      <w:pPr>
        <w:ind w:firstLine="591"/>
        <w:spacing w:after="0" w:line="250" w:lineRule="auto"/>
        <w:rPr>
          <w:sz w:val="20"/>
          <w:szCs w:val="20"/>
          <w:color w:val="auto"/>
        </w:rPr>
      </w:pP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Disability Retirement</w:t>
      </w:r>
      <w:r>
        <w:rPr>
          <w:rFonts w:ascii="Arial" w:cs="Arial" w:eastAsia="Arial" w:hAnsi="Arial"/>
          <w:sz w:val="16"/>
          <w:szCs w:val="16"/>
          <w:color w:val="auto"/>
        </w:rPr>
        <w:t>. A Participant shall be eligible to retire and receive his full Account if he becomes permanently disabled while employed by the Employer. Disability benefits shall be paid in a lump sum or in substantially equal annual installments for a period of either five or ten years, as elected by the Participant within 30 days of the date he first becomes a Participant. Such benefits shall be paid, or commence to be paid, as soon as practicable following the Participant’s disability. The value of the Participant’s Account shall be determined as of the Valuation Date coinciding with or immediately preceding the date of distribution. With respect to Accounts in payment status under an installment option, each Account shall be credited with interest equal to the Bank of America prime rate in effect on the Valuation Date. The Committee in its sole discretion shall determine whether a Participant is permanently disabled. For this purpose, a permanent disability shall mean the Participant is prevented by bodily injury or disease or mental disease from engaging in any substantially similar occupation or employment with the Employer and that such condition will likely continue for the rest of his life.</w:t>
      </w:r>
    </w:p>
    <w:p>
      <w:pPr>
        <w:spacing w:after="0" w:line="162" w:lineRule="exact"/>
        <w:rPr>
          <w:sz w:val="20"/>
          <w:szCs w:val="20"/>
          <w:color w:val="auto"/>
        </w:rPr>
      </w:pPr>
    </w:p>
    <w:p>
      <w:pPr>
        <w:ind w:right="60" w:firstLine="591"/>
        <w:spacing w:after="0" w:line="274" w:lineRule="auto"/>
        <w:rPr>
          <w:sz w:val="20"/>
          <w:szCs w:val="20"/>
          <w:color w:val="auto"/>
        </w:rPr>
      </w:pPr>
      <w:r>
        <w:rPr>
          <w:rFonts w:ascii="Arial" w:cs="Arial" w:eastAsia="Arial" w:hAnsi="Arial"/>
          <w:sz w:val="15"/>
          <w:szCs w:val="15"/>
          <w:u w:val="single" w:color="auto"/>
          <w:color w:val="auto"/>
        </w:rPr>
        <w:t>Section 5.3</w:t>
      </w:r>
      <w:r>
        <w:rPr>
          <w:rFonts w:ascii="Arial" w:cs="Arial" w:eastAsia="Arial" w:hAnsi="Arial"/>
          <w:sz w:val="15"/>
          <w:szCs w:val="15"/>
          <w:color w:val="auto"/>
        </w:rPr>
        <w:t xml:space="preserve">. </w:t>
      </w:r>
      <w:r>
        <w:rPr>
          <w:rFonts w:ascii="Arial" w:cs="Arial" w:eastAsia="Arial" w:hAnsi="Arial"/>
          <w:sz w:val="15"/>
          <w:szCs w:val="15"/>
          <w:u w:val="single" w:color="auto"/>
          <w:color w:val="auto"/>
        </w:rPr>
        <w:t>Hardship Distribution</w:t>
      </w:r>
      <w:r>
        <w:rPr>
          <w:rFonts w:ascii="Arial" w:cs="Arial" w:eastAsia="Arial" w:hAnsi="Arial"/>
          <w:sz w:val="15"/>
          <w:szCs w:val="15"/>
          <w:color w:val="auto"/>
        </w:rPr>
        <w:t>. Notwithstanding the provisions of Section 5.1, upon application to and approval by the Committee, a Participant who terminates employment before eligibility for retirement may receive one or more distributions of his Account if he establishes to the Committee’s satisfaction that he has suffered a financial hardship. For this purpose, financial hardship shall mean a severe financial hardship to the Participant resulting from (a) sudden and unexpected illness or accident of the Participant or a dependent of the Participant (as defined in Code Section 152(a)), (b) loss of the Participant’s property due to casualty, or (c) other similar extraordinary and unforeseeable circumstances arising as a result of events beyond the Participant’s control. Distribution shall not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7171055" cy="1397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20"/>
          </w:cols>
          <w:pgMar w:left="300" w:top="868" w:right="379" w:bottom="1440" w:gutter="0" w:footer="0" w:header="0"/>
        </w:sectPr>
      </w:pPr>
    </w:p>
    <w:bookmarkStart w:id="183" w:name="page184"/>
    <w:bookmarkEnd w:id="183"/>
    <w:p>
      <w:pPr>
        <w:ind w:right="240"/>
        <w:spacing w:after="0" w:line="255" w:lineRule="auto"/>
        <w:rPr>
          <w:sz w:val="20"/>
          <w:szCs w:val="20"/>
          <w:color w:val="auto"/>
        </w:rPr>
      </w:pPr>
      <w:r>
        <w:rPr>
          <w:rFonts w:ascii="Arial" w:cs="Arial" w:eastAsia="Arial" w:hAnsi="Arial"/>
          <w:sz w:val="16"/>
          <w:szCs w:val="16"/>
          <w:color w:val="auto"/>
        </w:rPr>
        <w:t>made to the extent that hardship is or may be relieved through reimbursement or compensation by insurance or otherwise, by liquidation of the Participant’s assets, to the extent such liquidation itself would not cause severe financial hardship, or by a distribution available under the terms of the ESOP. Distribution due to financial hardship shall be made as soon as practicable after the date the Committee determines the existence of a hardship, and the amount distributed shall not exceed the amount of the financial need due to the hardship.</w:t>
      </w:r>
    </w:p>
    <w:p>
      <w:pPr>
        <w:spacing w:after="0" w:line="160" w:lineRule="exact"/>
        <w:rPr>
          <w:sz w:val="20"/>
          <w:szCs w:val="20"/>
          <w:color w:val="auto"/>
        </w:rPr>
      </w:pPr>
    </w:p>
    <w:p>
      <w:pPr>
        <w:ind w:right="140" w:firstLine="591"/>
        <w:spacing w:after="0" w:line="275" w:lineRule="auto"/>
        <w:rPr>
          <w:sz w:val="20"/>
          <w:szCs w:val="20"/>
          <w:color w:val="auto"/>
        </w:rPr>
      </w:pP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t>
      </w:r>
      <w:r>
        <w:rPr>
          <w:rFonts w:ascii="Arial" w:cs="Arial" w:eastAsia="Arial" w:hAnsi="Arial"/>
          <w:sz w:val="16"/>
          <w:szCs w:val="16"/>
          <w:u w:val="single" w:color="auto"/>
          <w:color w:val="auto"/>
        </w:rPr>
        <w:t>Withholding</w:t>
      </w:r>
      <w:r>
        <w:rPr>
          <w:rFonts w:ascii="Arial" w:cs="Arial" w:eastAsia="Arial" w:hAnsi="Arial"/>
          <w:sz w:val="16"/>
          <w:szCs w:val="16"/>
          <w:color w:val="auto"/>
        </w:rPr>
        <w:t>. All benefits paid under the Plan shall be subject to applicable income and other tax withholding. Benefits payable under the Plan may not be rolled over into an individual retirement account or annuity or a qualified retirement plan.</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6</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FUNDING AND RIGHTS OF PARTICIPANTS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w:t>
      </w:r>
      <w:r>
        <w:rPr>
          <w:rFonts w:ascii="Arial" w:cs="Arial" w:eastAsia="Arial" w:hAnsi="Arial"/>
          <w:sz w:val="15"/>
          <w:szCs w:val="15"/>
          <w:u w:val="single" w:color="auto"/>
          <w:color w:val="auto"/>
        </w:rPr>
        <w:t>Unfunded</w:t>
      </w:r>
      <w:r>
        <w:rPr>
          <w:rFonts w:ascii="Arial" w:cs="Arial" w:eastAsia="Arial" w:hAnsi="Arial"/>
          <w:sz w:val="15"/>
          <w:szCs w:val="15"/>
          <w:color w:val="auto"/>
        </w:rPr>
        <w:t>. The Plan is an unfunded, nonqualified plan. The benefits provided under the Plan shall be payable by the Employer from its general</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179" w:lineRule="exact"/>
        <w:rPr>
          <w:sz w:val="20"/>
          <w:szCs w:val="20"/>
          <w:color w:val="auto"/>
        </w:rPr>
      </w:pPr>
    </w:p>
    <w:p>
      <w:pPr>
        <w:ind w:firstLine="591"/>
        <w:spacing w:after="0" w:line="253" w:lineRule="auto"/>
        <w:rPr>
          <w:sz w:val="20"/>
          <w:szCs w:val="20"/>
          <w:color w:val="auto"/>
        </w:rPr>
      </w:pP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w:t>
      </w:r>
      <w:r>
        <w:rPr>
          <w:rFonts w:ascii="Arial" w:cs="Arial" w:eastAsia="Arial" w:hAnsi="Arial"/>
          <w:sz w:val="16"/>
          <w:szCs w:val="16"/>
          <w:u w:val="single" w:color="auto"/>
          <w:color w:val="auto"/>
        </w:rPr>
        <w:t>Limitation on Rights of Participants and Beneficiaries</w:t>
      </w:r>
      <w:r>
        <w:rPr>
          <w:rFonts w:ascii="Arial" w:cs="Arial" w:eastAsia="Arial" w:hAnsi="Arial"/>
          <w:sz w:val="16"/>
          <w:szCs w:val="16"/>
          <w:color w:val="auto"/>
        </w:rPr>
        <w:t>. No Participant or Beneficiary shall have any preferred claim on, or any beneficial ownership interest in, any asset of the Employer before the time that any such asset is paid to the Participant or Beneficiary as provided in Article 5. The right of a Participant or Beneficiary to receive a benefit hereunder shall be the claim of a general, unsecured creditor of the Employer, and the Plan constitutes a mere promise by the Employer to pay benefits in the future. Distribution in good faith of the Participant's vested Account shall be considered a full and complete discharge of the Employer's obligation under the Plan.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7</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MISCELLANEOUS</w:t>
      </w:r>
    </w:p>
    <w:p>
      <w:pPr>
        <w:spacing w:after="0" w:line="179" w:lineRule="exact"/>
        <w:rPr>
          <w:sz w:val="20"/>
          <w:szCs w:val="20"/>
          <w:color w:val="auto"/>
        </w:rPr>
      </w:pPr>
    </w:p>
    <w:p>
      <w:pPr>
        <w:ind w:right="500" w:firstLine="591"/>
        <w:spacing w:after="0" w:line="275" w:lineRule="auto"/>
        <w:rPr>
          <w:sz w:val="20"/>
          <w:szCs w:val="20"/>
          <w:color w:val="auto"/>
        </w:rPr>
      </w:pP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Liability of Employer</w:t>
      </w:r>
      <w:r>
        <w:rPr>
          <w:rFonts w:ascii="Arial" w:cs="Arial" w:eastAsia="Arial" w:hAnsi="Arial"/>
          <w:sz w:val="16"/>
          <w:szCs w:val="16"/>
          <w:color w:val="auto"/>
        </w:rPr>
        <w:t>. Nothing in the Plan shall constitute the creation of a trust or other fiduciary relationship between the Employer and any Participant, Beneficiary or other person. The Employer shall not be considered a trustee by reason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431165</wp:posOffset>
            </wp:positionV>
            <wp:extent cx="7171055" cy="139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40"/>
          </w:cols>
          <w:pgMar w:left="300" w:top="868" w:right="359" w:bottom="1440" w:gutter="0" w:footer="0" w:header="0"/>
        </w:sectPr>
      </w:pPr>
    </w:p>
    <w:bookmarkStart w:id="184" w:name="page185"/>
    <w:bookmarkEnd w:id="184"/>
    <w:p>
      <w:pPr>
        <w:ind w:right="480" w:firstLine="591"/>
        <w:spacing w:after="0" w:line="275" w:lineRule="auto"/>
        <w:rPr>
          <w:sz w:val="20"/>
          <w:szCs w:val="20"/>
          <w:color w:val="auto"/>
        </w:rPr>
      </w:pP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Assignment and Alienation</w:t>
      </w:r>
      <w:r>
        <w:rPr>
          <w:rFonts w:ascii="Arial" w:cs="Arial" w:eastAsia="Arial" w:hAnsi="Arial"/>
          <w:sz w:val="16"/>
          <w:szCs w:val="16"/>
          <w:color w:val="auto"/>
        </w:rPr>
        <w:t>. No rights under the Plan may be anticipated, assigned, transferred, alienated, pledged, sold, attached, garnished or encumbered by a Participant or Beneficiary.</w:t>
      </w:r>
    </w:p>
    <w:p>
      <w:pPr>
        <w:spacing w:after="0" w:line="144" w:lineRule="exact"/>
        <w:rPr>
          <w:sz w:val="20"/>
          <w:szCs w:val="20"/>
          <w:color w:val="auto"/>
        </w:rPr>
      </w:pPr>
    </w:p>
    <w:p>
      <w:pPr>
        <w:ind w:right="60" w:firstLine="591"/>
        <w:spacing w:after="0" w:line="260" w:lineRule="auto"/>
        <w:rPr>
          <w:sz w:val="20"/>
          <w:szCs w:val="20"/>
          <w:color w:val="auto"/>
        </w:rPr>
      </w:pP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 or Termination</w:t>
      </w:r>
      <w:r>
        <w:rPr>
          <w:rFonts w:ascii="Arial" w:cs="Arial" w:eastAsia="Arial" w:hAnsi="Arial"/>
          <w:sz w:val="16"/>
          <w:szCs w:val="16"/>
          <w:color w:val="auto"/>
        </w:rPr>
        <w:t>. The Employer hereby reserves the right, by action of the Board, to amend or terminate the Plan at any time. In no event will amendment or termination of the Plan deprive a Participant of his vested benefit as of the date of such amendment or termination. Upon termination of the Plan, each Participant’s vested benefit shall be paid to him in a lump sum</w:t>
      </w:r>
    </w:p>
    <w:p>
      <w:pPr>
        <w:spacing w:after="0" w:line="156" w:lineRule="exact"/>
        <w:rPr>
          <w:sz w:val="20"/>
          <w:szCs w:val="20"/>
          <w:color w:val="auto"/>
        </w:rPr>
      </w:pPr>
    </w:p>
    <w:p>
      <w:pPr>
        <w:ind w:firstLine="591"/>
        <w:spacing w:after="0" w:line="275" w:lineRule="auto"/>
        <w:rPr>
          <w:sz w:val="20"/>
          <w:szCs w:val="20"/>
          <w:color w:val="auto"/>
        </w:rPr>
      </w:pP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Guarantee of Employment</w:t>
      </w:r>
      <w:r>
        <w:rPr>
          <w:rFonts w:ascii="Arial" w:cs="Arial" w:eastAsia="Arial" w:hAnsi="Arial"/>
          <w:sz w:val="16"/>
          <w:szCs w:val="16"/>
          <w:color w:val="auto"/>
        </w:rPr>
        <w:t>. Nothing in the Plan shall be construed as guaranteeing future employment to a Participant. Unless otherwise provided in a separate agreement, a Participant shall continue to be a common law employee of the Employer solely at the will of the Employer.</w:t>
      </w:r>
    </w:p>
    <w:p>
      <w:pPr>
        <w:spacing w:after="0" w:line="144" w:lineRule="exact"/>
        <w:rPr>
          <w:sz w:val="20"/>
          <w:szCs w:val="20"/>
          <w:color w:val="auto"/>
        </w:rPr>
      </w:pPr>
    </w:p>
    <w:p>
      <w:pPr>
        <w:ind w:right="120" w:firstLine="591"/>
        <w:spacing w:after="0" w:line="260" w:lineRule="auto"/>
        <w:rPr>
          <w:sz w:val="20"/>
          <w:szCs w:val="20"/>
          <w:color w:val="auto"/>
        </w:rPr>
      </w:pP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w:t>
      </w:r>
      <w:r>
        <w:rPr>
          <w:rFonts w:ascii="Arial" w:cs="Arial" w:eastAsia="Arial" w:hAnsi="Arial"/>
          <w:sz w:val="16"/>
          <w:szCs w:val="16"/>
          <w:u w:val="single" w:color="auto"/>
          <w:color w:val="auto"/>
        </w:rPr>
        <w:t>Administration</w:t>
      </w:r>
      <w:r>
        <w:rPr>
          <w:rFonts w:ascii="Arial" w:cs="Arial" w:eastAsia="Arial" w:hAnsi="Arial"/>
          <w:sz w:val="16"/>
          <w:szCs w:val="16"/>
          <w:color w:val="auto"/>
        </w:rPr>
        <w:t>. The Employer shall be the plan administrator, as defined by the meaning of the Employee Retirement Income Security Act of 1974, as amended. The Committee shall have all discretionary authority necessary or appropriate to the administration of the Plan, including, but not by way of limitation, the discretionary authority:</w:t>
      </w:r>
    </w:p>
    <w:p>
      <w:pPr>
        <w:spacing w:after="0" w:line="156" w:lineRule="exact"/>
        <w:rPr>
          <w:sz w:val="20"/>
          <w:szCs w:val="20"/>
          <w:color w:val="auto"/>
        </w:rPr>
      </w:pPr>
    </w:p>
    <w:p>
      <w:pPr>
        <w:ind w:left="1680" w:right="160" w:hanging="1084"/>
        <w:spacing w:after="0" w:line="275" w:lineRule="auto"/>
        <w:tabs>
          <w:tab w:leader="none" w:pos="1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interpret the provisions of the Plan and to determine any questions arising under the Plan or in connection with the administration or operation hereof;</w:t>
      </w:r>
    </w:p>
    <w:p>
      <w:pPr>
        <w:spacing w:after="0" w:line="143" w:lineRule="exact"/>
        <w:rPr>
          <w:rFonts w:ascii="Arial" w:cs="Arial" w:eastAsia="Arial" w:hAnsi="Arial"/>
          <w:sz w:val="16"/>
          <w:szCs w:val="16"/>
          <w:color w:val="auto"/>
        </w:rPr>
      </w:pPr>
    </w:p>
    <w:p>
      <w:pPr>
        <w:ind w:left="1680" w:hanging="1084"/>
        <w:spacing w:after="0"/>
        <w:tabs>
          <w:tab w:leader="none" w:pos="1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determine all questions affecting the eligibility of any person to be or become a Participant in the Plan;</w:t>
      </w:r>
    </w:p>
    <w:p>
      <w:pPr>
        <w:spacing w:after="0" w:line="192" w:lineRule="exact"/>
        <w:rPr>
          <w:rFonts w:ascii="Arial" w:cs="Arial" w:eastAsia="Arial" w:hAnsi="Arial"/>
          <w:sz w:val="16"/>
          <w:szCs w:val="16"/>
          <w:color w:val="auto"/>
        </w:rPr>
      </w:pPr>
    </w:p>
    <w:p>
      <w:pPr>
        <w:ind w:left="1680" w:right="80" w:hanging="1084"/>
        <w:spacing w:after="0" w:line="254" w:lineRule="auto"/>
        <w:tabs>
          <w:tab w:leader="none" w:pos="16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determine the vested percentage of any Participant, to determine the Eligible Compensation of any Participant, and to compute the value of any Participant’s Account or any other sum payable under the Plan to any person; and</w:t>
      </w:r>
    </w:p>
    <w:p>
      <w:pPr>
        <w:spacing w:after="0" w:line="1" w:lineRule="exact"/>
        <w:rPr>
          <w:rFonts w:ascii="Arial" w:cs="Arial" w:eastAsia="Arial" w:hAnsi="Arial"/>
          <w:sz w:val="16"/>
          <w:szCs w:val="16"/>
          <w:color w:val="auto"/>
        </w:rPr>
      </w:pPr>
    </w:p>
    <w:p>
      <w:pPr>
        <w:ind w:left="1680" w:hanging="1084"/>
        <w:spacing w:after="0"/>
        <w:tabs>
          <w:tab w:leader="none" w:pos="16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to establish rules and policies for the administration of the Plan and otherwise to control and manage the operation and administration of the Plan.</w:t>
      </w:r>
    </w:p>
    <w:p>
      <w:pPr>
        <w:spacing w:after="0" w:line="202" w:lineRule="exact"/>
        <w:rPr>
          <w:sz w:val="20"/>
          <w:szCs w:val="20"/>
          <w:color w:val="auto"/>
        </w:rPr>
      </w:pPr>
    </w:p>
    <w:p>
      <w:pPr>
        <w:jc w:val="both"/>
        <w:ind w:right="20" w:firstLine="591"/>
        <w:spacing w:after="0" w:line="314" w:lineRule="auto"/>
        <w:rPr>
          <w:sz w:val="20"/>
          <w:szCs w:val="20"/>
          <w:color w:val="auto"/>
        </w:rPr>
      </w:pPr>
      <w:r>
        <w:rPr>
          <w:rFonts w:ascii="Arial" w:cs="Arial" w:eastAsia="Arial" w:hAnsi="Arial"/>
          <w:sz w:val="14"/>
          <w:szCs w:val="14"/>
          <w:u w:val="single" w:color="auto"/>
          <w:color w:val="auto"/>
        </w:rPr>
        <w:t>Section 7.6</w:t>
      </w:r>
      <w:r>
        <w:rPr>
          <w:rFonts w:ascii="Arial" w:cs="Arial" w:eastAsia="Arial" w:hAnsi="Arial"/>
          <w:sz w:val="14"/>
          <w:szCs w:val="14"/>
          <w:color w:val="auto"/>
        </w:rPr>
        <w:t xml:space="preserve">. </w:t>
      </w:r>
      <w:r>
        <w:rPr>
          <w:rFonts w:ascii="Arial" w:cs="Arial" w:eastAsia="Arial" w:hAnsi="Arial"/>
          <w:sz w:val="14"/>
          <w:szCs w:val="14"/>
          <w:u w:val="single" w:color="auto"/>
          <w:color w:val="auto"/>
        </w:rPr>
        <w:t>Application for Determination of Benefits</w:t>
      </w:r>
      <w:r>
        <w:rPr>
          <w:rFonts w:ascii="Arial" w:cs="Arial" w:eastAsia="Arial" w:hAnsi="Arial"/>
          <w:sz w:val="14"/>
          <w:szCs w:val="14"/>
          <w:color w:val="auto"/>
        </w:rPr>
        <w:t>. The Committee may require any person claiming benefits under the Plan to submit an application therefor, together with such documents and information as the Committee or its delegate may require. In the case of any person suffering from a disability which prevents him from making personal application for benefits, the Committee or its delegate may, in its discretion, permit another person acting on his behalf to submit the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7171055" cy="139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40"/>
          </w:cols>
          <w:pgMar w:left="300" w:top="867" w:right="359" w:bottom="1440" w:gutter="0" w:footer="0" w:header="0"/>
        </w:sectPr>
      </w:pPr>
    </w:p>
    <w:bookmarkStart w:id="185" w:name="page186"/>
    <w:bookmarkEnd w:id="185"/>
    <w:p>
      <w:pPr>
        <w:ind w:left="880" w:hanging="439"/>
        <w:spacing w:after="0" w:line="253"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Within 90 days following receipt of an application and all necessary documents and information, the Committee or its delegate reviewing the claim shall furnish the claimant with written notice of the decision rendered with respect to the application. In the case of a denial of the claimant’s application, the written notice shall set forth (i) the specific reasons for the denial, with reference to the Plan provisions on which the denial is based, (ii) a description of any additional material or information necessary for perfection of the application (together with an explanation why the material or information is necessary), and (iii) an explanation of the Plan’s claims review procedure</w:t>
      </w:r>
    </w:p>
    <w:p>
      <w:pPr>
        <w:spacing w:after="0" w:line="160" w:lineRule="exact"/>
        <w:rPr>
          <w:rFonts w:ascii="Arial" w:cs="Arial" w:eastAsia="Arial" w:hAnsi="Arial"/>
          <w:sz w:val="16"/>
          <w:szCs w:val="16"/>
          <w:color w:val="auto"/>
        </w:rPr>
      </w:pPr>
    </w:p>
    <w:p>
      <w:pPr>
        <w:ind w:left="880" w:right="20" w:hanging="439"/>
        <w:spacing w:after="0" w:line="249" w:lineRule="auto"/>
        <w:tabs>
          <w:tab w:leader="none" w:pos="8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 claimant who does not agree with the decision rendered under Section 7.6(a) hereof with respect to his application may appeal the decision to the Committee. The appeal shall be made in writing within 65 days after the date of notice of the decision with respect to the application. If the application has neither been approved nor denied within the 90-day period provided in Section 7.6(a) hereof, then the appeal shall be made within 65 days after the expiration of the 90-day period. In making his appeal, the claimant may request that his application be given full and fair review by the Committee. The claimant may review all pertinent documents and submit issues and comments in writing. The decision of the Committee shall be made promptly, and not later than 60 days after the Committee’s receipt of a request for review, unless special circumstances require an extension of time for processing, in which case a decision shall be rendered as soon as possible but not later than 120 days after receipt of a request for review. The decision on review shall be in writing and shall include specific reasons for the decision, written in a manner calculated to be understood by the claimant with specific references to pertinent Plan provisions on which the decision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-1700530</wp:posOffset>
            </wp:positionV>
            <wp:extent cx="26035"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26035" cy="6985"/>
                    </a:xfrm>
                    <a:prstGeom prst="rect">
                      <a:avLst/>
                    </a:prstGeom>
                    <a:noFill/>
                  </pic:spPr>
                </pic:pic>
              </a:graphicData>
            </a:graphic>
          </wp:anchor>
        </w:drawing>
      </w:r>
    </w:p>
    <w:p>
      <w:pPr>
        <w:spacing w:after="0" w:line="1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IN WITNESS WHEREOF, Parsons Corporation Supplemental Executive Retirement Plan is executed on behalf of the Employer, the ______ day of</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 1997.</w:t>
      </w:r>
    </w:p>
    <w:p>
      <w:pPr>
        <w:spacing w:after="0" w:line="179"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PARSONS CORPORATION</w:t>
      </w:r>
    </w:p>
    <w:p>
      <w:pPr>
        <w:spacing w:after="0" w:line="160"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-113665</wp:posOffset>
            </wp:positionV>
            <wp:extent cx="2751455"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275145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821690</wp:posOffset>
            </wp:positionV>
            <wp:extent cx="7171055" cy="1397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60"/>
          </w:cols>
          <w:pgMar w:left="300" w:top="868" w:right="339" w:bottom="1440" w:gutter="0" w:footer="0" w:header="0"/>
        </w:sectPr>
      </w:pPr>
    </w:p>
    <w:bookmarkStart w:id="186" w:name="page187"/>
    <w:bookmarkEnd w:id="186"/>
    <w:p>
      <w:pPr>
        <w:jc w:val="center"/>
        <w:ind w:right="-610"/>
        <w:spacing w:after="0"/>
        <w:rPr>
          <w:sz w:val="20"/>
          <w:szCs w:val="20"/>
          <w:color w:val="auto"/>
        </w:rPr>
      </w:pPr>
      <w:r>
        <w:rPr>
          <w:rFonts w:ascii="Arial" w:cs="Arial" w:eastAsia="Arial" w:hAnsi="Arial"/>
          <w:sz w:val="17"/>
          <w:szCs w:val="17"/>
          <w:b w:val="1"/>
          <w:bCs w:val="1"/>
          <w:color w:val="auto"/>
        </w:rPr>
        <w:t>PARSONS CORPORATION</w:t>
      </w:r>
    </w:p>
    <w:p>
      <w:pPr>
        <w:spacing w:after="0" w:line="22" w:lineRule="exact"/>
        <w:rPr>
          <w:sz w:val="20"/>
          <w:szCs w:val="20"/>
          <w:color w:val="auto"/>
        </w:rPr>
      </w:pPr>
    </w:p>
    <w:p>
      <w:pPr>
        <w:jc w:val="center"/>
        <w:ind w:right="-610"/>
        <w:spacing w:after="0"/>
        <w:rPr>
          <w:sz w:val="20"/>
          <w:szCs w:val="20"/>
          <w:color w:val="auto"/>
        </w:rPr>
      </w:pPr>
      <w:r>
        <w:rPr>
          <w:rFonts w:ascii="Arial" w:cs="Arial" w:eastAsia="Arial" w:hAnsi="Arial"/>
          <w:sz w:val="17"/>
          <w:szCs w:val="17"/>
          <w:b w:val="1"/>
          <w:bCs w:val="1"/>
          <w:color w:val="auto"/>
        </w:rPr>
        <w:t>SUPPLEMENTAL EXECUTIVE RETIREMENT PLAN</w:t>
      </w:r>
    </w:p>
    <w:p>
      <w:pPr>
        <w:spacing w:after="0" w:line="4" w:lineRule="exact"/>
        <w:rPr>
          <w:sz w:val="20"/>
          <w:szCs w:val="20"/>
          <w:color w:val="auto"/>
        </w:rPr>
      </w:pPr>
    </w:p>
    <w:p>
      <w:pPr>
        <w:jc w:val="center"/>
        <w:ind w:right="-610"/>
        <w:spacing w:after="0"/>
        <w:rPr>
          <w:sz w:val="20"/>
          <w:szCs w:val="20"/>
          <w:color w:val="auto"/>
        </w:rPr>
      </w:pPr>
      <w:r>
        <w:rPr>
          <w:rFonts w:ascii="Arial" w:cs="Arial" w:eastAsia="Arial" w:hAnsi="Arial"/>
          <w:sz w:val="17"/>
          <w:szCs w:val="17"/>
          <w:b w:val="1"/>
          <w:bCs w:val="1"/>
          <w:color w:val="auto"/>
        </w:rPr>
        <w:t>PARTICIPANT ENROLLMENT AND ELECTION FORM</w:t>
      </w:r>
    </w:p>
    <w:p>
      <w:pPr>
        <w:spacing w:after="0" w:line="167" w:lineRule="exact"/>
        <w:rPr>
          <w:sz w:val="20"/>
          <w:szCs w:val="20"/>
          <w:color w:val="auto"/>
        </w:rPr>
      </w:pPr>
    </w:p>
    <w:p>
      <w:pPr>
        <w:ind w:left="871" w:hanging="871"/>
        <w:spacing w:after="0"/>
        <w:tabs>
          <w:tab w:leader="none" w:pos="87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Participant Information</w:t>
      </w:r>
    </w:p>
    <w:p>
      <w:pPr>
        <w:spacing w:after="0" w:line="181" w:lineRule="exact"/>
        <w:rPr>
          <w:sz w:val="20"/>
          <w:szCs w:val="20"/>
          <w:color w:val="auto"/>
        </w:rPr>
      </w:pPr>
    </w:p>
    <w:p>
      <w:pPr>
        <w:ind w:left="871"/>
        <w:spacing w:after="0"/>
        <w:tabs>
          <w:tab w:leader="none" w:pos="7751"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7"/>
          <w:szCs w:val="17"/>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1372235</wp:posOffset>
            </wp:positionH>
            <wp:positionV relativeFrom="paragraph">
              <wp:posOffset>8890</wp:posOffset>
            </wp:positionV>
            <wp:extent cx="578485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5784850" cy="6985"/>
                    </a:xfrm>
                    <a:prstGeom prst="rect">
                      <a:avLst/>
                    </a:prstGeom>
                    <a:noFill/>
                  </pic:spPr>
                </pic:pic>
              </a:graphicData>
            </a:graphic>
          </wp:anchor>
        </w:drawing>
      </w:r>
    </w:p>
    <w:p>
      <w:pPr>
        <w:spacing w:after="0" w:line="172" w:lineRule="exact"/>
        <w:rPr>
          <w:sz w:val="20"/>
          <w:szCs w:val="20"/>
          <w:color w:val="auto"/>
        </w:rPr>
      </w:pPr>
    </w:p>
    <w:p>
      <w:pPr>
        <w:ind w:left="871"/>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556260</wp:posOffset>
            </wp:positionH>
            <wp:positionV relativeFrom="paragraph">
              <wp:posOffset>248285</wp:posOffset>
            </wp:positionV>
            <wp:extent cx="6600825"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6600825" cy="6985"/>
                    </a:xfrm>
                    <a:prstGeom prst="rect">
                      <a:avLst/>
                    </a:prstGeom>
                    <a:noFill/>
                  </pic:spPr>
                </pic:pic>
              </a:graphicData>
            </a:graphic>
          </wp:anchor>
        </w:drawing>
        <w:drawing>
          <wp:anchor simplePos="0" relativeHeight="251657728" behindDoc="1" locked="0" layoutInCell="0" allowOverlap="1">
            <wp:simplePos x="0" y="0"/>
            <wp:positionH relativeFrom="column">
              <wp:posOffset>556260</wp:posOffset>
            </wp:positionH>
            <wp:positionV relativeFrom="paragraph">
              <wp:posOffset>128905</wp:posOffset>
            </wp:positionV>
            <wp:extent cx="6600825"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6600825" cy="6985"/>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8890</wp:posOffset>
            </wp:positionV>
            <wp:extent cx="5784850" cy="69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5784850" cy="698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871" w:hanging="871"/>
        <w:spacing w:after="0"/>
        <w:tabs>
          <w:tab w:leader="none" w:pos="871"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Form of Distribution</w:t>
      </w:r>
    </w:p>
    <w:p>
      <w:pPr>
        <w:spacing w:after="0" w:line="181" w:lineRule="exact"/>
        <w:rPr>
          <w:rFonts w:ascii="Arial" w:cs="Arial" w:eastAsia="Arial" w:hAnsi="Arial"/>
          <w:sz w:val="17"/>
          <w:szCs w:val="17"/>
          <w:color w:val="auto"/>
        </w:rPr>
      </w:pPr>
    </w:p>
    <w:p>
      <w:pPr>
        <w:ind w:left="871"/>
        <w:spacing w:after="0" w:line="269" w:lineRule="auto"/>
        <w:rPr>
          <w:rFonts w:ascii="Arial" w:cs="Arial" w:eastAsia="Arial" w:hAnsi="Arial"/>
          <w:sz w:val="17"/>
          <w:szCs w:val="17"/>
          <w:color w:val="auto"/>
        </w:rPr>
      </w:pPr>
      <w:r>
        <w:rPr>
          <w:rFonts w:ascii="Arial" w:cs="Arial" w:eastAsia="Arial" w:hAnsi="Arial"/>
          <w:sz w:val="17"/>
          <w:szCs w:val="17"/>
          <w:color w:val="auto"/>
        </w:rPr>
        <w:t>In the event of my retirement, disability or termination of employment, I hereby elect to receive distribution of my benefits under the Plan in the following form:</w:t>
      </w:r>
    </w:p>
    <w:p>
      <w:pPr>
        <w:spacing w:after="0" w:line="315" w:lineRule="exact"/>
        <w:rPr>
          <w:sz w:val="20"/>
          <w:szCs w:val="20"/>
          <w:color w:val="auto"/>
        </w:rPr>
      </w:pPr>
    </w:p>
    <w:p>
      <w:pPr>
        <w:ind w:left="2671"/>
        <w:spacing w:after="0"/>
        <w:rPr>
          <w:sz w:val="20"/>
          <w:szCs w:val="20"/>
          <w:color w:val="auto"/>
        </w:rPr>
      </w:pPr>
      <w:r>
        <w:rPr>
          <w:rFonts w:ascii="Arial" w:cs="Arial" w:eastAsia="Arial" w:hAnsi="Arial"/>
          <w:sz w:val="17"/>
          <w:szCs w:val="17"/>
          <w:color w:val="auto"/>
        </w:rPr>
        <w:t>Lump-sum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8890</wp:posOffset>
            </wp:positionV>
            <wp:extent cx="929005" cy="69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spacing w:after="0" w:line="84" w:lineRule="exact"/>
        <w:rPr>
          <w:sz w:val="20"/>
          <w:szCs w:val="20"/>
          <w:color w:val="auto"/>
        </w:rPr>
      </w:pPr>
    </w:p>
    <w:p>
      <w:pPr>
        <w:ind w:left="2671"/>
        <w:spacing w:after="0"/>
        <w:rPr>
          <w:sz w:val="20"/>
          <w:szCs w:val="20"/>
          <w:color w:val="auto"/>
        </w:rPr>
      </w:pPr>
      <w:r>
        <w:rPr>
          <w:rFonts w:ascii="Arial" w:cs="Arial" w:eastAsia="Arial" w:hAnsi="Arial"/>
          <w:sz w:val="17"/>
          <w:szCs w:val="17"/>
          <w:color w:val="auto"/>
        </w:rPr>
        <w:t>Annual installments for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8890</wp:posOffset>
            </wp:positionV>
            <wp:extent cx="929005" cy="69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spacing w:after="0" w:line="84" w:lineRule="exact"/>
        <w:rPr>
          <w:sz w:val="20"/>
          <w:szCs w:val="20"/>
          <w:color w:val="auto"/>
        </w:rPr>
      </w:pPr>
    </w:p>
    <w:p>
      <w:pPr>
        <w:ind w:left="2671"/>
        <w:spacing w:after="0"/>
        <w:rPr>
          <w:sz w:val="20"/>
          <w:szCs w:val="20"/>
          <w:color w:val="auto"/>
        </w:rPr>
      </w:pPr>
      <w:r>
        <w:rPr>
          <w:rFonts w:ascii="Arial" w:cs="Arial" w:eastAsia="Arial" w:hAnsi="Arial"/>
          <w:sz w:val="17"/>
          <w:szCs w:val="17"/>
          <w:color w:val="auto"/>
        </w:rPr>
        <w:t>Annual installments for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8890</wp:posOffset>
            </wp:positionV>
            <wp:extent cx="929005" cy="69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929005" cy="698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466725</wp:posOffset>
            </wp:positionV>
            <wp:extent cx="238569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2385695" cy="698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466725</wp:posOffset>
            </wp:positionV>
            <wp:extent cx="2209800"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22098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91"/>
        <w:spacing w:after="0"/>
        <w:tabs>
          <w:tab w:leader="none" w:pos="7491" w:val="left"/>
        </w:tabs>
        <w:rPr>
          <w:sz w:val="20"/>
          <w:szCs w:val="20"/>
          <w:color w:val="auto"/>
        </w:rPr>
      </w:pPr>
      <w:r>
        <w:rPr>
          <w:rFonts w:ascii="Arial" w:cs="Arial" w:eastAsia="Arial" w:hAnsi="Arial"/>
          <w:sz w:val="17"/>
          <w:szCs w:val="17"/>
          <w:color w:val="auto"/>
        </w:rPr>
        <w:t>Signature of Participant</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916940</wp:posOffset>
            </wp:positionV>
            <wp:extent cx="7171055" cy="13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671"/>
          </w:cols>
          <w:pgMar w:left="309" w:top="868" w:right="91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7"/>
          <w:szCs w:val="17"/>
          <w:b w:val="1"/>
          <w:bCs w:val="1"/>
          <w:color w:val="auto"/>
        </w:rPr>
        <w:t>PARSONS CORPORATION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SUPPLEMENTAL EXECUTIVE RETIREMENT PLAN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BENEFICIARY DESIGNATION FORM</w:t>
      </w:r>
    </w:p>
    <w:p>
      <w:pPr>
        <w:spacing w:after="0" w:line="345" w:lineRule="exact"/>
        <w:rPr>
          <w:sz w:val="20"/>
          <w:szCs w:val="20"/>
          <w:color w:val="auto"/>
        </w:rPr>
      </w:pPr>
    </w:p>
    <w:p>
      <w:pPr>
        <w:ind w:left="880" w:hanging="871"/>
        <w:spacing w:after="0"/>
        <w:tabs>
          <w:tab w:leader="none" w:pos="880"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Beneficiary Designation</w:t>
      </w:r>
    </w:p>
    <w:p>
      <w:pPr>
        <w:spacing w:after="0" w:line="181" w:lineRule="exact"/>
        <w:rPr>
          <w:sz w:val="20"/>
          <w:szCs w:val="20"/>
          <w:color w:val="auto"/>
        </w:rPr>
      </w:pPr>
    </w:p>
    <w:p>
      <w:pPr>
        <w:ind w:right="460"/>
        <w:spacing w:after="0" w:line="269" w:lineRule="auto"/>
        <w:rPr>
          <w:sz w:val="20"/>
          <w:szCs w:val="20"/>
          <w:color w:val="auto"/>
        </w:rPr>
      </w:pPr>
      <w:r>
        <w:rPr>
          <w:rFonts w:ascii="Arial" w:cs="Arial" w:eastAsia="Arial" w:hAnsi="Arial"/>
          <w:sz w:val="17"/>
          <w:szCs w:val="17"/>
          <w:color w:val="auto"/>
        </w:rPr>
        <w:t>I hereby revoke any prior designation of beneficiary under the Plan and designate the following to receive any benefit payable under the Plan on account of my death, subject to my right to change this designation and subject to the terms of the Plan:</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8890</wp:posOffset>
            </wp:positionV>
            <wp:extent cx="2990850" cy="69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2990850" cy="6985"/>
                    </a:xfrm>
                    <a:prstGeom prst="rect">
                      <a:avLst/>
                    </a:prstGeom>
                    <a:noFill/>
                  </pic:spPr>
                </pic:pic>
              </a:graphicData>
            </a:graphic>
          </wp:anchor>
        </w:drawing>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8890</wp:posOffset>
            </wp:positionV>
            <wp:extent cx="2990850" cy="698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2990850" cy="6985"/>
                    </a:xfrm>
                    <a:prstGeom prst="rect">
                      <a:avLst/>
                    </a:prstGeom>
                    <a:noFill/>
                  </pic:spPr>
                </pic:pic>
              </a:graphicData>
            </a:graphic>
          </wp:anchor>
        </w:drawing>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8890</wp:posOffset>
            </wp:positionV>
            <wp:extent cx="2990850" cy="698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2990850" cy="6985"/>
                    </a:xfrm>
                    <a:prstGeom prst="rect">
                      <a:avLst/>
                    </a:prstGeom>
                    <a:noFill/>
                  </pic:spPr>
                </pic:pic>
              </a:graphicData>
            </a:graphic>
          </wp:anchor>
        </w:drawing>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8890</wp:posOffset>
            </wp:positionV>
            <wp:extent cx="2990850" cy="69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2990850" cy="6985"/>
                    </a:xfrm>
                    <a:prstGeom prst="rect">
                      <a:avLst/>
                    </a:prstGeom>
                    <a:noFill/>
                  </pic:spPr>
                </pic:pic>
              </a:graphicData>
            </a:graphic>
          </wp:anchor>
        </w:drawing>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 of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962660</wp:posOffset>
            </wp:positionH>
            <wp:positionV relativeFrom="paragraph">
              <wp:posOffset>8890</wp:posOffset>
            </wp:positionV>
            <wp:extent cx="2990850" cy="698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2990850" cy="6985"/>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241300</wp:posOffset>
            </wp:positionV>
            <wp:extent cx="2392680" cy="698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2392680" cy="6985"/>
                    </a:xfrm>
                    <a:prstGeom prst="rect">
                      <a:avLst/>
                    </a:prstGeom>
                    <a:noFill/>
                  </pic:spPr>
                </pic:pic>
              </a:graphicData>
            </a:graphic>
          </wp:anchor>
        </w:drawing>
        <w:drawing>
          <wp:anchor simplePos="0" relativeHeight="251657728" behindDoc="1" locked="0" layoutInCell="0" allowOverlap="1">
            <wp:simplePos x="0" y="0"/>
            <wp:positionH relativeFrom="column">
              <wp:posOffset>554355</wp:posOffset>
            </wp:positionH>
            <wp:positionV relativeFrom="paragraph">
              <wp:posOffset>241300</wp:posOffset>
            </wp:positionV>
            <wp:extent cx="1844040" cy="69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1844040" cy="6985"/>
                    </a:xfrm>
                    <a:prstGeom prst="rect">
                      <a:avLst/>
                    </a:prstGeom>
                    <a:noFill/>
                  </pic:spPr>
                </pic:pic>
              </a:graphicData>
            </a:graphic>
          </wp:anchor>
        </w:drawing>
      </w:r>
    </w:p>
    <w:p>
      <w:pPr>
        <w:spacing w:after="0" w:line="361" w:lineRule="exact"/>
        <w:rPr>
          <w:sz w:val="20"/>
          <w:szCs w:val="20"/>
          <w:color w:val="auto"/>
        </w:rPr>
      </w:pPr>
    </w:p>
    <w:p>
      <w:pPr>
        <w:ind w:left="880"/>
        <w:spacing w:after="0"/>
        <w:tabs>
          <w:tab w:leader="none" w:pos="7500" w:val="left"/>
        </w:tabs>
        <w:rPr>
          <w:sz w:val="20"/>
          <w:szCs w:val="20"/>
          <w:color w:val="auto"/>
        </w:rPr>
      </w:pPr>
      <w:r>
        <w:rPr>
          <w:rFonts w:ascii="Arial" w:cs="Arial" w:eastAsia="Arial" w:hAnsi="Arial"/>
          <w:sz w:val="17"/>
          <w:szCs w:val="17"/>
          <w:color w:val="auto"/>
        </w:rPr>
        <w:t>Signature of Participant</w:t>
      </w:r>
      <w:r>
        <w:rPr>
          <w:sz w:val="20"/>
          <w:szCs w:val="20"/>
          <w:color w:val="auto"/>
        </w:rPr>
        <w:tab/>
      </w:r>
      <w:r>
        <w:rPr>
          <w:rFonts w:ascii="Arial" w:cs="Arial" w:eastAsia="Arial" w:hAnsi="Arial"/>
          <w:sz w:val="15"/>
          <w:szCs w:val="15"/>
          <w:color w:val="auto"/>
        </w:rPr>
        <w:t>Date</w:t>
      </w:r>
    </w:p>
    <w:p>
      <w:pPr>
        <w:spacing w:after="0" w:line="359" w:lineRule="exact"/>
        <w:rPr>
          <w:sz w:val="20"/>
          <w:szCs w:val="20"/>
          <w:color w:val="auto"/>
        </w:rPr>
      </w:pPr>
    </w:p>
    <w:p>
      <w:pPr>
        <w:ind w:left="880" w:hanging="871"/>
        <w:spacing w:after="0"/>
        <w:tabs>
          <w:tab w:leader="none" w:pos="880"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Spouse Consent</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 am the spouse of the Participant. I understand the death benefits to which I am entitled under the Plan if I do not consent to the Participant’s beneficiary designation above. I further understand that all or part of the Participant’s Account under the Plan will be paid to the beneficiary or beneficiaries designated above, and I voluntarily consent to the Participant’s designation of such beneficiary or beneficiaries. I realize that my consent is irrevocable unless the Participant changes the beneficiary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215265</wp:posOffset>
            </wp:positionV>
            <wp:extent cx="2392680" cy="69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2392680" cy="6985"/>
                    </a:xfrm>
                    <a:prstGeom prst="rect">
                      <a:avLst/>
                    </a:prstGeom>
                    <a:noFill/>
                  </pic:spPr>
                </pic:pic>
              </a:graphicData>
            </a:graphic>
          </wp:anchor>
        </w:drawing>
        <w:drawing>
          <wp:anchor simplePos="0" relativeHeight="251657728" behindDoc="1" locked="0" layoutInCell="0" allowOverlap="1">
            <wp:simplePos x="0" y="0"/>
            <wp:positionH relativeFrom="column">
              <wp:posOffset>554355</wp:posOffset>
            </wp:positionH>
            <wp:positionV relativeFrom="paragraph">
              <wp:posOffset>215265</wp:posOffset>
            </wp:positionV>
            <wp:extent cx="1844040" cy="69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1844040" cy="6985"/>
                    </a:xfrm>
                    <a:prstGeom prst="rect">
                      <a:avLst/>
                    </a:prstGeom>
                    <a:noFill/>
                  </pic:spPr>
                </pic:pic>
              </a:graphicData>
            </a:graphic>
          </wp:anchor>
        </w:drawing>
      </w:r>
    </w:p>
    <w:p>
      <w:pPr>
        <w:spacing w:after="0" w:line="319" w:lineRule="exact"/>
        <w:rPr>
          <w:sz w:val="20"/>
          <w:szCs w:val="20"/>
          <w:color w:val="auto"/>
        </w:rPr>
      </w:pPr>
    </w:p>
    <w:p>
      <w:pPr>
        <w:ind w:left="880"/>
        <w:spacing w:after="0"/>
        <w:tabs>
          <w:tab w:leader="none" w:pos="7500" w:val="left"/>
        </w:tabs>
        <w:rPr>
          <w:sz w:val="20"/>
          <w:szCs w:val="20"/>
          <w:color w:val="auto"/>
        </w:rPr>
      </w:pPr>
      <w:r>
        <w:rPr>
          <w:rFonts w:ascii="Arial" w:cs="Arial" w:eastAsia="Arial" w:hAnsi="Arial"/>
          <w:sz w:val="17"/>
          <w:szCs w:val="17"/>
          <w:color w:val="auto"/>
        </w:rPr>
        <w:t>Signature of Spouse</w:t>
      </w:r>
      <w:r>
        <w:rPr>
          <w:sz w:val="20"/>
          <w:szCs w:val="20"/>
          <w:color w:val="auto"/>
        </w:rPr>
        <w:tab/>
      </w:r>
      <w:r>
        <w:rPr>
          <w:rFonts w:ascii="Arial" w:cs="Arial" w:eastAsia="Arial" w:hAnsi="Arial"/>
          <w:sz w:val="15"/>
          <w:szCs w:val="15"/>
          <w:color w:val="auto"/>
        </w:rPr>
        <w:t>Date</w:t>
      </w:r>
    </w:p>
    <w:p>
      <w:pPr>
        <w:spacing w:after="0" w:line="200" w:lineRule="exact"/>
        <w:rPr>
          <w:sz w:val="20"/>
          <w:szCs w:val="20"/>
          <w:color w:val="auto"/>
        </w:rPr>
      </w:pPr>
    </w:p>
    <w:p>
      <w:pPr>
        <w:spacing w:after="0" w:line="336" w:lineRule="exact"/>
        <w:rPr>
          <w:sz w:val="20"/>
          <w:szCs w:val="20"/>
          <w:color w:val="auto"/>
        </w:rPr>
      </w:pPr>
    </w:p>
    <w:p>
      <w:pPr>
        <w:ind w:left="240"/>
        <w:spacing w:after="0"/>
        <w:rPr>
          <w:sz w:val="20"/>
          <w:szCs w:val="20"/>
          <w:color w:val="auto"/>
        </w:rPr>
      </w:pPr>
      <w:r>
        <w:rPr>
          <w:rFonts w:ascii="Arial" w:cs="Arial" w:eastAsia="Arial" w:hAnsi="Arial"/>
          <w:sz w:val="17"/>
          <w:szCs w:val="17"/>
          <w:color w:val="auto"/>
        </w:rPr>
        <w:t>Witnessed by an authorized 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121920</wp:posOffset>
            </wp:positionV>
            <wp:extent cx="6762750" cy="69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6762750" cy="6985"/>
                    </a:xfrm>
                    <a:prstGeom prst="rect">
                      <a:avLst/>
                    </a:prstGeom>
                    <a:noFill/>
                  </pic:spPr>
                </pic:pic>
              </a:graphicData>
            </a:graphic>
          </wp:anchor>
        </w:drawing>
      </w:r>
    </w:p>
    <w:p>
      <w:pPr>
        <w:spacing w:after="0" w:line="172" w:lineRule="exact"/>
        <w:rPr>
          <w:sz w:val="20"/>
          <w:szCs w:val="20"/>
          <w:color w:val="auto"/>
        </w:rPr>
      </w:pPr>
    </w:p>
    <w:p>
      <w:pPr>
        <w:ind w:left="620"/>
        <w:spacing w:after="0"/>
        <w:tabs>
          <w:tab w:leader="none" w:pos="8460" w:val="left"/>
        </w:tabs>
        <w:rPr>
          <w:sz w:val="20"/>
          <w:szCs w:val="20"/>
          <w:color w:val="auto"/>
        </w:rPr>
      </w:pPr>
      <w:r>
        <w:rPr>
          <w:rFonts w:ascii="Arial" w:cs="Arial" w:eastAsia="Arial" w:hAnsi="Arial"/>
          <w:sz w:val="17"/>
          <w:szCs w:val="17"/>
          <w:color w:val="auto"/>
        </w:rPr>
        <w:t>Signature of Authorized Representative</w:t>
      </w:r>
      <w:r>
        <w:rPr>
          <w:sz w:val="20"/>
          <w:szCs w:val="20"/>
          <w:color w:val="auto"/>
        </w:rPr>
        <w:tab/>
      </w:r>
      <w:r>
        <w:rPr>
          <w:rFonts w:ascii="Arial" w:cs="Arial" w:eastAsia="Arial" w:hAnsi="Arial"/>
          <w:sz w:val="15"/>
          <w:szCs w:val="15"/>
          <w:color w:val="auto"/>
        </w:rPr>
        <w:t>Date</w:t>
      </w:r>
    </w:p>
    <w:p>
      <w:pPr>
        <w:sectPr>
          <w:pgSz w:w="11900" w:h="16838" w:orient="portrait"/>
          <w:cols w:equalWidth="0" w:num="1">
            <w:col w:w="11280"/>
          </w:cols>
          <w:pgMar w:left="300" w:top="868" w:right="31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t>Exhibit 10.23</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the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PARSONS CORPORATION EXECUTIVE RESTORATION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Amended Through January 1, 2013)</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The Parsons Corporation Executive Restoration Plan </w:t>
      </w:r>
      <w:r>
        <w:rPr>
          <w:rFonts w:ascii="Arial" w:cs="Arial" w:eastAsia="Arial" w:hAnsi="Arial"/>
          <w:sz w:val="15"/>
          <w:szCs w:val="15"/>
          <w:color w:val="auto"/>
        </w:rPr>
        <w:t>(As Amended Through January 1, 2013)</w:t>
      </w:r>
      <w:r>
        <w:rPr>
          <w:rFonts w:ascii="Arial" w:cs="Arial" w:eastAsia="Arial" w:hAnsi="Arial"/>
          <w:sz w:val="17"/>
          <w:szCs w:val="17"/>
          <w:color w:val="auto"/>
        </w:rPr>
        <w:t xml:space="preserve"> is hereby amended as follows, unless otherwise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156" w:lineRule="exact"/>
        <w:rPr>
          <w:sz w:val="20"/>
          <w:szCs w:val="20"/>
          <w:color w:val="auto"/>
        </w:rPr>
      </w:pPr>
    </w:p>
    <w:p>
      <w:pPr>
        <w:ind w:left="1740" w:hanging="867"/>
        <w:spacing w:after="0"/>
        <w:tabs>
          <w:tab w:leader="none" w:pos="17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Effective January 1, 2020 section 3.1 is hereby amended and restated to read:</w:t>
      </w:r>
    </w:p>
    <w:p>
      <w:pPr>
        <w:spacing w:after="0" w:line="170" w:lineRule="exact"/>
        <w:rPr>
          <w:sz w:val="20"/>
          <w:szCs w:val="20"/>
          <w:color w:val="auto"/>
        </w:rPr>
      </w:pPr>
    </w:p>
    <w:p>
      <w:pPr>
        <w:ind w:right="20" w:firstLine="867"/>
        <w:spacing w:after="0" w:line="241" w:lineRule="auto"/>
        <w:rPr>
          <w:sz w:val="20"/>
          <w:szCs w:val="20"/>
          <w:color w:val="auto"/>
        </w:rPr>
      </w:pPr>
      <w:r>
        <w:rPr>
          <w:rFonts w:ascii="Arial" w:cs="Arial" w:eastAsia="Arial" w:hAnsi="Arial"/>
          <w:sz w:val="18"/>
          <w:szCs w:val="18"/>
          <w:u w:val="single" w:color="auto"/>
          <w:color w:val="auto"/>
        </w:rPr>
        <w:t>Section 3.1. Employer Contributions</w:t>
      </w:r>
      <w:r>
        <w:rPr>
          <w:rFonts w:ascii="Arial" w:cs="Arial" w:eastAsia="Arial" w:hAnsi="Arial"/>
          <w:sz w:val="18"/>
          <w:szCs w:val="18"/>
          <w:color w:val="auto"/>
        </w:rPr>
        <w:t>. The Employer shall credit a percentage of Eligible Compensation to the Account of each Participant whether or not he is actively at work on the Valuation Date; such percentage shall be equal to the percentage in the Plan Year of the Corporation’s contribution to the ESOP.</w:t>
      </w:r>
    </w:p>
    <w:p>
      <w:pPr>
        <w:spacing w:after="0" w:line="152" w:lineRule="exact"/>
        <w:rPr>
          <w:sz w:val="20"/>
          <w:szCs w:val="20"/>
          <w:color w:val="auto"/>
        </w:rPr>
      </w:pPr>
    </w:p>
    <w:p>
      <w:pPr>
        <w:ind w:left="1540" w:hanging="665"/>
        <w:spacing w:after="0"/>
        <w:tabs>
          <w:tab w:leader="none" w:pos="1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Effective January 1, 2020, section 3.2(b) of the Plan is hereby deleted in its entirety and is hereby amended and restated to provide as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23" w:lineRule="exact"/>
        <w:rPr>
          <w:sz w:val="20"/>
          <w:szCs w:val="20"/>
          <w:color w:val="auto"/>
        </w:rPr>
      </w:pPr>
    </w:p>
    <w:p>
      <w:pPr>
        <w:ind w:left="880" w:right="880" w:hanging="5"/>
        <w:spacing w:after="0" w:line="251" w:lineRule="auto"/>
        <w:tabs>
          <w:tab w:leader="none" w:pos="139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Account shall be credited with interest equal to the Bank of America prime rate in effect on the Valuation Date, compounded annually.</w:t>
      </w:r>
    </w:p>
    <w:p>
      <w:pPr>
        <w:spacing w:after="0" w:line="14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WITNESS WHEREOF, this instrument of amendment is executed this 20</w:t>
      </w:r>
      <w:r>
        <w:rPr>
          <w:rFonts w:ascii="Arial" w:cs="Arial" w:eastAsia="Arial" w:hAnsi="Arial"/>
          <w:sz w:val="15"/>
          <w:szCs w:val="15"/>
          <w:color w:val="auto"/>
        </w:rPr>
        <w:t>th</w:t>
      </w:r>
      <w:r>
        <w:rPr>
          <w:rFonts w:ascii="Arial" w:cs="Arial" w:eastAsia="Arial" w:hAnsi="Arial"/>
          <w:sz w:val="18"/>
          <w:szCs w:val="18"/>
          <w:color w:val="auto"/>
        </w:rPr>
        <w:t xml:space="preserve"> day of January 2020.</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PARSONS CORPORATION</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148"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300" w:top="122" w:right="3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5"/>
          <w:szCs w:val="15"/>
          <w:color w:val="auto"/>
        </w:rPr>
        <w:t>Exhibit 10.28</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August 10,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George Ball, Chief Financial Officer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Parsons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Subject: Amendment to LTIP Awards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Dear George,</w:t>
      </w:r>
    </w:p>
    <w:p>
      <w:pPr>
        <w:spacing w:after="0" w:line="93" w:lineRule="exact"/>
        <w:rPr>
          <w:sz w:val="20"/>
          <w:szCs w:val="20"/>
          <w:color w:val="auto"/>
        </w:rPr>
      </w:pPr>
    </w:p>
    <w:p>
      <w:pPr>
        <w:ind w:right="120" w:firstLine="793"/>
        <w:spacing w:after="0" w:line="305" w:lineRule="auto"/>
        <w:rPr>
          <w:sz w:val="20"/>
          <w:szCs w:val="20"/>
          <w:color w:val="auto"/>
        </w:rPr>
      </w:pPr>
      <w:r>
        <w:rPr>
          <w:rFonts w:ascii="Arial" w:cs="Arial" w:eastAsia="Arial" w:hAnsi="Arial"/>
          <w:sz w:val="13"/>
          <w:szCs w:val="13"/>
          <w:color w:val="auto"/>
        </w:rPr>
        <w:t>Parsons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has granted you the following long-term incentive awards (collectively, the “</w:t>
      </w:r>
      <w:r>
        <w:rPr>
          <w:rFonts w:ascii="Arial" w:cs="Arial" w:eastAsia="Arial" w:hAnsi="Arial"/>
          <w:sz w:val="13"/>
          <w:szCs w:val="13"/>
          <w:b w:val="1"/>
          <w:bCs w:val="1"/>
          <w:i w:val="1"/>
          <w:iCs w:val="1"/>
          <w:color w:val="auto"/>
        </w:rPr>
        <w:t>LTIP Awards</w:t>
      </w:r>
      <w:r>
        <w:rPr>
          <w:rFonts w:ascii="Arial" w:cs="Arial" w:eastAsia="Arial" w:hAnsi="Arial"/>
          <w:sz w:val="13"/>
          <w:szCs w:val="13"/>
          <w:color w:val="auto"/>
        </w:rPr>
        <w:t>”) pursuant to the agreements listed below (the “</w:t>
      </w:r>
      <w:r>
        <w:rPr>
          <w:rFonts w:ascii="Arial" w:cs="Arial" w:eastAsia="Arial" w:hAnsi="Arial"/>
          <w:sz w:val="13"/>
          <w:szCs w:val="13"/>
          <w:b w:val="1"/>
          <w:bCs w:val="1"/>
          <w:i w:val="1"/>
          <w:iCs w:val="1"/>
          <w:color w:val="auto"/>
        </w:rPr>
        <w:t>LTIP Award Agreements</w:t>
      </w:r>
      <w:r>
        <w:rPr>
          <w:rFonts w:ascii="Arial" w:cs="Arial" w:eastAsia="Arial" w:hAnsi="Arial"/>
          <w:sz w:val="13"/>
          <w:szCs w:val="13"/>
          <w:color w:val="auto"/>
        </w:rPr>
        <w:t>”). Unless otherwise defined herein, the terms defined in the applicable plan governing your LTIP Awards, or in the applicable LTIP Award Agreement, shall have the same defined meanings in this letter. The purpose of this letter is to provide you with certain enhanced accelerated vesting under your LTIP Award Agreements in the event of a Change in Control (as such term is defined in the applicable plan governing your LTIP Awards). The LTIP Awards and LTIP Award Agreements amended by this letter are listed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40" w:type="dxa"/>
            <w:vAlign w:val="bottom"/>
            <w:tcBorders>
              <w:top w:val="single" w:sz="8" w:color="auto"/>
              <w:left w:val="single" w:sz="8" w:color="auto"/>
              <w:bottom w:val="single" w:sz="8" w:color="auto"/>
            </w:tcBorders>
          </w:tcPr>
          <w:p>
            <w:pPr>
              <w:spacing w:after="0"/>
              <w:rPr>
                <w:sz w:val="16"/>
                <w:szCs w:val="16"/>
                <w:color w:val="auto"/>
              </w:rPr>
            </w:pPr>
          </w:p>
        </w:tc>
        <w:tc>
          <w:tcPr>
            <w:tcW w:w="236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p>
        </w:tc>
        <w:tc>
          <w:tcPr>
            <w:tcW w:w="7780" w:type="dxa"/>
            <w:vAlign w:val="bottom"/>
            <w:tcBorders>
              <w:top w:val="single" w:sz="8" w:color="auto"/>
              <w:bottom w:val="single" w:sz="8" w:color="auto"/>
              <w:right w:val="single" w:sz="8" w:color="auto"/>
            </w:tcBorders>
          </w:tcPr>
          <w:p>
            <w:pPr>
              <w:ind w:left="29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r>
              <w:rPr>
                <w:rFonts w:ascii="Arial" w:cs="Arial" w:eastAsia="Arial" w:hAnsi="Arial"/>
                <w:sz w:val="15"/>
                <w:szCs w:val="15"/>
                <w:b w:val="1"/>
                <w:bCs w:val="1"/>
                <w:color w:val="auto"/>
              </w:rPr>
              <w:t>/P</w:t>
            </w:r>
            <w:r>
              <w:rPr>
                <w:rFonts w:ascii="Arial" w:cs="Arial" w:eastAsia="Arial" w:hAnsi="Arial"/>
                <w:sz w:val="9"/>
                <w:szCs w:val="9"/>
                <w:b w:val="1"/>
                <w:bCs w:val="1"/>
                <w:color w:val="auto"/>
              </w:rPr>
              <w:t>LAN</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2020 Awards</w:t>
            </w:r>
          </w:p>
        </w:tc>
      </w:tr>
      <w:tr>
        <w:trPr>
          <w:trHeight w:val="158"/>
        </w:trPr>
        <w:tc>
          <w:tcPr>
            <w:tcW w:w="2800" w:type="dxa"/>
            <w:vAlign w:val="bottom"/>
            <w:tcBorders>
              <w:left w:val="single" w:sz="8" w:color="auto"/>
              <w:right w:val="single" w:sz="8" w:color="auto"/>
            </w:tcBorders>
            <w:gridSpan w:val="2"/>
          </w:tcPr>
          <w:p>
            <w:pPr>
              <w:ind w:left="20"/>
              <w:spacing w:after="0" w:line="158" w:lineRule="exact"/>
              <w:rPr>
                <w:sz w:val="20"/>
                <w:szCs w:val="20"/>
                <w:color w:val="auto"/>
              </w:rPr>
            </w:pPr>
            <w:r>
              <w:rPr>
                <w:rFonts w:ascii="Arial" w:cs="Arial" w:eastAsia="Arial" w:hAnsi="Arial"/>
                <w:sz w:val="15"/>
                <w:szCs w:val="15"/>
                <w:color w:val="auto"/>
              </w:rPr>
              <w:t>9,403 RSUs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0"/>
              </w:rPr>
              <w:t>Restricted Stock Unit Grant Notice (the “</w:t>
            </w:r>
            <w:r>
              <w:rPr>
                <w:rFonts w:ascii="Arial" w:cs="Arial" w:eastAsia="Arial" w:hAnsi="Arial"/>
                <w:sz w:val="15"/>
                <w:szCs w:val="15"/>
                <w:b w:val="1"/>
                <w:bCs w:val="1"/>
                <w:i w:val="1"/>
                <w:iCs w:val="1"/>
                <w:color w:val="auto"/>
                <w:w w:val="90"/>
              </w:rPr>
              <w:t>2020 RSU Agreement</w:t>
            </w:r>
            <w:r>
              <w:rPr>
                <w:rFonts w:ascii="Arial" w:cs="Arial" w:eastAsia="Arial" w:hAnsi="Arial"/>
                <w:sz w:val="15"/>
                <w:szCs w:val="15"/>
                <w:color w:val="auto"/>
                <w:w w:val="90"/>
              </w:rPr>
              <w:t>”) and the Corporation’s Incentive Award Plan (the “</w:t>
            </w:r>
            <w:r>
              <w:rPr>
                <w:rFonts w:ascii="Arial" w:cs="Arial" w:eastAsia="Arial" w:hAnsi="Arial"/>
                <w:sz w:val="15"/>
                <w:szCs w:val="15"/>
                <w:b w:val="1"/>
                <w:bCs w:val="1"/>
                <w:i w:val="1"/>
                <w:iCs w:val="1"/>
                <w:color w:val="auto"/>
                <w:w w:val="90"/>
              </w:rPr>
              <w:t>Equity Plan</w:t>
            </w:r>
            <w:r>
              <w:rPr>
                <w:rFonts w:ascii="Arial" w:cs="Arial" w:eastAsia="Arial" w:hAnsi="Arial"/>
                <w:sz w:val="15"/>
                <w:szCs w:val="15"/>
                <w:color w:val="auto"/>
                <w:w w:val="90"/>
              </w:rPr>
              <w:t>”),</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granted on March 5, 2020.</w:t>
            </w:r>
          </w:p>
        </w:tc>
      </w:tr>
      <w:tr>
        <w:trPr>
          <w:trHeight w:val="169"/>
        </w:trPr>
        <w:tc>
          <w:tcPr>
            <w:tcW w:w="44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87"/>
              </w:rPr>
              <w:t>14,105</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PSUs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Performance Stock Unit Grant Notice (the “</w:t>
            </w:r>
            <w:r>
              <w:rPr>
                <w:rFonts w:ascii="Arial" w:cs="Arial" w:eastAsia="Arial" w:hAnsi="Arial"/>
                <w:sz w:val="15"/>
                <w:szCs w:val="15"/>
                <w:b w:val="1"/>
                <w:bCs w:val="1"/>
                <w:i w:val="1"/>
                <w:iCs w:val="1"/>
                <w:color w:val="auto"/>
              </w:rPr>
              <w:t>2020 PSU Agreement</w:t>
            </w:r>
            <w:r>
              <w:rPr>
                <w:rFonts w:ascii="Arial" w:cs="Arial" w:eastAsia="Arial" w:hAnsi="Arial"/>
                <w:sz w:val="15"/>
                <w:szCs w:val="15"/>
                <w:color w:val="auto"/>
              </w:rPr>
              <w:t>”) and the Equity Plan, granted on March 5, 2020.</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2019 Awards</w:t>
            </w:r>
          </w:p>
        </w:tc>
      </w:tr>
      <w:tr>
        <w:trPr>
          <w:trHeight w:val="158"/>
        </w:trPr>
        <w:tc>
          <w:tcPr>
            <w:tcW w:w="44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87"/>
              </w:rPr>
              <w:t>15,000</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2019-2021 Award Cycle (the “</w:t>
            </w:r>
            <w:r>
              <w:rPr>
                <w:rFonts w:ascii="Arial" w:cs="Arial" w:eastAsia="Arial" w:hAnsi="Arial"/>
                <w:sz w:val="15"/>
                <w:szCs w:val="15"/>
                <w:b w:val="1"/>
                <w:bCs w:val="1"/>
                <w:i w:val="1"/>
                <w:iCs w:val="1"/>
                <w:color w:val="auto"/>
                <w:w w:val="97"/>
              </w:rPr>
              <w:t>2019 RAU Agreement</w:t>
            </w:r>
            <w:r>
              <w:rPr>
                <w:rFonts w:ascii="Arial" w:cs="Arial" w:eastAsia="Arial" w:hAnsi="Arial"/>
                <w:sz w:val="15"/>
                <w:szCs w:val="15"/>
                <w:color w:val="auto"/>
                <w:w w:val="97"/>
              </w:rPr>
              <w:t>”) and the</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44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87"/>
              </w:rPr>
              <w:t>22,500</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2019-2021 Award Cycle (the “</w:t>
            </w:r>
            <w:r>
              <w:rPr>
                <w:rFonts w:ascii="Arial" w:cs="Arial" w:eastAsia="Arial" w:hAnsi="Arial"/>
                <w:sz w:val="15"/>
                <w:szCs w:val="15"/>
                <w:b w:val="1"/>
                <w:bCs w:val="1"/>
                <w:i w:val="1"/>
                <w:iCs w:val="1"/>
                <w:color w:val="auto"/>
                <w:w w:val="90"/>
              </w:rPr>
              <w:t>2019 LTGP Agreement</w:t>
            </w:r>
            <w:r>
              <w:rPr>
                <w:rFonts w:ascii="Arial" w:cs="Arial" w:eastAsia="Arial" w:hAnsi="Arial"/>
                <w:sz w:val="15"/>
                <w:szCs w:val="15"/>
                <w:color w:val="auto"/>
                <w:w w:val="90"/>
              </w:rPr>
              <w:t>”) and the Long Term Growth Plan</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2018 Awards</w:t>
            </w:r>
          </w:p>
        </w:tc>
      </w:tr>
      <w:tr>
        <w:trPr>
          <w:trHeight w:val="158"/>
        </w:trPr>
        <w:tc>
          <w:tcPr>
            <w:tcW w:w="44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87"/>
              </w:rPr>
              <w:t>12,792</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2018-2020 Award Cycle (the “</w:t>
            </w:r>
            <w:r>
              <w:rPr>
                <w:rFonts w:ascii="Arial" w:cs="Arial" w:eastAsia="Arial" w:hAnsi="Arial"/>
                <w:sz w:val="15"/>
                <w:szCs w:val="15"/>
                <w:b w:val="1"/>
                <w:bCs w:val="1"/>
                <w:i w:val="1"/>
                <w:iCs w:val="1"/>
                <w:color w:val="auto"/>
                <w:w w:val="97"/>
              </w:rPr>
              <w:t>2018 RAU Agreement</w:t>
            </w:r>
            <w:r>
              <w:rPr>
                <w:rFonts w:ascii="Arial" w:cs="Arial" w:eastAsia="Arial" w:hAnsi="Arial"/>
                <w:sz w:val="15"/>
                <w:szCs w:val="15"/>
                <w:color w:val="auto"/>
                <w:w w:val="97"/>
              </w:rPr>
              <w:t>”) and the</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44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87"/>
              </w:rPr>
              <w:t>12,792</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2018-2020 Award Cycle (the “</w:t>
            </w:r>
            <w:r>
              <w:rPr>
                <w:rFonts w:ascii="Arial" w:cs="Arial" w:eastAsia="Arial" w:hAnsi="Arial"/>
                <w:sz w:val="15"/>
                <w:szCs w:val="15"/>
                <w:b w:val="1"/>
                <w:bCs w:val="1"/>
                <w:i w:val="1"/>
                <w:iCs w:val="1"/>
                <w:color w:val="auto"/>
                <w:w w:val="90"/>
              </w:rPr>
              <w:t>2018 LTGP Agreement</w:t>
            </w:r>
            <w:r>
              <w:rPr>
                <w:rFonts w:ascii="Arial" w:cs="Arial" w:eastAsia="Arial" w:hAnsi="Arial"/>
                <w:sz w:val="15"/>
                <w:szCs w:val="15"/>
                <w:color w:val="auto"/>
                <w:w w:val="90"/>
              </w:rPr>
              <w:t>”) and the Long Term Growth Plan</w:t>
            </w:r>
          </w:p>
        </w:tc>
      </w:tr>
      <w:tr>
        <w:trPr>
          <w:trHeight w:val="168"/>
        </w:trPr>
        <w:tc>
          <w:tcPr>
            <w:tcW w:w="280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102,462 SVP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2"/>
              </w:rPr>
              <w:t>SVP Performance Cycle Memorandum 2018-2020 Award Cycle (the “</w:t>
            </w:r>
            <w:r>
              <w:rPr>
                <w:rFonts w:ascii="Arial" w:cs="Arial" w:eastAsia="Arial" w:hAnsi="Arial"/>
                <w:sz w:val="15"/>
                <w:szCs w:val="15"/>
                <w:b w:val="1"/>
                <w:bCs w:val="1"/>
                <w:i w:val="1"/>
                <w:iCs w:val="1"/>
                <w:color w:val="auto"/>
                <w:w w:val="92"/>
              </w:rPr>
              <w:t>2018 SVP Agreement</w:t>
            </w:r>
            <w:r>
              <w:rPr>
                <w:rFonts w:ascii="Arial" w:cs="Arial" w:eastAsia="Arial" w:hAnsi="Arial"/>
                <w:sz w:val="15"/>
                <w:szCs w:val="15"/>
                <w:color w:val="auto"/>
                <w:w w:val="92"/>
              </w:rPr>
              <w:t>”) and the Shareholder Value Plan</w:t>
            </w:r>
          </w:p>
        </w:tc>
      </w:tr>
    </w:tbl>
    <w:p>
      <w:pPr>
        <w:spacing w:after="0" w:line="17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Effective immediately, your LTIP Award Agreements are hereby amended as follows:</w:t>
      </w:r>
    </w:p>
    <w:p>
      <w:pPr>
        <w:spacing w:after="0" w:line="278" w:lineRule="exact"/>
        <w:rPr>
          <w:sz w:val="20"/>
          <w:szCs w:val="20"/>
          <w:color w:val="auto"/>
        </w:rPr>
      </w:pPr>
    </w:p>
    <w:p>
      <w:pPr>
        <w:ind w:left="660" w:hanging="651"/>
        <w:spacing w:after="0"/>
        <w:tabs>
          <w:tab w:leader="none" w:pos="660" w:val="left"/>
        </w:tabs>
        <w:numPr>
          <w:ilvl w:val="0"/>
          <w:numId w:val="106"/>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 to 2020 RSU Agreement</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378460</wp:posOffset>
            </wp:positionV>
            <wp:extent cx="7171055" cy="13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190" w:name="page191"/>
    <w:bookmarkEnd w:id="190"/>
    <w:p>
      <w:pPr>
        <w:ind w:left="800"/>
        <w:spacing w:after="0"/>
        <w:rPr>
          <w:sz w:val="20"/>
          <w:szCs w:val="20"/>
          <w:color w:val="auto"/>
        </w:rPr>
      </w:pPr>
      <w:r>
        <w:rPr>
          <w:rFonts w:ascii="Arial" w:cs="Arial" w:eastAsia="Arial" w:hAnsi="Arial"/>
          <w:sz w:val="15"/>
          <w:szCs w:val="15"/>
          <w:color w:val="auto"/>
        </w:rPr>
        <w:t>The second paragraph under Section 2 (“Accelerated Vesting”) in Exhibit B to the 2020 RSU Agreement is hereby amended to read as follows:</w:t>
      </w:r>
    </w:p>
    <w:p>
      <w:pPr>
        <w:spacing w:after="0" w:line="371" w:lineRule="exact"/>
        <w:rPr>
          <w:sz w:val="20"/>
          <w:szCs w:val="20"/>
          <w:color w:val="auto"/>
        </w:rPr>
      </w:pPr>
    </w:p>
    <w:p>
      <w:pPr>
        <w:jc w:val="both"/>
        <w:ind w:left="800"/>
        <w:spacing w:after="0" w:line="284" w:lineRule="auto"/>
        <w:rPr>
          <w:sz w:val="20"/>
          <w:szCs w:val="20"/>
          <w:color w:val="auto"/>
        </w:rPr>
      </w:pPr>
      <w:r>
        <w:rPr>
          <w:rFonts w:ascii="Arial" w:cs="Arial" w:eastAsia="Arial" w:hAnsi="Arial"/>
          <w:sz w:val="14"/>
          <w:szCs w:val="14"/>
          <w:color w:val="auto"/>
        </w:rPr>
        <w:t>The Award shall also be eligible for accelerated vesting as provided in Section 12.2 of the Plan. Notwithstanding the foregoing, and notwithstanding anything to the contrary contained in the Plan, in the event of a Change in Control, provided Participant has not experienced a Termination of Service prior to the Change in Control, all of the RSUs shall accelerate, vest and be settled in full in shares of Common Stock immediately prior to such Change in Control.</w:t>
      </w:r>
    </w:p>
    <w:p>
      <w:pPr>
        <w:spacing w:after="0" w:line="333" w:lineRule="exact"/>
        <w:rPr>
          <w:sz w:val="20"/>
          <w:szCs w:val="20"/>
          <w:color w:val="auto"/>
        </w:rPr>
      </w:pPr>
    </w:p>
    <w:p>
      <w:pPr>
        <w:ind w:left="660" w:hanging="651"/>
        <w:spacing w:after="0"/>
        <w:tabs>
          <w:tab w:leader="none" w:pos="660" w:val="left"/>
        </w:tabs>
        <w:numPr>
          <w:ilvl w:val="0"/>
          <w:numId w:val="107"/>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2020 PSU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first two paragraphs under Section 2 (“Accelerated Vesting”) in Exhibit B to the PSU Agreement are hereby replaced with the following:</w:t>
      </w:r>
    </w:p>
    <w:p>
      <w:pPr>
        <w:spacing w:after="0" w:line="371" w:lineRule="exact"/>
        <w:rPr>
          <w:sz w:val="20"/>
          <w:szCs w:val="20"/>
          <w:color w:val="auto"/>
        </w:rPr>
      </w:pPr>
    </w:p>
    <w:p>
      <w:pPr>
        <w:jc w:val="both"/>
        <w:ind w:left="800"/>
        <w:spacing w:after="0" w:line="296" w:lineRule="auto"/>
        <w:rPr>
          <w:sz w:val="20"/>
          <w:szCs w:val="20"/>
          <w:color w:val="auto"/>
        </w:rPr>
      </w:pPr>
      <w:r>
        <w:rPr>
          <w:rFonts w:ascii="Arial" w:cs="Arial" w:eastAsia="Arial" w:hAnsi="Arial"/>
          <w:sz w:val="13"/>
          <w:szCs w:val="13"/>
          <w:color w:val="auto"/>
        </w:rPr>
        <w:t>In the event of Participant’s Termination of Service due to Retirement, death or Disability prior to the Payment Date and prior to the occurrence of a Change in Control, Participant will remain eligible to vest in and receive on the Payment Date (or, if earlier, the date of a Change in Control), that number of PSUs as is determined by multiplying (a) the number of PSUs that Participant would vest in as provided in Section 1 of this Exhibit B had he/she not incurred a Termination of Service prior to the Payment Date (or, in the event of a Change in Control prior to December 31, 2022,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46" w:lineRule="exact"/>
        <w:rPr>
          <w:sz w:val="20"/>
          <w:szCs w:val="20"/>
          <w:color w:val="auto"/>
        </w:rPr>
      </w:pPr>
    </w:p>
    <w:p>
      <w:pPr>
        <w:jc w:val="both"/>
        <w:ind w:left="800"/>
        <w:spacing w:after="0" w:line="253" w:lineRule="auto"/>
        <w:rPr>
          <w:sz w:val="20"/>
          <w:szCs w:val="20"/>
          <w:color w:val="auto"/>
        </w:rPr>
      </w:pPr>
      <w:r>
        <w:rPr>
          <w:rFonts w:ascii="Arial" w:cs="Arial" w:eastAsia="Arial" w:hAnsi="Arial"/>
          <w:sz w:val="15"/>
          <w:szCs w:val="15"/>
          <w:color w:val="auto"/>
        </w:rPr>
        <w:t>The Award shall also be eligible for accelerated vesting as provided in Section 12.2 of the Plan. Notwithstanding the foregoing, and notwithstanding anything to the contrary contained in the Plan, in the event of a Change in Control prior to December 31, 2022, provided Participant has not experienced a Termination of Service prior to the Change in Control, a number of PSUs equal to the Target PSUs shall accelerate, vest and be settled in shares of Common Stock immediately prior to such Change in Control.</w:t>
      </w:r>
    </w:p>
    <w:p>
      <w:pPr>
        <w:spacing w:after="0" w:line="344" w:lineRule="exact"/>
        <w:rPr>
          <w:sz w:val="20"/>
          <w:szCs w:val="20"/>
          <w:color w:val="auto"/>
        </w:rPr>
      </w:pPr>
    </w:p>
    <w:p>
      <w:pPr>
        <w:ind w:left="660" w:hanging="651"/>
        <w:spacing w:after="0"/>
        <w:tabs>
          <w:tab w:leader="none" w:pos="660" w:val="left"/>
        </w:tabs>
        <w:numPr>
          <w:ilvl w:val="0"/>
          <w:numId w:val="108"/>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(“Payment of Awards”) shall be added to the end of such Section as follows:</w:t>
      </w:r>
    </w:p>
    <w:p>
      <w:pPr>
        <w:spacing w:after="0" w:line="371" w:lineRule="exact"/>
        <w:rPr>
          <w:sz w:val="20"/>
          <w:szCs w:val="20"/>
          <w:color w:val="auto"/>
        </w:rPr>
      </w:pPr>
    </w:p>
    <w:p>
      <w:pPr>
        <w:jc w:val="both"/>
        <w:ind w:left="1200"/>
        <w:spacing w:after="0" w:line="315" w:lineRule="auto"/>
        <w:rPr>
          <w:sz w:val="20"/>
          <w:szCs w:val="20"/>
          <w:color w:val="auto"/>
        </w:rPr>
      </w:pPr>
      <w:r>
        <w:rPr>
          <w:rFonts w:ascii="Arial" w:cs="Arial" w:eastAsia="Arial" w:hAnsi="Arial"/>
          <w:sz w:val="13"/>
          <w:szCs w:val="13"/>
          <w:color w:val="auto"/>
        </w:rPr>
        <w:t>Notwithstanding anything to the contrary contained in this Memorandum or the Plan, in the event of a Change in Control, provided Participant has not experienced a termination of employment prior to the Change in Control, all of the outstanding RAUs shall accelerate, vest and be settled in shares of the Corporation’s common stock (with one share of the Corporation’s common stock paid for each vested RAU) immediately prior to such Change in Control.</w:t>
      </w:r>
    </w:p>
    <w:p>
      <w:pPr>
        <w:spacing w:after="0" w:line="305" w:lineRule="exact"/>
        <w:rPr>
          <w:sz w:val="20"/>
          <w:szCs w:val="20"/>
          <w:color w:val="auto"/>
        </w:rPr>
      </w:pPr>
    </w:p>
    <w:p>
      <w:pPr>
        <w:ind w:left="660" w:hanging="651"/>
        <w:spacing w:after="0"/>
        <w:tabs>
          <w:tab w:leader="none" w:pos="660" w:val="left"/>
        </w:tabs>
        <w:numPr>
          <w:ilvl w:val="0"/>
          <w:numId w:val="109"/>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(“Payout”) shall be added to the end of such Section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George Ball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7171055" cy="139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318" w:right="1119" w:bottom="1440" w:gutter="0" w:footer="0" w:header="0"/>
        </w:sectPr>
      </w:pPr>
    </w:p>
    <w:bookmarkStart w:id="191" w:name="page192"/>
    <w:bookmarkEnd w:id="191"/>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provided Participant has not experienced a termination of employment prior to the Change in Control, the Published Share Price for purposes of calculating the value of each outstanding RAU shall be equal to the price per share to be paid to the Corporation’s stockholders in the Change in Control. The Committee will calculate the Award that will be paid to a Participant immediately prior to the Change in Control by multiplying the number of RAUs granted to the Participant by the price per share to be paid to the Corporation’s stockholders in the Change in Control. The product of that calculation shall be the amount of a Participant’s Award payment for the 2018-2020 Cycle, which amount shall be paid, in cash, immediately prior to the Change in Control.</w:t>
      </w:r>
    </w:p>
    <w:p>
      <w:pPr>
        <w:spacing w:after="0" w:line="242" w:lineRule="exact"/>
        <w:rPr>
          <w:sz w:val="20"/>
          <w:szCs w:val="20"/>
          <w:color w:val="auto"/>
        </w:rPr>
      </w:pPr>
    </w:p>
    <w:p>
      <w:pPr>
        <w:ind w:left="660" w:hanging="651"/>
        <w:spacing w:after="0"/>
        <w:tabs>
          <w:tab w:leader="none" w:pos="660" w:val="left"/>
        </w:tabs>
        <w:numPr>
          <w:ilvl w:val="0"/>
          <w:numId w:val="110"/>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0"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 Article 6 of the Plan), the Committee will determine the final percentage of the Opportunity Target to be paid to each Participant and the percentage of the Awards that will be paid, and the resulting number of units shall vest and be settled in shares of the Corporation’s common stock (with one share of the Corporation’s common stock paid for each vested LTGP unit) immediately prior to such Change in Control (subject to pro-ration due to Retirement, death or Disability during the Performance Cycle as provided in Article 6 of the Plan).</w:t>
      </w:r>
    </w:p>
    <w:p>
      <w:pPr>
        <w:spacing w:after="0" w:line="72"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(including Article 7 of the Plan), in the event of a Change in Control prior to the completion of the Performance Cycle, provided that Participant has not experienced a termination of employment prior to the Change in Control (except as provided in Article 6 of the Plan), a number of units equal to 100% of the total Opportunity Target shall accelerate, vest and be settled in shares of the Corporation’s common stock (with one share of the Corporation’s common stock paid for each vested LTGP unit) immediately prior to such Change in Control (subject to pro-ration due to Retirement, death or Disability during the Performance Cycle and prior to the Change in Control as provided in Article 6 of the Plan).</w:t>
      </w:r>
    </w:p>
    <w:p>
      <w:pPr>
        <w:spacing w:after="0" w:line="242" w:lineRule="exact"/>
        <w:rPr>
          <w:sz w:val="20"/>
          <w:szCs w:val="20"/>
          <w:color w:val="auto"/>
        </w:rPr>
      </w:pPr>
    </w:p>
    <w:p>
      <w:pPr>
        <w:ind w:left="660" w:hanging="651"/>
        <w:spacing w:after="0"/>
        <w:tabs>
          <w:tab w:leader="none" w:pos="660" w:val="left"/>
        </w:tabs>
        <w:numPr>
          <w:ilvl w:val="0"/>
          <w:numId w:val="112"/>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7"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George Ball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7171055" cy="139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192" w:name="page193"/>
    <w:bookmarkEnd w:id="192"/>
    <w:p>
      <w:pPr>
        <w:jc w:val="both"/>
        <w:ind w:left="1600"/>
        <w:spacing w:after="0" w:line="250" w:lineRule="auto"/>
        <w:rPr>
          <w:sz w:val="20"/>
          <w:szCs w:val="20"/>
          <w:color w:val="auto"/>
        </w:rPr>
      </w:pPr>
      <w:r>
        <w:rPr>
          <w:rFonts w:ascii="Arial" w:cs="Arial" w:eastAsia="Arial" w:hAnsi="Arial"/>
          <w:sz w:val="15"/>
          <w:szCs w:val="15"/>
          <w:color w:val="auto"/>
        </w:rPr>
        <w:t>Article 6 of the Plan), the Committee will calculate the Long Term Growth Award earned for the Performance Cycle that will be paid to a Participant immediately prior to the Change in Control by multiplying the percentage of the total Opportunity Target earned as determined by the Committee in accordance with this Memorandum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75" w:lineRule="exact"/>
        <w:rPr>
          <w:sz w:val="20"/>
          <w:szCs w:val="20"/>
          <w:color w:val="auto"/>
        </w:rPr>
      </w:pPr>
    </w:p>
    <w:p>
      <w:pPr>
        <w:jc w:val="both"/>
        <w:ind w:left="1600"/>
        <w:spacing w:after="0" w:line="249"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prior to the completion of the Performance Cycle, provided Participant has not experienced a termination of employment prior to the Change in Control (except as provided in Article 6 of the Plan), the Committee will calculate the Long Term Growth Award that will be paid to a Participant immediately prior to the Change in Control by multiplying the number of units equal to 100% of the total Opportunity Target granted to the Participant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349" w:lineRule="exact"/>
        <w:rPr>
          <w:sz w:val="20"/>
          <w:szCs w:val="20"/>
          <w:color w:val="auto"/>
        </w:rPr>
      </w:pPr>
    </w:p>
    <w:p>
      <w:pPr>
        <w:ind w:left="660" w:hanging="651"/>
        <w:spacing w:after="0"/>
        <w:tabs>
          <w:tab w:leader="none" w:pos="660" w:val="left"/>
        </w:tabs>
        <w:numPr>
          <w:ilvl w:val="0"/>
          <w:numId w:val="114"/>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SVP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8 (“Calculation of Value of Performance Award”) shall be added to the end of such Section as follows:</w:t>
      </w:r>
    </w:p>
    <w:p>
      <w:pPr>
        <w:spacing w:after="0" w:line="371" w:lineRule="exact"/>
        <w:rPr>
          <w:sz w:val="20"/>
          <w:szCs w:val="20"/>
          <w:color w:val="auto"/>
        </w:rPr>
      </w:pPr>
    </w:p>
    <w:p>
      <w:pPr>
        <w:jc w:val="both"/>
        <w:ind w:left="800"/>
        <w:spacing w:after="0" w:line="270"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prior to December 31, 2020, provided Participant has not experienced a termination of employment prior to the Change in Control (except as provided in Article 6 of the Plan), the Committee will calculate the value of the 2018-2020 Performance Cycle Incentive Award that will be paid to a Participant prior to the Change in Control by subtracting (i) the per share value of the Corporation’s shares reported in February 2018 (which value shall be determined using the end of 2017 value as reported by the Corporation’s valuation consultant Houlihan, Lokey) from (ii) the price per share to be paid the Corporation’s stockholders in such Change in Control.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after December 31, 2020 but prior to the payment of the Incentive Awards, the Committee will calculate the value of the 2018-2020 Performance Cycle Incentive Award that will be paid to a Participant prior to the Change in Control in accordance with the terms of this Memorandum and the Plan.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and prior to the Change in Control.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67" w:lineRule="auto"/>
        <w:rPr>
          <w:sz w:val="20"/>
          <w:szCs w:val="20"/>
          <w:color w:val="auto"/>
        </w:rPr>
      </w:pPr>
      <w:r>
        <w:rPr>
          <w:rFonts w:ascii="Arial" w:cs="Arial" w:eastAsia="Arial" w:hAnsi="Arial"/>
          <w:sz w:val="15"/>
          <w:szCs w:val="15"/>
          <w:color w:val="auto"/>
        </w:rPr>
        <w:t>The resulting Performance Award payment for this 2018-2020 Performance Cycle upon a Change in Control will be paid immediately prior to the Change in Control, unless a Participant has made 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George Ball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7171055" cy="139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193" w:name="page194"/>
    <w:bookmarkEnd w:id="193"/>
    <w:p>
      <w:pPr>
        <w:jc w:val="both"/>
        <w:ind w:left="800" w:right="800"/>
        <w:spacing w:after="0" w:line="257" w:lineRule="auto"/>
        <w:rPr>
          <w:sz w:val="20"/>
          <w:szCs w:val="20"/>
          <w:color w:val="auto"/>
        </w:rPr>
      </w:pPr>
      <w:r>
        <w:rPr>
          <w:rFonts w:ascii="Arial" w:cs="Arial" w:eastAsia="Arial" w:hAnsi="Arial"/>
          <w:sz w:val="15"/>
          <w:szCs w:val="15"/>
          <w:color w:val="auto"/>
        </w:rPr>
        <w:t>deferred payment election under Section 5.4 of the Plan, in which case the amount otherwise payable to the Participant upon a Change in Control shall be credited to the Participant’s Deferral Account and the provisions of Sections 5.4 and 7.2 of the Plan and the Participant’s Deferral Agreement shall govern the time and method of payment.</w:t>
      </w:r>
    </w:p>
    <w:p>
      <w:pPr>
        <w:spacing w:after="0" w:line="255" w:lineRule="exact"/>
        <w:rPr>
          <w:sz w:val="20"/>
          <w:szCs w:val="20"/>
          <w:color w:val="auto"/>
        </w:rPr>
      </w:pPr>
    </w:p>
    <w:p>
      <w:pPr>
        <w:jc w:val="both"/>
        <w:ind w:firstLine="793"/>
        <w:spacing w:after="0" w:line="270" w:lineRule="auto"/>
        <w:rPr>
          <w:sz w:val="20"/>
          <w:szCs w:val="20"/>
          <w:color w:val="auto"/>
        </w:rPr>
      </w:pPr>
      <w:r>
        <w:rPr>
          <w:rFonts w:ascii="Arial" w:cs="Arial" w:eastAsia="Arial" w:hAnsi="Arial"/>
          <w:sz w:val="14"/>
          <w:szCs w:val="14"/>
          <w:color w:val="auto"/>
        </w:rPr>
        <w:t>The LTIP Award Agreements, and the plans pursuant to which the LTIP Awards were granted (to the extent inconsistent with this letter), will each be deemed amended to the extent necessary to reflect the terms of this letter. For the avoidance of doubt, the board of directors of the Corporation has approved the terms of this letter, and therefore the plans pursuant to which the LTIP Awards were granted are hereby amended in order to effect the terms and conditions of this letter. In the event of any inconsistency between the LTIP Award Agreements (as amended by this letter) and the corresponding plans pursuant to which such LTIP Awards were granted, the LTIP Awards Agreements (as amended by this letter) will govern. All other terms and conditions of your LTIP Award Agreements remain as described in the applicable LTIP Award Agreements and plans. The application of this letter agreement to your LTIP Awards shall not amend an outstanding LTIP Award Agreement to the extent such amendment would cause adverse tax consequences to you under Section 409A of the Internal Revenue Code, and any such amendment shall be null and void.</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Please acknowledge the new terms applicable to your LTIP Awards by returning a signed copy to Stacey Salazar at stacey.salazar@parsons.com.</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you have any questions or concerns, please do not hesitate to contact Stacey Salazar at stacey.salazar@parsons.com.</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Debra Fiori</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Chief People Officer</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Acknowledged, Accepted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520" w:val="left"/>
        </w:tabs>
        <w:rPr>
          <w:sz w:val="20"/>
          <w:szCs w:val="20"/>
          <w:color w:val="auto"/>
        </w:rPr>
      </w:pPr>
      <w:r>
        <w:rPr>
          <w:rFonts w:ascii="Arial" w:cs="Arial" w:eastAsia="Arial" w:hAnsi="Arial"/>
          <w:sz w:val="15"/>
          <w:szCs w:val="15"/>
          <w:color w:val="auto"/>
        </w:rPr>
        <w:t>George L. Ball</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George Ball</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ectPr>
          <w:pgSz w:w="11900" w:h="16838" w:orient="portrait"/>
          <w:cols w:equalWidth="0" w:num="1">
            <w:col w:w="11280"/>
          </w:cols>
          <w:pgMar w:left="300" w:top="406" w:right="3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5"/>
          <w:szCs w:val="15"/>
          <w:color w:val="auto"/>
        </w:rPr>
        <w:t>Exhibit 10.29</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August 10,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Chuck Harrington, Chairman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Parsons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Subject: Amendment to LTIP Awards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Dear Chuck,</w:t>
      </w:r>
    </w:p>
    <w:p>
      <w:pPr>
        <w:spacing w:after="0" w:line="93" w:lineRule="exact"/>
        <w:rPr>
          <w:sz w:val="20"/>
          <w:szCs w:val="20"/>
          <w:color w:val="auto"/>
        </w:rPr>
      </w:pPr>
    </w:p>
    <w:p>
      <w:pPr>
        <w:ind w:right="120" w:firstLine="793"/>
        <w:spacing w:after="0" w:line="305" w:lineRule="auto"/>
        <w:rPr>
          <w:sz w:val="20"/>
          <w:szCs w:val="20"/>
          <w:color w:val="auto"/>
        </w:rPr>
      </w:pPr>
      <w:r>
        <w:rPr>
          <w:rFonts w:ascii="Arial" w:cs="Arial" w:eastAsia="Arial" w:hAnsi="Arial"/>
          <w:sz w:val="13"/>
          <w:szCs w:val="13"/>
          <w:color w:val="auto"/>
        </w:rPr>
        <w:t>Parsons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has granted you the following long-term incentive awards (collectively, the “</w:t>
      </w:r>
      <w:r>
        <w:rPr>
          <w:rFonts w:ascii="Arial" w:cs="Arial" w:eastAsia="Arial" w:hAnsi="Arial"/>
          <w:sz w:val="13"/>
          <w:szCs w:val="13"/>
          <w:b w:val="1"/>
          <w:bCs w:val="1"/>
          <w:i w:val="1"/>
          <w:iCs w:val="1"/>
          <w:color w:val="auto"/>
        </w:rPr>
        <w:t>LTIP Awards</w:t>
      </w:r>
      <w:r>
        <w:rPr>
          <w:rFonts w:ascii="Arial" w:cs="Arial" w:eastAsia="Arial" w:hAnsi="Arial"/>
          <w:sz w:val="13"/>
          <w:szCs w:val="13"/>
          <w:color w:val="auto"/>
        </w:rPr>
        <w:t>”) pursuant to the agreements listed below (the “</w:t>
      </w:r>
      <w:r>
        <w:rPr>
          <w:rFonts w:ascii="Arial" w:cs="Arial" w:eastAsia="Arial" w:hAnsi="Arial"/>
          <w:sz w:val="13"/>
          <w:szCs w:val="13"/>
          <w:b w:val="1"/>
          <w:bCs w:val="1"/>
          <w:i w:val="1"/>
          <w:iCs w:val="1"/>
          <w:color w:val="auto"/>
        </w:rPr>
        <w:t>LTIP Award Agreements</w:t>
      </w:r>
      <w:r>
        <w:rPr>
          <w:rFonts w:ascii="Arial" w:cs="Arial" w:eastAsia="Arial" w:hAnsi="Arial"/>
          <w:sz w:val="13"/>
          <w:szCs w:val="13"/>
          <w:color w:val="auto"/>
        </w:rPr>
        <w:t>”). Unless otherwise defined herein, the terms defined in the applicable plan governing your LTIP Awards, or in the applicable LTIP Award Agreement, shall have the same defined meanings in this letter. The purpose of this letter is to provide you with certain enhanced accelerated vesting under your LTIP Award Agreements in the event of a Change in Control (as such term is defined in the applicable plan governing your LTIP Awards). The LTIP Awards and LTIP Award Agreements amended by this letter are listed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40" w:type="dxa"/>
            <w:vAlign w:val="bottom"/>
            <w:tcBorders>
              <w:top w:val="single" w:sz="8" w:color="auto"/>
              <w:left w:val="single" w:sz="8" w:color="auto"/>
              <w:bottom w:val="single" w:sz="8" w:color="auto"/>
            </w:tcBorders>
          </w:tcPr>
          <w:p>
            <w:pPr>
              <w:spacing w:after="0"/>
              <w:rPr>
                <w:sz w:val="16"/>
                <w:szCs w:val="16"/>
                <w:color w:val="auto"/>
              </w:rPr>
            </w:pPr>
          </w:p>
        </w:tc>
        <w:tc>
          <w:tcPr>
            <w:tcW w:w="236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p>
        </w:tc>
        <w:tc>
          <w:tcPr>
            <w:tcW w:w="7780" w:type="dxa"/>
            <w:vAlign w:val="bottom"/>
            <w:tcBorders>
              <w:top w:val="single" w:sz="8" w:color="auto"/>
              <w:bottom w:val="single" w:sz="8" w:color="auto"/>
              <w:right w:val="single" w:sz="8" w:color="auto"/>
            </w:tcBorders>
          </w:tcPr>
          <w:p>
            <w:pPr>
              <w:ind w:left="29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r>
              <w:rPr>
                <w:rFonts w:ascii="Arial" w:cs="Arial" w:eastAsia="Arial" w:hAnsi="Arial"/>
                <w:sz w:val="15"/>
                <w:szCs w:val="15"/>
                <w:b w:val="1"/>
                <w:bCs w:val="1"/>
                <w:color w:val="auto"/>
              </w:rPr>
              <w:t>/P</w:t>
            </w:r>
            <w:r>
              <w:rPr>
                <w:rFonts w:ascii="Arial" w:cs="Arial" w:eastAsia="Arial" w:hAnsi="Arial"/>
                <w:sz w:val="9"/>
                <w:szCs w:val="9"/>
                <w:b w:val="1"/>
                <w:bCs w:val="1"/>
                <w:color w:val="auto"/>
              </w:rPr>
              <w:t>LAN</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2020 Awards</w:t>
            </w:r>
          </w:p>
        </w:tc>
      </w:tr>
      <w:tr>
        <w:trPr>
          <w:trHeight w:val="158"/>
        </w:trPr>
        <w:tc>
          <w:tcPr>
            <w:tcW w:w="44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87"/>
              </w:rPr>
              <w:t>52,190</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RSUs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0"/>
              </w:rPr>
              <w:t>Restricted Stock Unit Grant Notice (the “</w:t>
            </w:r>
            <w:r>
              <w:rPr>
                <w:rFonts w:ascii="Arial" w:cs="Arial" w:eastAsia="Arial" w:hAnsi="Arial"/>
                <w:sz w:val="15"/>
                <w:szCs w:val="15"/>
                <w:b w:val="1"/>
                <w:bCs w:val="1"/>
                <w:i w:val="1"/>
                <w:iCs w:val="1"/>
                <w:color w:val="auto"/>
                <w:w w:val="90"/>
              </w:rPr>
              <w:t>2020 RSU Agreement</w:t>
            </w:r>
            <w:r>
              <w:rPr>
                <w:rFonts w:ascii="Arial" w:cs="Arial" w:eastAsia="Arial" w:hAnsi="Arial"/>
                <w:sz w:val="15"/>
                <w:szCs w:val="15"/>
                <w:color w:val="auto"/>
                <w:w w:val="90"/>
              </w:rPr>
              <w:t>”) and the Corporation’s Incentive Award Plan (the “</w:t>
            </w:r>
            <w:r>
              <w:rPr>
                <w:rFonts w:ascii="Arial" w:cs="Arial" w:eastAsia="Arial" w:hAnsi="Arial"/>
                <w:sz w:val="15"/>
                <w:szCs w:val="15"/>
                <w:b w:val="1"/>
                <w:bCs w:val="1"/>
                <w:i w:val="1"/>
                <w:iCs w:val="1"/>
                <w:color w:val="auto"/>
                <w:w w:val="90"/>
              </w:rPr>
              <w:t>Equity Plan</w:t>
            </w:r>
            <w:r>
              <w:rPr>
                <w:rFonts w:ascii="Arial" w:cs="Arial" w:eastAsia="Arial" w:hAnsi="Arial"/>
                <w:sz w:val="15"/>
                <w:szCs w:val="15"/>
                <w:color w:val="auto"/>
                <w:w w:val="90"/>
              </w:rPr>
              <w:t>”),</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granted on March 5, 2020.</w:t>
            </w:r>
          </w:p>
        </w:tc>
      </w:tr>
      <w:tr>
        <w:trPr>
          <w:trHeight w:val="169"/>
        </w:trPr>
        <w:tc>
          <w:tcPr>
            <w:tcW w:w="44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87"/>
              </w:rPr>
              <w:t>78,285</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PSUs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Performance Stock Unit Grant Notice (the “</w:t>
            </w:r>
            <w:r>
              <w:rPr>
                <w:rFonts w:ascii="Arial" w:cs="Arial" w:eastAsia="Arial" w:hAnsi="Arial"/>
                <w:sz w:val="15"/>
                <w:szCs w:val="15"/>
                <w:b w:val="1"/>
                <w:bCs w:val="1"/>
                <w:i w:val="1"/>
                <w:iCs w:val="1"/>
                <w:color w:val="auto"/>
              </w:rPr>
              <w:t>2020 PSU Agreement</w:t>
            </w:r>
            <w:r>
              <w:rPr>
                <w:rFonts w:ascii="Arial" w:cs="Arial" w:eastAsia="Arial" w:hAnsi="Arial"/>
                <w:sz w:val="15"/>
                <w:szCs w:val="15"/>
                <w:color w:val="auto"/>
              </w:rPr>
              <w:t>”) and the Equity Plan, granted on March 5, 2020.</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2019 Awards</w:t>
            </w:r>
          </w:p>
        </w:tc>
      </w:tr>
      <w:tr>
        <w:trPr>
          <w:trHeight w:val="158"/>
        </w:trPr>
        <w:tc>
          <w:tcPr>
            <w:tcW w:w="44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87"/>
              </w:rPr>
              <w:t>80,001</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2019-2021 Award Cycle (the “</w:t>
            </w:r>
            <w:r>
              <w:rPr>
                <w:rFonts w:ascii="Arial" w:cs="Arial" w:eastAsia="Arial" w:hAnsi="Arial"/>
                <w:sz w:val="15"/>
                <w:szCs w:val="15"/>
                <w:b w:val="1"/>
                <w:bCs w:val="1"/>
                <w:i w:val="1"/>
                <w:iCs w:val="1"/>
                <w:color w:val="auto"/>
                <w:w w:val="97"/>
              </w:rPr>
              <w:t>2019 RAU Agreement</w:t>
            </w:r>
            <w:r>
              <w:rPr>
                <w:rFonts w:ascii="Arial" w:cs="Arial" w:eastAsia="Arial" w:hAnsi="Arial"/>
                <w:sz w:val="15"/>
                <w:szCs w:val="15"/>
                <w:color w:val="auto"/>
                <w:w w:val="97"/>
              </w:rPr>
              <w:t>”) and the</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280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120,000 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2019-2021 Award Cycle (the “</w:t>
            </w:r>
            <w:r>
              <w:rPr>
                <w:rFonts w:ascii="Arial" w:cs="Arial" w:eastAsia="Arial" w:hAnsi="Arial"/>
                <w:sz w:val="15"/>
                <w:szCs w:val="15"/>
                <w:b w:val="1"/>
                <w:bCs w:val="1"/>
                <w:i w:val="1"/>
                <w:iCs w:val="1"/>
                <w:color w:val="auto"/>
                <w:w w:val="90"/>
              </w:rPr>
              <w:t>2019 LTGP Agreement</w:t>
            </w:r>
            <w:r>
              <w:rPr>
                <w:rFonts w:ascii="Arial" w:cs="Arial" w:eastAsia="Arial" w:hAnsi="Arial"/>
                <w:sz w:val="15"/>
                <w:szCs w:val="15"/>
                <w:color w:val="auto"/>
                <w:w w:val="90"/>
              </w:rPr>
              <w:t>”) and the Long Term Growth Plan</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2018 Awards</w:t>
            </w:r>
          </w:p>
        </w:tc>
      </w:tr>
      <w:tr>
        <w:trPr>
          <w:trHeight w:val="158"/>
        </w:trPr>
        <w:tc>
          <w:tcPr>
            <w:tcW w:w="44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87"/>
              </w:rPr>
              <w:t>66,171</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2018-2020 Award Cycle (the “</w:t>
            </w:r>
            <w:r>
              <w:rPr>
                <w:rFonts w:ascii="Arial" w:cs="Arial" w:eastAsia="Arial" w:hAnsi="Arial"/>
                <w:sz w:val="15"/>
                <w:szCs w:val="15"/>
                <w:b w:val="1"/>
                <w:bCs w:val="1"/>
                <w:i w:val="1"/>
                <w:iCs w:val="1"/>
                <w:color w:val="auto"/>
                <w:w w:val="97"/>
              </w:rPr>
              <w:t>2018 RAU Agreement</w:t>
            </w:r>
            <w:r>
              <w:rPr>
                <w:rFonts w:ascii="Arial" w:cs="Arial" w:eastAsia="Arial" w:hAnsi="Arial"/>
                <w:sz w:val="15"/>
                <w:szCs w:val="15"/>
                <w:color w:val="auto"/>
                <w:w w:val="97"/>
              </w:rPr>
              <w:t>”) and the</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44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87"/>
              </w:rPr>
              <w:t>66,171</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2018-2020 Award Cycle (the “</w:t>
            </w:r>
            <w:r>
              <w:rPr>
                <w:rFonts w:ascii="Arial" w:cs="Arial" w:eastAsia="Arial" w:hAnsi="Arial"/>
                <w:sz w:val="15"/>
                <w:szCs w:val="15"/>
                <w:b w:val="1"/>
                <w:bCs w:val="1"/>
                <w:i w:val="1"/>
                <w:iCs w:val="1"/>
                <w:color w:val="auto"/>
                <w:w w:val="90"/>
              </w:rPr>
              <w:t>2018 LTGP Agreement</w:t>
            </w:r>
            <w:r>
              <w:rPr>
                <w:rFonts w:ascii="Arial" w:cs="Arial" w:eastAsia="Arial" w:hAnsi="Arial"/>
                <w:sz w:val="15"/>
                <w:szCs w:val="15"/>
                <w:color w:val="auto"/>
                <w:w w:val="90"/>
              </w:rPr>
              <w:t>”) and the Long Term Growth Plan</w:t>
            </w:r>
          </w:p>
        </w:tc>
      </w:tr>
      <w:tr>
        <w:trPr>
          <w:trHeight w:val="168"/>
        </w:trPr>
        <w:tc>
          <w:tcPr>
            <w:tcW w:w="280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529,983 SVP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2"/>
              </w:rPr>
              <w:t>SVP Performance Cycle Memorandum 2018-2020 Award Cycle (the “</w:t>
            </w:r>
            <w:r>
              <w:rPr>
                <w:rFonts w:ascii="Arial" w:cs="Arial" w:eastAsia="Arial" w:hAnsi="Arial"/>
                <w:sz w:val="15"/>
                <w:szCs w:val="15"/>
                <w:b w:val="1"/>
                <w:bCs w:val="1"/>
                <w:i w:val="1"/>
                <w:iCs w:val="1"/>
                <w:color w:val="auto"/>
                <w:w w:val="92"/>
              </w:rPr>
              <w:t>2018 SVP Agreement</w:t>
            </w:r>
            <w:r>
              <w:rPr>
                <w:rFonts w:ascii="Arial" w:cs="Arial" w:eastAsia="Arial" w:hAnsi="Arial"/>
                <w:sz w:val="15"/>
                <w:szCs w:val="15"/>
                <w:color w:val="auto"/>
                <w:w w:val="92"/>
              </w:rPr>
              <w:t>”) and the Shareholder Value Plan</w:t>
            </w:r>
          </w:p>
        </w:tc>
      </w:tr>
    </w:tbl>
    <w:p>
      <w:pPr>
        <w:spacing w:after="0" w:line="17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Effective immediately, your LTIP Award Agreements are hereby amended as follows:</w:t>
      </w:r>
    </w:p>
    <w:p>
      <w:pPr>
        <w:spacing w:after="0" w:line="278" w:lineRule="exact"/>
        <w:rPr>
          <w:sz w:val="20"/>
          <w:szCs w:val="20"/>
          <w:color w:val="auto"/>
        </w:rPr>
      </w:pPr>
    </w:p>
    <w:p>
      <w:pPr>
        <w:ind w:left="660" w:hanging="651"/>
        <w:spacing w:after="0"/>
        <w:tabs>
          <w:tab w:leader="none" w:pos="660" w:val="left"/>
        </w:tabs>
        <w:numPr>
          <w:ilvl w:val="0"/>
          <w:numId w:val="11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 to 2020 RSU Agreement</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378460</wp:posOffset>
            </wp:positionV>
            <wp:extent cx="7171055" cy="139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317" w:right="319" w:bottom="1440" w:gutter="0" w:footer="0" w:header="0"/>
        </w:sectPr>
      </w:pPr>
    </w:p>
    <w:bookmarkStart w:id="195" w:name="page196"/>
    <w:bookmarkEnd w:id="195"/>
    <w:p>
      <w:pPr>
        <w:ind w:left="800"/>
        <w:spacing w:after="0"/>
        <w:rPr>
          <w:sz w:val="20"/>
          <w:szCs w:val="20"/>
          <w:color w:val="auto"/>
        </w:rPr>
      </w:pPr>
      <w:r>
        <w:rPr>
          <w:rFonts w:ascii="Arial" w:cs="Arial" w:eastAsia="Arial" w:hAnsi="Arial"/>
          <w:sz w:val="15"/>
          <w:szCs w:val="15"/>
          <w:color w:val="auto"/>
        </w:rPr>
        <w:t>The second paragraph under Section 2 (“Accelerated Vesting”) in Exhibit B to the 2020 RSU Agreement is hereby amended to read as follows:</w:t>
      </w:r>
    </w:p>
    <w:p>
      <w:pPr>
        <w:spacing w:after="0" w:line="371" w:lineRule="exact"/>
        <w:rPr>
          <w:sz w:val="20"/>
          <w:szCs w:val="20"/>
          <w:color w:val="auto"/>
        </w:rPr>
      </w:pPr>
    </w:p>
    <w:p>
      <w:pPr>
        <w:jc w:val="both"/>
        <w:ind w:left="800"/>
        <w:spacing w:after="0" w:line="284" w:lineRule="auto"/>
        <w:rPr>
          <w:sz w:val="20"/>
          <w:szCs w:val="20"/>
          <w:color w:val="auto"/>
        </w:rPr>
      </w:pPr>
      <w:r>
        <w:rPr>
          <w:rFonts w:ascii="Arial" w:cs="Arial" w:eastAsia="Arial" w:hAnsi="Arial"/>
          <w:sz w:val="14"/>
          <w:szCs w:val="14"/>
          <w:color w:val="auto"/>
        </w:rPr>
        <w:t>The Award shall also be eligible for accelerated vesting as provided in Section 12.2 of the Plan. Notwithstanding the foregoing, and notwithstanding anything to the contrary contained in the Plan, in the event of a Change in Control, provided Participant has not experienced a Termination of Service prior to the Change in Control, all of the RSUs shall accelerate, vest and be settled in full in shares of Common Stock immediately prior to such Change in Control.</w:t>
      </w:r>
    </w:p>
    <w:p>
      <w:pPr>
        <w:spacing w:after="0" w:line="333" w:lineRule="exact"/>
        <w:rPr>
          <w:sz w:val="20"/>
          <w:szCs w:val="20"/>
          <w:color w:val="auto"/>
        </w:rPr>
      </w:pPr>
    </w:p>
    <w:p>
      <w:pPr>
        <w:ind w:left="660" w:hanging="651"/>
        <w:spacing w:after="0"/>
        <w:tabs>
          <w:tab w:leader="none" w:pos="660" w:val="left"/>
        </w:tabs>
        <w:numPr>
          <w:ilvl w:val="0"/>
          <w:numId w:val="116"/>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2020 PSU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first two paragraphs under Section 2 (“Accelerated Vesting”) in Exhibit B to the PSU Agreement are hereby replaced with the following:</w:t>
      </w:r>
    </w:p>
    <w:p>
      <w:pPr>
        <w:spacing w:after="0" w:line="371" w:lineRule="exact"/>
        <w:rPr>
          <w:sz w:val="20"/>
          <w:szCs w:val="20"/>
          <w:color w:val="auto"/>
        </w:rPr>
      </w:pPr>
    </w:p>
    <w:p>
      <w:pPr>
        <w:jc w:val="both"/>
        <w:ind w:left="800"/>
        <w:spacing w:after="0" w:line="296" w:lineRule="auto"/>
        <w:rPr>
          <w:sz w:val="20"/>
          <w:szCs w:val="20"/>
          <w:color w:val="auto"/>
        </w:rPr>
      </w:pPr>
      <w:r>
        <w:rPr>
          <w:rFonts w:ascii="Arial" w:cs="Arial" w:eastAsia="Arial" w:hAnsi="Arial"/>
          <w:sz w:val="13"/>
          <w:szCs w:val="13"/>
          <w:color w:val="auto"/>
        </w:rPr>
        <w:t>In the event of Participant’s Termination of Service due to Retirement, death or Disability prior to the Payment Date and prior to the occurrence of a Change in Control, Participant will remain eligible to vest in and receive on the Payment Date (or, if earlier, the date of a Change in Control), that number of PSUs as is determined by multiplying (a) the number of PSUs that Participant would vest in as provided in Section 1 of this Exhibit B had he/she not incurred a Termination of Service prior to the Payment Date (or, in the event of a Change in Control prior to December 31, 2022,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46" w:lineRule="exact"/>
        <w:rPr>
          <w:sz w:val="20"/>
          <w:szCs w:val="20"/>
          <w:color w:val="auto"/>
        </w:rPr>
      </w:pPr>
    </w:p>
    <w:p>
      <w:pPr>
        <w:jc w:val="both"/>
        <w:ind w:left="800"/>
        <w:spacing w:after="0" w:line="253" w:lineRule="auto"/>
        <w:rPr>
          <w:sz w:val="20"/>
          <w:szCs w:val="20"/>
          <w:color w:val="auto"/>
        </w:rPr>
      </w:pPr>
      <w:r>
        <w:rPr>
          <w:rFonts w:ascii="Arial" w:cs="Arial" w:eastAsia="Arial" w:hAnsi="Arial"/>
          <w:sz w:val="15"/>
          <w:szCs w:val="15"/>
          <w:color w:val="auto"/>
        </w:rPr>
        <w:t>The Award shall also be eligible for accelerated vesting as provided in Section 12.2 of the Plan. Notwithstanding the foregoing, and notwithstanding anything to the contrary contained in the Plan, in the event of a Change in Control prior to December 31, 2022, provided Participant has not experienced a Termination of Service prior to the Change in Control, a number of PSUs equal to the Target PSUs shall accelerate, vest and be settled in shares of Common Stock immediately prior to such Change in Control.</w:t>
      </w:r>
    </w:p>
    <w:p>
      <w:pPr>
        <w:spacing w:after="0" w:line="344" w:lineRule="exact"/>
        <w:rPr>
          <w:sz w:val="20"/>
          <w:szCs w:val="20"/>
          <w:color w:val="auto"/>
        </w:rPr>
      </w:pPr>
    </w:p>
    <w:p>
      <w:pPr>
        <w:ind w:left="660" w:hanging="651"/>
        <w:spacing w:after="0"/>
        <w:tabs>
          <w:tab w:leader="none" w:pos="660" w:val="left"/>
        </w:tabs>
        <w:numPr>
          <w:ilvl w:val="0"/>
          <w:numId w:val="117"/>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(“Payment of Awards”) shall be added to the end of such Section as follows:</w:t>
      </w:r>
    </w:p>
    <w:p>
      <w:pPr>
        <w:spacing w:after="0" w:line="371" w:lineRule="exact"/>
        <w:rPr>
          <w:sz w:val="20"/>
          <w:szCs w:val="20"/>
          <w:color w:val="auto"/>
        </w:rPr>
      </w:pPr>
    </w:p>
    <w:p>
      <w:pPr>
        <w:jc w:val="both"/>
        <w:ind w:left="1200"/>
        <w:spacing w:after="0" w:line="315" w:lineRule="auto"/>
        <w:rPr>
          <w:sz w:val="20"/>
          <w:szCs w:val="20"/>
          <w:color w:val="auto"/>
        </w:rPr>
      </w:pPr>
      <w:r>
        <w:rPr>
          <w:rFonts w:ascii="Arial" w:cs="Arial" w:eastAsia="Arial" w:hAnsi="Arial"/>
          <w:sz w:val="13"/>
          <w:szCs w:val="13"/>
          <w:color w:val="auto"/>
        </w:rPr>
        <w:t>Notwithstanding anything to the contrary contained in this Memorandum or the Plan, in the event of a Change in Control, provided Participant has not experienced a termination of employment prior to the Change in Control, all of the outstanding RAUs shall accelerate, vest and be settled in shares of the Corporation’s common stock (with one share of the Corporation’s common stock paid for each vested RAU) immediately prior to such Change in Control.</w:t>
      </w:r>
    </w:p>
    <w:p>
      <w:pPr>
        <w:spacing w:after="0" w:line="305" w:lineRule="exact"/>
        <w:rPr>
          <w:sz w:val="20"/>
          <w:szCs w:val="20"/>
          <w:color w:val="auto"/>
        </w:rPr>
      </w:pPr>
    </w:p>
    <w:p>
      <w:pPr>
        <w:ind w:left="660" w:hanging="651"/>
        <w:spacing w:after="0"/>
        <w:tabs>
          <w:tab w:leader="none" w:pos="660" w:val="left"/>
        </w:tabs>
        <w:numPr>
          <w:ilvl w:val="0"/>
          <w:numId w:val="118"/>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(“Payout”) shall be added to the end of such Section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Chuck Harrington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318" w:right="1119" w:bottom="1440" w:gutter="0" w:footer="0" w:header="0"/>
        </w:sectPr>
      </w:pPr>
    </w:p>
    <w:bookmarkStart w:id="196" w:name="page197"/>
    <w:bookmarkEnd w:id="196"/>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provided Participant has not experienced a termination of employment prior to the Change in Control, the Published Share Price for purposes of calculating the value of each outstanding RAU shall be equal to the price per share to be paid to the Corporation’s stockholders in the Change in Control. The Committee will calculate the Award that will be paid to a Participant immediately prior to the Change in Control by multiplying the number of RAUs granted to the Participant by the price per share to be paid to the Corporation’s stockholders in the Change in Control. The product of that calculation shall be the amount of a Participant’s Award payment for the 2018-2020 Cycle, which amount shall be paid, in cash, immediately prior to the Change in Control.</w:t>
      </w:r>
    </w:p>
    <w:p>
      <w:pPr>
        <w:spacing w:after="0" w:line="242" w:lineRule="exact"/>
        <w:rPr>
          <w:sz w:val="20"/>
          <w:szCs w:val="20"/>
          <w:color w:val="auto"/>
        </w:rPr>
      </w:pPr>
    </w:p>
    <w:p>
      <w:pPr>
        <w:ind w:left="660" w:hanging="651"/>
        <w:spacing w:after="0"/>
        <w:tabs>
          <w:tab w:leader="none" w:pos="660" w:val="left"/>
        </w:tabs>
        <w:numPr>
          <w:ilvl w:val="0"/>
          <w:numId w:val="119"/>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0"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 Article 6 of the Plan), the Committee will determine the final percentage of the Opportunity Target to be paid to each Participant and the percentage of the Awards that will be paid, and the resulting number of units shall vest and be settled in shares of the Corporation’s common stock (with one share of the Corporation’s common stock paid for each vested LTGP unit) immediately prior to such Change in Control (subject to pro-ration due to Retirement, death or Disability during the Performance Cycle as provided in Article 6 of the Plan).</w:t>
      </w:r>
    </w:p>
    <w:p>
      <w:pPr>
        <w:spacing w:after="0" w:line="72"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(including Article 7 of the Plan), in the event of a Change in Control prior to the completion of the Performance Cycle, provided that Participant has not experienced a termination of employment prior to the Change in Control (except as provided in Article 6 of the Plan), a number of units equal to 100% of the total Opportunity Target shall accelerate, vest and be settled in shares of the Corporation’s common stock (with one share of the Corporation’s common stock paid for each vested LTGP unit) immediately prior to such Change in Control (subject to pro-ration due to Retirement, death or Disability during the Performance Cycle and prior to the Change in Control as provided in Article 6 of the Plan).</w:t>
      </w:r>
    </w:p>
    <w:p>
      <w:pPr>
        <w:spacing w:after="0" w:line="242" w:lineRule="exact"/>
        <w:rPr>
          <w:sz w:val="20"/>
          <w:szCs w:val="20"/>
          <w:color w:val="auto"/>
        </w:rPr>
      </w:pPr>
    </w:p>
    <w:p>
      <w:pPr>
        <w:ind w:left="660" w:hanging="651"/>
        <w:spacing w:after="0"/>
        <w:tabs>
          <w:tab w:leader="none" w:pos="660" w:val="left"/>
        </w:tabs>
        <w:numPr>
          <w:ilvl w:val="0"/>
          <w:numId w:val="121"/>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7"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Chuck Harrington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197" w:name="page198"/>
    <w:bookmarkEnd w:id="197"/>
    <w:p>
      <w:pPr>
        <w:jc w:val="both"/>
        <w:ind w:left="1600"/>
        <w:spacing w:after="0" w:line="250" w:lineRule="auto"/>
        <w:rPr>
          <w:sz w:val="20"/>
          <w:szCs w:val="20"/>
          <w:color w:val="auto"/>
        </w:rPr>
      </w:pPr>
      <w:r>
        <w:rPr>
          <w:rFonts w:ascii="Arial" w:cs="Arial" w:eastAsia="Arial" w:hAnsi="Arial"/>
          <w:sz w:val="15"/>
          <w:szCs w:val="15"/>
          <w:color w:val="auto"/>
        </w:rPr>
        <w:t>Article 6 of the Plan), the Committee will calculate the Long Term Growth Award earned for the Performance Cycle that will be paid to a Participant immediately prior to the Change in Control by multiplying the percentage of the total Opportunity Target earned as determined by the Committee in accordance with this Memorandum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75" w:lineRule="exact"/>
        <w:rPr>
          <w:sz w:val="20"/>
          <w:szCs w:val="20"/>
          <w:color w:val="auto"/>
        </w:rPr>
      </w:pPr>
    </w:p>
    <w:p>
      <w:pPr>
        <w:jc w:val="both"/>
        <w:ind w:left="1600"/>
        <w:spacing w:after="0" w:line="249"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prior to the completion of the Performance Cycle, provided Participant has not experienced a termination of employment prior to the Change in Control (except as provided in Article 6 of the Plan), the Committee will calculate the Long Term Growth Award that will be paid to a Participant immediately prior to the Change in Control by multiplying the number of units equal to 100% of the total Opportunity Target granted to the Participant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349" w:lineRule="exact"/>
        <w:rPr>
          <w:sz w:val="20"/>
          <w:szCs w:val="20"/>
          <w:color w:val="auto"/>
        </w:rPr>
      </w:pPr>
    </w:p>
    <w:p>
      <w:pPr>
        <w:ind w:left="660" w:hanging="651"/>
        <w:spacing w:after="0"/>
        <w:tabs>
          <w:tab w:leader="none" w:pos="660" w:val="left"/>
        </w:tabs>
        <w:numPr>
          <w:ilvl w:val="0"/>
          <w:numId w:val="123"/>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SVP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8 (“Calculation of Value of Performance Award”) shall be added to the end of such Section as follows:</w:t>
      </w:r>
    </w:p>
    <w:p>
      <w:pPr>
        <w:spacing w:after="0" w:line="371" w:lineRule="exact"/>
        <w:rPr>
          <w:sz w:val="20"/>
          <w:szCs w:val="20"/>
          <w:color w:val="auto"/>
        </w:rPr>
      </w:pPr>
    </w:p>
    <w:p>
      <w:pPr>
        <w:jc w:val="both"/>
        <w:ind w:left="800"/>
        <w:spacing w:after="0" w:line="270"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prior to December 31, 2020, provided Participant has not experienced a termination of employment prior to the Change in Control (except as provided in Article 6 of the Plan), the Committee will calculate the value of the 2018-2020 Performance Cycle Incentive Award that will be paid to a Participant prior to the Change in Control by subtracting (i) the per share value of the Corporation’s shares reported in February 2018 (which value shall be determined using the end of 2017 value as reported by the Corporation’s valuation consultant Houlihan, Lokey) from (ii) the price per share to be paid the Corporation’s stockholders in such Change in Control.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after December 31, 2020 but prior to the payment of the Incentive Awards, the Committee will calculate the value of the 2018-2020 Performance Cycle Incentive Award that will be paid to a Participant prior to the Change in Control in accordance with the terms of this Memorandum and the Plan.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and prior to the Change in Control.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67" w:lineRule="auto"/>
        <w:rPr>
          <w:sz w:val="20"/>
          <w:szCs w:val="20"/>
          <w:color w:val="auto"/>
        </w:rPr>
      </w:pPr>
      <w:r>
        <w:rPr>
          <w:rFonts w:ascii="Arial" w:cs="Arial" w:eastAsia="Arial" w:hAnsi="Arial"/>
          <w:sz w:val="15"/>
          <w:szCs w:val="15"/>
          <w:color w:val="auto"/>
        </w:rPr>
        <w:t>The resulting Performance Award payment for this 2018-2020 Performance Cycle upon a Change in Control will be paid immediately prior to the Change in Control, unless a Participant has made 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Chuck Harrington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198" w:name="page199"/>
    <w:bookmarkEnd w:id="198"/>
    <w:p>
      <w:pPr>
        <w:jc w:val="both"/>
        <w:ind w:left="800" w:right="800"/>
        <w:spacing w:after="0" w:line="257" w:lineRule="auto"/>
        <w:rPr>
          <w:sz w:val="20"/>
          <w:szCs w:val="20"/>
          <w:color w:val="auto"/>
        </w:rPr>
      </w:pPr>
      <w:r>
        <w:rPr>
          <w:rFonts w:ascii="Arial" w:cs="Arial" w:eastAsia="Arial" w:hAnsi="Arial"/>
          <w:sz w:val="15"/>
          <w:szCs w:val="15"/>
          <w:color w:val="auto"/>
        </w:rPr>
        <w:t>deferred payment election under Section 5.4 of the Plan, in which case the amount otherwise payable to the Participant upon a Change in Control shall be credited to the Participant’s Deferral Account and the provisions of Sections 5.4 and 7.2 of the Plan and the Participant’s Deferral Agreement shall govern the time and method of payment.</w:t>
      </w:r>
    </w:p>
    <w:p>
      <w:pPr>
        <w:spacing w:after="0" w:line="255" w:lineRule="exact"/>
        <w:rPr>
          <w:sz w:val="20"/>
          <w:szCs w:val="20"/>
          <w:color w:val="auto"/>
        </w:rPr>
      </w:pPr>
    </w:p>
    <w:p>
      <w:pPr>
        <w:jc w:val="both"/>
        <w:ind w:firstLine="793"/>
        <w:spacing w:after="0" w:line="270" w:lineRule="auto"/>
        <w:rPr>
          <w:sz w:val="20"/>
          <w:szCs w:val="20"/>
          <w:color w:val="auto"/>
        </w:rPr>
      </w:pPr>
      <w:r>
        <w:rPr>
          <w:rFonts w:ascii="Arial" w:cs="Arial" w:eastAsia="Arial" w:hAnsi="Arial"/>
          <w:sz w:val="14"/>
          <w:szCs w:val="14"/>
          <w:color w:val="auto"/>
        </w:rPr>
        <w:t>The LTIP Award Agreements, and the plans pursuant to which the LTIP Awards were granted (to the extent inconsistent with this letter), will each be deemed amended to the extent necessary to reflect the terms of this letter. For the avoidance of doubt, the board of directors of the Corporation has approved the terms of this letter, and therefore the plans pursuant to which the LTIP Awards were granted are hereby amended in order to effect the terms and conditions of this letter. In the event of any inconsistency between the LTIP Award Agreements (as amended by this letter) and the corresponding plans pursuant to which such LTIP Awards were granted, the LTIP Awards Agreements (as amended by this letter) will govern. All other terms and conditions of your LTIP Award Agreements remain as described in the applicable LTIP Award Agreements and plans. The application of this letter agreement to your LTIP Awards shall not amend an outstanding LTIP Award Agreement to the extent such amendment would cause adverse tax consequences to you under Section 409A of the Internal Revenue Code, and any such amendment shall be null and void.</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Please acknowledge the new terms applicable to your LTIP Awards by returning a signed copy to Stacey Salazar at stacey.salazar@parsons.com.</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you have any questions or concerns, please do not hesitate to contact Stacey Salazar at stacey.salazar@parsons.com.</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Debra Fiori</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Chief People Officer</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Acknowledged, Accepted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940" w:val="left"/>
        </w:tabs>
        <w:rPr>
          <w:sz w:val="20"/>
          <w:szCs w:val="20"/>
          <w:color w:val="auto"/>
        </w:rPr>
      </w:pPr>
      <w:r>
        <w:rPr>
          <w:rFonts w:ascii="Arial" w:cs="Arial" w:eastAsia="Arial" w:hAnsi="Arial"/>
          <w:sz w:val="15"/>
          <w:szCs w:val="15"/>
          <w:color w:val="auto"/>
        </w:rPr>
        <w:t>Charles L. Harrington</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Chuck Harrington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ectPr>
          <w:pgSz w:w="11900" w:h="16838" w:orient="portrait"/>
          <w:cols w:equalWidth="0" w:num="1">
            <w:col w:w="11280"/>
          </w:cols>
          <w:pgMar w:left="300" w:top="406" w:right="3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5"/>
          <w:szCs w:val="15"/>
          <w:color w:val="auto"/>
        </w:rPr>
        <w:t>Exhibit 10.30</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August 10,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Carey Smith, President and Chief Operating Officer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Parsons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Subject: Amendment to LTIP Awards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Dear Carey,</w:t>
      </w:r>
    </w:p>
    <w:p>
      <w:pPr>
        <w:spacing w:after="0" w:line="93" w:lineRule="exact"/>
        <w:rPr>
          <w:sz w:val="20"/>
          <w:szCs w:val="20"/>
          <w:color w:val="auto"/>
        </w:rPr>
      </w:pPr>
    </w:p>
    <w:p>
      <w:pPr>
        <w:ind w:right="120" w:firstLine="793"/>
        <w:spacing w:after="0" w:line="305" w:lineRule="auto"/>
        <w:rPr>
          <w:sz w:val="20"/>
          <w:szCs w:val="20"/>
          <w:color w:val="auto"/>
        </w:rPr>
      </w:pPr>
      <w:r>
        <w:rPr>
          <w:rFonts w:ascii="Arial" w:cs="Arial" w:eastAsia="Arial" w:hAnsi="Arial"/>
          <w:sz w:val="13"/>
          <w:szCs w:val="13"/>
          <w:color w:val="auto"/>
        </w:rPr>
        <w:t>Parsons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has granted you the following long-term incentive awards (collectively, the “</w:t>
      </w:r>
      <w:r>
        <w:rPr>
          <w:rFonts w:ascii="Arial" w:cs="Arial" w:eastAsia="Arial" w:hAnsi="Arial"/>
          <w:sz w:val="13"/>
          <w:szCs w:val="13"/>
          <w:b w:val="1"/>
          <w:bCs w:val="1"/>
          <w:i w:val="1"/>
          <w:iCs w:val="1"/>
          <w:color w:val="auto"/>
        </w:rPr>
        <w:t>LTIP Awards</w:t>
      </w:r>
      <w:r>
        <w:rPr>
          <w:rFonts w:ascii="Arial" w:cs="Arial" w:eastAsia="Arial" w:hAnsi="Arial"/>
          <w:sz w:val="13"/>
          <w:szCs w:val="13"/>
          <w:color w:val="auto"/>
        </w:rPr>
        <w:t>”) pursuant to the agreements listed below (the “</w:t>
      </w:r>
      <w:r>
        <w:rPr>
          <w:rFonts w:ascii="Arial" w:cs="Arial" w:eastAsia="Arial" w:hAnsi="Arial"/>
          <w:sz w:val="13"/>
          <w:szCs w:val="13"/>
          <w:b w:val="1"/>
          <w:bCs w:val="1"/>
          <w:i w:val="1"/>
          <w:iCs w:val="1"/>
          <w:color w:val="auto"/>
        </w:rPr>
        <w:t>LTIP Award Agreements</w:t>
      </w:r>
      <w:r>
        <w:rPr>
          <w:rFonts w:ascii="Arial" w:cs="Arial" w:eastAsia="Arial" w:hAnsi="Arial"/>
          <w:sz w:val="13"/>
          <w:szCs w:val="13"/>
          <w:color w:val="auto"/>
        </w:rPr>
        <w:t>”). Unless otherwise defined herein, the terms defined in the applicable plan governing your LTIP Awards, or in the applicable LTIP Award Agreement, shall have the same defined meanings in this letter. The purpose of this letter is to provide you with certain enhanced accelerated vesting under your LTIP Award Agreements in the event of a Change in Control (as such term is defined in the applicable plan governing your LTIP Awards). The LTIP Awards and LTIP Award Agreements amended by this letter are listed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440" w:type="dxa"/>
            <w:vAlign w:val="bottom"/>
            <w:tcBorders>
              <w:top w:val="single" w:sz="8" w:color="auto"/>
              <w:left w:val="single" w:sz="8" w:color="auto"/>
              <w:bottom w:val="single" w:sz="8" w:color="auto"/>
            </w:tcBorders>
          </w:tcPr>
          <w:p>
            <w:pPr>
              <w:spacing w:after="0"/>
              <w:rPr>
                <w:sz w:val="16"/>
                <w:szCs w:val="16"/>
                <w:color w:val="auto"/>
              </w:rPr>
            </w:pPr>
          </w:p>
        </w:tc>
        <w:tc>
          <w:tcPr>
            <w:tcW w:w="236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p>
        </w:tc>
        <w:tc>
          <w:tcPr>
            <w:tcW w:w="7780" w:type="dxa"/>
            <w:vAlign w:val="bottom"/>
            <w:tcBorders>
              <w:top w:val="single" w:sz="8" w:color="auto"/>
              <w:bottom w:val="single" w:sz="8" w:color="auto"/>
              <w:right w:val="single" w:sz="8" w:color="auto"/>
            </w:tcBorders>
          </w:tcPr>
          <w:p>
            <w:pPr>
              <w:ind w:left="29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r>
              <w:rPr>
                <w:rFonts w:ascii="Arial" w:cs="Arial" w:eastAsia="Arial" w:hAnsi="Arial"/>
                <w:sz w:val="15"/>
                <w:szCs w:val="15"/>
                <w:b w:val="1"/>
                <w:bCs w:val="1"/>
                <w:color w:val="auto"/>
              </w:rPr>
              <w:t>/P</w:t>
            </w:r>
            <w:r>
              <w:rPr>
                <w:rFonts w:ascii="Arial" w:cs="Arial" w:eastAsia="Arial" w:hAnsi="Arial"/>
                <w:sz w:val="9"/>
                <w:szCs w:val="9"/>
                <w:b w:val="1"/>
                <w:bCs w:val="1"/>
                <w:color w:val="auto"/>
              </w:rPr>
              <w:t>LAN</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2020 Awards</w:t>
            </w:r>
          </w:p>
        </w:tc>
      </w:tr>
      <w:tr>
        <w:trPr>
          <w:trHeight w:val="158"/>
        </w:trPr>
        <w:tc>
          <w:tcPr>
            <w:tcW w:w="440" w:type="dxa"/>
            <w:vAlign w:val="bottom"/>
            <w:tcBorders>
              <w:left w:val="single" w:sz="8" w:color="auto"/>
            </w:tcBorders>
          </w:tcPr>
          <w:p>
            <w:pPr>
              <w:jc w:val="right"/>
              <w:spacing w:after="0" w:line="158" w:lineRule="exact"/>
              <w:rPr>
                <w:sz w:val="20"/>
                <w:szCs w:val="20"/>
                <w:color w:val="auto"/>
              </w:rPr>
            </w:pPr>
            <w:r>
              <w:rPr>
                <w:rFonts w:ascii="Arial" w:cs="Arial" w:eastAsia="Arial" w:hAnsi="Arial"/>
                <w:sz w:val="15"/>
                <w:szCs w:val="15"/>
                <w:color w:val="auto"/>
                <w:w w:val="87"/>
              </w:rPr>
              <w:t>35,000</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RSUs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0"/>
              </w:rPr>
              <w:t>Restricted Stock Unit Grant Notice (the “</w:t>
            </w:r>
            <w:r>
              <w:rPr>
                <w:rFonts w:ascii="Arial" w:cs="Arial" w:eastAsia="Arial" w:hAnsi="Arial"/>
                <w:sz w:val="15"/>
                <w:szCs w:val="15"/>
                <w:b w:val="1"/>
                <w:bCs w:val="1"/>
                <w:i w:val="1"/>
                <w:iCs w:val="1"/>
                <w:color w:val="auto"/>
                <w:w w:val="90"/>
              </w:rPr>
              <w:t>2020 RSU Agreement</w:t>
            </w:r>
            <w:r>
              <w:rPr>
                <w:rFonts w:ascii="Arial" w:cs="Arial" w:eastAsia="Arial" w:hAnsi="Arial"/>
                <w:sz w:val="15"/>
                <w:szCs w:val="15"/>
                <w:color w:val="auto"/>
                <w:w w:val="90"/>
              </w:rPr>
              <w:t>”) and the Corporation’s Incentive Award Plan (the “</w:t>
            </w:r>
            <w:r>
              <w:rPr>
                <w:rFonts w:ascii="Arial" w:cs="Arial" w:eastAsia="Arial" w:hAnsi="Arial"/>
                <w:sz w:val="15"/>
                <w:szCs w:val="15"/>
                <w:b w:val="1"/>
                <w:bCs w:val="1"/>
                <w:i w:val="1"/>
                <w:iCs w:val="1"/>
                <w:color w:val="auto"/>
                <w:w w:val="90"/>
              </w:rPr>
              <w:t>Equity Plan</w:t>
            </w:r>
            <w:r>
              <w:rPr>
                <w:rFonts w:ascii="Arial" w:cs="Arial" w:eastAsia="Arial" w:hAnsi="Arial"/>
                <w:sz w:val="15"/>
                <w:szCs w:val="15"/>
                <w:color w:val="auto"/>
                <w:w w:val="90"/>
              </w:rPr>
              <w:t>”),</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granted on January 21, 2020.</w:t>
            </w:r>
          </w:p>
        </w:tc>
      </w:tr>
      <w:tr>
        <w:trPr>
          <w:trHeight w:val="169"/>
        </w:trPr>
        <w:tc>
          <w:tcPr>
            <w:tcW w:w="440" w:type="dxa"/>
            <w:vAlign w:val="bottom"/>
            <w:tcBorders>
              <w:left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14,651</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RSUs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Restricted Stock Unit Grant Notice (the “</w:t>
            </w:r>
            <w:r>
              <w:rPr>
                <w:rFonts w:ascii="Arial" w:cs="Arial" w:eastAsia="Arial" w:hAnsi="Arial"/>
                <w:sz w:val="15"/>
                <w:szCs w:val="15"/>
                <w:b w:val="1"/>
                <w:bCs w:val="1"/>
                <w:i w:val="1"/>
                <w:iCs w:val="1"/>
                <w:color w:val="auto"/>
              </w:rPr>
              <w:t>2020 RSU Agreement</w:t>
            </w:r>
            <w:r>
              <w:rPr>
                <w:rFonts w:ascii="Arial" w:cs="Arial" w:eastAsia="Arial" w:hAnsi="Arial"/>
                <w:sz w:val="15"/>
                <w:szCs w:val="15"/>
                <w:color w:val="auto"/>
              </w:rPr>
              <w:t>”) and the Equity Plan, granted on March 5, 2020.</w:t>
            </w:r>
          </w:p>
        </w:tc>
      </w:tr>
      <w:tr>
        <w:trPr>
          <w:trHeight w:val="168"/>
        </w:trPr>
        <w:tc>
          <w:tcPr>
            <w:tcW w:w="440" w:type="dxa"/>
            <w:vAlign w:val="bottom"/>
            <w:tcBorders>
              <w:left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21,977</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PSUs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Performance Stock Unit Grant Notice (the “</w:t>
            </w:r>
            <w:r>
              <w:rPr>
                <w:rFonts w:ascii="Arial" w:cs="Arial" w:eastAsia="Arial" w:hAnsi="Arial"/>
                <w:sz w:val="15"/>
                <w:szCs w:val="15"/>
                <w:b w:val="1"/>
                <w:bCs w:val="1"/>
                <w:i w:val="1"/>
                <w:iCs w:val="1"/>
                <w:color w:val="auto"/>
              </w:rPr>
              <w:t>2020 PSU Agreement</w:t>
            </w:r>
            <w:r>
              <w:rPr>
                <w:rFonts w:ascii="Arial" w:cs="Arial" w:eastAsia="Arial" w:hAnsi="Arial"/>
                <w:sz w:val="15"/>
                <w:szCs w:val="15"/>
                <w:color w:val="auto"/>
              </w:rPr>
              <w:t>”) and the Equity Plan, granted on March 5, 2020.</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2019 Awards</w:t>
            </w:r>
          </w:p>
        </w:tc>
      </w:tr>
      <w:tr>
        <w:trPr>
          <w:trHeight w:val="158"/>
        </w:trPr>
        <w:tc>
          <w:tcPr>
            <w:tcW w:w="440" w:type="dxa"/>
            <w:vAlign w:val="bottom"/>
            <w:tcBorders>
              <w:left w:val="single" w:sz="8" w:color="auto"/>
            </w:tcBorders>
          </w:tcPr>
          <w:p>
            <w:pPr>
              <w:jc w:val="right"/>
              <w:spacing w:after="0" w:line="158" w:lineRule="exact"/>
              <w:rPr>
                <w:sz w:val="20"/>
                <w:szCs w:val="20"/>
                <w:color w:val="auto"/>
              </w:rPr>
            </w:pPr>
            <w:r>
              <w:rPr>
                <w:rFonts w:ascii="Arial" w:cs="Arial" w:eastAsia="Arial" w:hAnsi="Arial"/>
                <w:sz w:val="15"/>
                <w:szCs w:val="15"/>
                <w:color w:val="auto"/>
                <w:w w:val="87"/>
              </w:rPr>
              <w:t>16,668</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2019-2021 Award Cycle (the “</w:t>
            </w:r>
            <w:r>
              <w:rPr>
                <w:rFonts w:ascii="Arial" w:cs="Arial" w:eastAsia="Arial" w:hAnsi="Arial"/>
                <w:sz w:val="15"/>
                <w:szCs w:val="15"/>
                <w:b w:val="1"/>
                <w:bCs w:val="1"/>
                <w:i w:val="1"/>
                <w:iCs w:val="1"/>
                <w:color w:val="auto"/>
                <w:w w:val="97"/>
              </w:rPr>
              <w:t>2019 RAU Agreement</w:t>
            </w:r>
            <w:r>
              <w:rPr>
                <w:rFonts w:ascii="Arial" w:cs="Arial" w:eastAsia="Arial" w:hAnsi="Arial"/>
                <w:sz w:val="15"/>
                <w:szCs w:val="15"/>
                <w:color w:val="auto"/>
                <w:w w:val="97"/>
              </w:rPr>
              <w:t>”) and the</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440" w:type="dxa"/>
            <w:vAlign w:val="bottom"/>
            <w:tcBorders>
              <w:left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24,999</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2019-2021 Award Cycle (the “</w:t>
            </w:r>
            <w:r>
              <w:rPr>
                <w:rFonts w:ascii="Arial" w:cs="Arial" w:eastAsia="Arial" w:hAnsi="Arial"/>
                <w:sz w:val="15"/>
                <w:szCs w:val="15"/>
                <w:b w:val="1"/>
                <w:bCs w:val="1"/>
                <w:i w:val="1"/>
                <w:iCs w:val="1"/>
                <w:color w:val="auto"/>
                <w:w w:val="90"/>
              </w:rPr>
              <w:t>2019 LTGP Agreement</w:t>
            </w:r>
            <w:r>
              <w:rPr>
                <w:rFonts w:ascii="Arial" w:cs="Arial" w:eastAsia="Arial" w:hAnsi="Arial"/>
                <w:sz w:val="15"/>
                <w:szCs w:val="15"/>
                <w:color w:val="auto"/>
                <w:w w:val="90"/>
              </w:rPr>
              <w:t>”) and the Long Term Growth Plan</w:t>
            </w: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36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2018 Awards</w:t>
            </w:r>
          </w:p>
        </w:tc>
      </w:tr>
      <w:tr>
        <w:trPr>
          <w:trHeight w:val="158"/>
        </w:trPr>
        <w:tc>
          <w:tcPr>
            <w:tcW w:w="440" w:type="dxa"/>
            <w:vAlign w:val="bottom"/>
            <w:tcBorders>
              <w:left w:val="single" w:sz="8" w:color="auto"/>
            </w:tcBorders>
          </w:tcPr>
          <w:p>
            <w:pPr>
              <w:jc w:val="right"/>
              <w:spacing w:after="0" w:line="158" w:lineRule="exact"/>
              <w:rPr>
                <w:sz w:val="20"/>
                <w:szCs w:val="20"/>
                <w:color w:val="auto"/>
              </w:rPr>
            </w:pPr>
            <w:r>
              <w:rPr>
                <w:rFonts w:ascii="Arial" w:cs="Arial" w:eastAsia="Arial" w:hAnsi="Arial"/>
                <w:sz w:val="15"/>
                <w:szCs w:val="15"/>
                <w:color w:val="auto"/>
                <w:w w:val="87"/>
              </w:rPr>
              <w:t>12,267</w:t>
            </w:r>
          </w:p>
        </w:tc>
        <w:tc>
          <w:tcPr>
            <w:tcW w:w="2360" w:type="dxa"/>
            <w:vAlign w:val="bottom"/>
            <w:tcBorders>
              <w:right w:val="single" w:sz="8" w:color="auto"/>
            </w:tcBorders>
          </w:tcPr>
          <w:p>
            <w:pPr>
              <w:ind w:left="20"/>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2018-2020 Award Cycle (the “</w:t>
            </w:r>
            <w:r>
              <w:rPr>
                <w:rFonts w:ascii="Arial" w:cs="Arial" w:eastAsia="Arial" w:hAnsi="Arial"/>
                <w:sz w:val="15"/>
                <w:szCs w:val="15"/>
                <w:b w:val="1"/>
                <w:bCs w:val="1"/>
                <w:i w:val="1"/>
                <w:iCs w:val="1"/>
                <w:color w:val="auto"/>
                <w:w w:val="97"/>
              </w:rPr>
              <w:t>2018 RAU Agreement</w:t>
            </w:r>
            <w:r>
              <w:rPr>
                <w:rFonts w:ascii="Arial" w:cs="Arial" w:eastAsia="Arial" w:hAnsi="Arial"/>
                <w:sz w:val="15"/>
                <w:szCs w:val="15"/>
                <w:color w:val="auto"/>
                <w:w w:val="97"/>
              </w:rPr>
              <w:t>”) and the</w:t>
            </w:r>
          </w:p>
        </w:tc>
      </w:tr>
      <w:tr>
        <w:trPr>
          <w:trHeight w:val="188"/>
        </w:trPr>
        <w:tc>
          <w:tcPr>
            <w:tcW w:w="440" w:type="dxa"/>
            <w:vAlign w:val="bottom"/>
            <w:tcBorders>
              <w:left w:val="single" w:sz="8" w:color="auto"/>
              <w:bottom w:val="single" w:sz="8" w:color="auto"/>
            </w:tcBorders>
          </w:tcPr>
          <w:p>
            <w:pPr>
              <w:spacing w:after="0"/>
              <w:rPr>
                <w:sz w:val="16"/>
                <w:szCs w:val="16"/>
                <w:color w:val="auto"/>
              </w:rPr>
            </w:pPr>
          </w:p>
        </w:tc>
        <w:tc>
          <w:tcPr>
            <w:tcW w:w="236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440" w:type="dxa"/>
            <w:vAlign w:val="bottom"/>
            <w:tcBorders>
              <w:left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12,267</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2018-2020 Award Cycle (the “</w:t>
            </w:r>
            <w:r>
              <w:rPr>
                <w:rFonts w:ascii="Arial" w:cs="Arial" w:eastAsia="Arial" w:hAnsi="Arial"/>
                <w:sz w:val="15"/>
                <w:szCs w:val="15"/>
                <w:b w:val="1"/>
                <w:bCs w:val="1"/>
                <w:i w:val="1"/>
                <w:iCs w:val="1"/>
                <w:color w:val="auto"/>
                <w:w w:val="90"/>
              </w:rPr>
              <w:t>2018 LTGP Agreement</w:t>
            </w:r>
            <w:r>
              <w:rPr>
                <w:rFonts w:ascii="Arial" w:cs="Arial" w:eastAsia="Arial" w:hAnsi="Arial"/>
                <w:sz w:val="15"/>
                <w:szCs w:val="15"/>
                <w:color w:val="auto"/>
                <w:w w:val="90"/>
              </w:rPr>
              <w:t>”) and the Long Term Growth Plan</w:t>
            </w:r>
          </w:p>
        </w:tc>
      </w:tr>
      <w:tr>
        <w:trPr>
          <w:trHeight w:val="168"/>
        </w:trPr>
        <w:tc>
          <w:tcPr>
            <w:tcW w:w="440" w:type="dxa"/>
            <w:vAlign w:val="bottom"/>
            <w:tcBorders>
              <w:left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87"/>
              </w:rPr>
              <w:t>98,259</w:t>
            </w:r>
          </w:p>
        </w:tc>
        <w:tc>
          <w:tcPr>
            <w:tcW w:w="2360" w:type="dxa"/>
            <w:vAlign w:val="bottom"/>
            <w:tcBorders>
              <w:bottom w:val="single" w:sz="8" w:color="auto"/>
              <w:right w:val="single" w:sz="8" w:color="auto"/>
            </w:tcBorders>
          </w:tcPr>
          <w:p>
            <w:pPr>
              <w:ind w:left="20"/>
              <w:spacing w:after="0" w:line="169" w:lineRule="exact"/>
              <w:rPr>
                <w:sz w:val="20"/>
                <w:szCs w:val="20"/>
                <w:color w:val="auto"/>
              </w:rPr>
            </w:pPr>
            <w:r>
              <w:rPr>
                <w:rFonts w:ascii="Arial" w:cs="Arial" w:eastAsia="Arial" w:hAnsi="Arial"/>
                <w:sz w:val="15"/>
                <w:szCs w:val="15"/>
                <w:color w:val="auto"/>
              </w:rPr>
              <w:t>SVP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2"/>
              </w:rPr>
              <w:t>SVP Performance Cycle Memorandum 2018-2020 Award Cycle (the “</w:t>
            </w:r>
            <w:r>
              <w:rPr>
                <w:rFonts w:ascii="Arial" w:cs="Arial" w:eastAsia="Arial" w:hAnsi="Arial"/>
                <w:sz w:val="15"/>
                <w:szCs w:val="15"/>
                <w:b w:val="1"/>
                <w:bCs w:val="1"/>
                <w:i w:val="1"/>
                <w:iCs w:val="1"/>
                <w:color w:val="auto"/>
                <w:w w:val="92"/>
              </w:rPr>
              <w:t>2018 SVP Agreement</w:t>
            </w:r>
            <w:r>
              <w:rPr>
                <w:rFonts w:ascii="Arial" w:cs="Arial" w:eastAsia="Arial" w:hAnsi="Arial"/>
                <w:sz w:val="15"/>
                <w:szCs w:val="15"/>
                <w:color w:val="auto"/>
                <w:w w:val="92"/>
              </w:rPr>
              <w:t>”) and the Shareholder Value Plan</w:t>
            </w:r>
          </w:p>
        </w:tc>
      </w:tr>
    </w:tbl>
    <w:p>
      <w:pPr>
        <w:spacing w:after="0" w:line="17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Effective immediately, your LTIP Award Agreements are hereby amended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431800</wp:posOffset>
            </wp:positionV>
            <wp:extent cx="7171055" cy="139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00" w:name="page201"/>
    <w:bookmarkEnd w:id="200"/>
    <w:p>
      <w:pPr>
        <w:ind w:left="660" w:hanging="651"/>
        <w:spacing w:after="0"/>
        <w:tabs>
          <w:tab w:leader="none" w:pos="660"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 to 2020 RSU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second paragraph under Section 2 (“Accelerated Vesting”) in Exhibit B to the 2020 RSU Agreement is hereby amended to read as follows:</w:t>
      </w:r>
    </w:p>
    <w:p>
      <w:pPr>
        <w:spacing w:after="0" w:line="371" w:lineRule="exact"/>
        <w:rPr>
          <w:sz w:val="20"/>
          <w:szCs w:val="20"/>
          <w:color w:val="auto"/>
        </w:rPr>
      </w:pPr>
    </w:p>
    <w:p>
      <w:pPr>
        <w:jc w:val="both"/>
        <w:ind w:left="800"/>
        <w:spacing w:after="0" w:line="284" w:lineRule="auto"/>
        <w:rPr>
          <w:sz w:val="20"/>
          <w:szCs w:val="20"/>
          <w:color w:val="auto"/>
        </w:rPr>
      </w:pPr>
      <w:r>
        <w:rPr>
          <w:rFonts w:ascii="Arial" w:cs="Arial" w:eastAsia="Arial" w:hAnsi="Arial"/>
          <w:sz w:val="14"/>
          <w:szCs w:val="14"/>
          <w:color w:val="auto"/>
        </w:rPr>
        <w:t>The Award shall also be eligible for accelerated vesting as provided in Section 12.2 of the Plan. Notwithstanding the foregoing, and notwithstanding anything to the contrary contained in the Plan, in the event of a Change in Control, provided Participant has not experienced a Termination of Service prior to the Change in Control, all of the RSUs shall accelerate, vest and be settled in full in shares of Common Stock immediately prior to such Change in Control.</w:t>
      </w:r>
    </w:p>
    <w:p>
      <w:pPr>
        <w:spacing w:after="0" w:line="333" w:lineRule="exact"/>
        <w:rPr>
          <w:sz w:val="20"/>
          <w:szCs w:val="20"/>
          <w:color w:val="auto"/>
        </w:rPr>
      </w:pPr>
    </w:p>
    <w:p>
      <w:pPr>
        <w:ind w:left="660" w:hanging="651"/>
        <w:spacing w:after="0"/>
        <w:tabs>
          <w:tab w:leader="none" w:pos="660" w:val="left"/>
        </w:tabs>
        <w:numPr>
          <w:ilvl w:val="0"/>
          <w:numId w:val="125"/>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2020 PSU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first two paragraphs under Section 2 (“Accelerated Vesting”) in Exhibit B to the PSU Agreement are hereby replaced with the following:</w:t>
      </w:r>
    </w:p>
    <w:p>
      <w:pPr>
        <w:spacing w:after="0" w:line="371" w:lineRule="exact"/>
        <w:rPr>
          <w:sz w:val="20"/>
          <w:szCs w:val="20"/>
          <w:color w:val="auto"/>
        </w:rPr>
      </w:pPr>
    </w:p>
    <w:p>
      <w:pPr>
        <w:jc w:val="both"/>
        <w:ind w:left="800"/>
        <w:spacing w:after="0" w:line="296" w:lineRule="auto"/>
        <w:rPr>
          <w:sz w:val="20"/>
          <w:szCs w:val="20"/>
          <w:color w:val="auto"/>
        </w:rPr>
      </w:pPr>
      <w:r>
        <w:rPr>
          <w:rFonts w:ascii="Arial" w:cs="Arial" w:eastAsia="Arial" w:hAnsi="Arial"/>
          <w:sz w:val="13"/>
          <w:szCs w:val="13"/>
          <w:color w:val="auto"/>
        </w:rPr>
        <w:t>In the event of Participant’s Termination of Service due to Retirement, death or Disability prior to the Payment Date and prior to the occurrence of a Change in Control, Participant will remain eligible to vest in and receive on the Payment Date (or, if earlier, the date of a Change in Control), that number of PSUs as is determined by multiplying (a) the number of PSUs that Participant would vest in as provided in Section 1 of this Exhibit B had he/she not incurred a Termination of Service prior to the Payment Date (or, in the event of a Change in Control prior to December 31, 2022,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46" w:lineRule="exact"/>
        <w:rPr>
          <w:sz w:val="20"/>
          <w:szCs w:val="20"/>
          <w:color w:val="auto"/>
        </w:rPr>
      </w:pPr>
    </w:p>
    <w:p>
      <w:pPr>
        <w:jc w:val="both"/>
        <w:ind w:left="800"/>
        <w:spacing w:after="0" w:line="253" w:lineRule="auto"/>
        <w:rPr>
          <w:sz w:val="20"/>
          <w:szCs w:val="20"/>
          <w:color w:val="auto"/>
        </w:rPr>
      </w:pPr>
      <w:r>
        <w:rPr>
          <w:rFonts w:ascii="Arial" w:cs="Arial" w:eastAsia="Arial" w:hAnsi="Arial"/>
          <w:sz w:val="15"/>
          <w:szCs w:val="15"/>
          <w:color w:val="auto"/>
        </w:rPr>
        <w:t>The Award shall also be eligible for accelerated vesting as provided in Section 12.2 of the Plan. Notwithstanding the foregoing, and notwithstanding anything to the contrary contained in the Plan, in the event of a Change in Control prior to December 31, 2022, provided Participant has not experienced a Termination of Service prior to the Change in Control, a number of PSUs equal to the Target PSUs shall accelerate, vest and be settled in shares of Common Stock immediately prior to such Change in Control.</w:t>
      </w:r>
    </w:p>
    <w:p>
      <w:pPr>
        <w:spacing w:after="0" w:line="344" w:lineRule="exact"/>
        <w:rPr>
          <w:sz w:val="20"/>
          <w:szCs w:val="20"/>
          <w:color w:val="auto"/>
        </w:rPr>
      </w:pPr>
    </w:p>
    <w:p>
      <w:pPr>
        <w:ind w:left="660" w:hanging="651"/>
        <w:spacing w:after="0"/>
        <w:tabs>
          <w:tab w:leader="none" w:pos="660" w:val="left"/>
        </w:tabs>
        <w:numPr>
          <w:ilvl w:val="0"/>
          <w:numId w:val="126"/>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(“Payment of Awards”) shall be added to the end of such Section as follows:</w:t>
      </w:r>
    </w:p>
    <w:p>
      <w:pPr>
        <w:spacing w:after="0" w:line="371" w:lineRule="exact"/>
        <w:rPr>
          <w:sz w:val="20"/>
          <w:szCs w:val="20"/>
          <w:color w:val="auto"/>
        </w:rPr>
      </w:pPr>
    </w:p>
    <w:p>
      <w:pPr>
        <w:jc w:val="both"/>
        <w:ind w:left="1200"/>
        <w:spacing w:after="0" w:line="315" w:lineRule="auto"/>
        <w:rPr>
          <w:sz w:val="20"/>
          <w:szCs w:val="20"/>
          <w:color w:val="auto"/>
        </w:rPr>
      </w:pPr>
      <w:r>
        <w:rPr>
          <w:rFonts w:ascii="Arial" w:cs="Arial" w:eastAsia="Arial" w:hAnsi="Arial"/>
          <w:sz w:val="13"/>
          <w:szCs w:val="13"/>
          <w:color w:val="auto"/>
        </w:rPr>
        <w:t>Notwithstanding anything to the contrary contained in this Memorandum or the Plan, in the event of a Change in Control, provided Participant has not experienced a termination of employment prior to the Change in Control, all of the outstanding RAUs shall accelerate, vest and be settled in shares of the Corporation’s common stock (with one share of the Corporation’s common stock paid for each vested RAU) immediately prior to such Change in Control.</w:t>
      </w:r>
    </w:p>
    <w:p>
      <w:pPr>
        <w:spacing w:after="0" w:line="305" w:lineRule="exact"/>
        <w:rPr>
          <w:sz w:val="20"/>
          <w:szCs w:val="20"/>
          <w:color w:val="auto"/>
        </w:rPr>
      </w:pPr>
    </w:p>
    <w:p>
      <w:pPr>
        <w:ind w:left="660" w:hanging="651"/>
        <w:spacing w:after="0"/>
        <w:tabs>
          <w:tab w:leader="none" w:pos="660" w:val="left"/>
        </w:tabs>
        <w:numPr>
          <w:ilvl w:val="0"/>
          <w:numId w:val="127"/>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RAU Agreement</w:t>
      </w:r>
      <w:r>
        <w:rPr>
          <w:rFonts w:ascii="Arial" w:cs="Arial" w:eastAsia="Arial" w:hAnsi="Arial"/>
          <w:sz w:val="15"/>
          <w:szCs w:val="15"/>
          <w:b w:val="1"/>
          <w:bCs w:val="1"/>
          <w:color w:val="auto"/>
        </w:rPr>
        <w:t>.</w:t>
      </w:r>
    </w:p>
    <w:p>
      <w:pPr>
        <w:spacing w:after="0" w:line="379" w:lineRule="exact"/>
        <w:rPr>
          <w:sz w:val="20"/>
          <w:szCs w:val="20"/>
          <w:color w:val="auto"/>
        </w:rPr>
      </w:pPr>
    </w:p>
    <w:p>
      <w:pPr>
        <w:spacing w:after="0"/>
        <w:rPr>
          <w:sz w:val="20"/>
          <w:szCs w:val="20"/>
          <w:color w:val="auto"/>
        </w:rPr>
      </w:pPr>
      <w:r>
        <w:rPr>
          <w:rFonts w:ascii="Arial" w:cs="Arial" w:eastAsia="Arial" w:hAnsi="Arial"/>
          <w:sz w:val="13"/>
          <w:szCs w:val="13"/>
          <w:color w:val="auto"/>
        </w:rPr>
        <w:t>Carey Smith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314" w:right="1119" w:bottom="1440" w:gutter="0" w:footer="0" w:header="0"/>
        </w:sectPr>
      </w:pPr>
    </w:p>
    <w:bookmarkStart w:id="201" w:name="page202"/>
    <w:bookmarkEnd w:id="201"/>
    <w:p>
      <w:pPr>
        <w:ind w:left="800"/>
        <w:spacing w:after="0"/>
        <w:rPr>
          <w:sz w:val="20"/>
          <w:szCs w:val="20"/>
          <w:color w:val="auto"/>
        </w:rPr>
      </w:pPr>
      <w:r>
        <w:rPr>
          <w:rFonts w:ascii="Arial" w:cs="Arial" w:eastAsia="Arial" w:hAnsi="Arial"/>
          <w:sz w:val="15"/>
          <w:szCs w:val="15"/>
          <w:color w:val="auto"/>
        </w:rPr>
        <w:t>A new paragraph under Section 5 (“Payout”) shall be added to the end of such Section as follows:</w:t>
      </w:r>
    </w:p>
    <w:p>
      <w:pPr>
        <w:spacing w:after="0" w:line="93" w:lineRule="exact"/>
        <w:rPr>
          <w:sz w:val="20"/>
          <w:szCs w:val="20"/>
          <w:color w:val="auto"/>
        </w:rPr>
      </w:pPr>
    </w:p>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provided Participant has not experienced a termination of employment prior to the Change in Control, the Published Share Price for purposes of calculating the value of each outstanding RAU shall be equal to the price per share to be paid to the Corporation’s stockholders in the Change in Control. The Committee will calculate the Award that will be paid to a Participant immediately prior to the Change in Control by multiplying the number of RAUs granted to the Participant by the price per share to be paid to the Corporation’s stockholders in the Change in Control. The product of that calculation shall be the amount of a Participant’s Award payment for the 2018-2020 Cycle, which amount shall be paid, in cash, immediately prior to the Change in Control.</w:t>
      </w:r>
    </w:p>
    <w:p>
      <w:pPr>
        <w:spacing w:after="0" w:line="242" w:lineRule="exact"/>
        <w:rPr>
          <w:sz w:val="20"/>
          <w:szCs w:val="20"/>
          <w:color w:val="auto"/>
        </w:rPr>
      </w:pPr>
    </w:p>
    <w:p>
      <w:pPr>
        <w:ind w:left="660" w:hanging="651"/>
        <w:spacing w:after="0"/>
        <w:tabs>
          <w:tab w:leader="none" w:pos="660" w:val="left"/>
        </w:tabs>
        <w:numPr>
          <w:ilvl w:val="0"/>
          <w:numId w:val="128"/>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29"/>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0"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 Article 6 of the Plan), the Committee will determine the final percentage of the Opportunity Target to be paid to each Participant and the percentage of the Awards that will be paid, and the resulting number of units shall vest and be settled in shares of the Corporation’s common stock (with one share of the Corporation’s common stock paid for each vested LTGP unit) immediately prior to such Change in Control (subject to pro-ration due to Retirement, death or Disability during the Performance Cycle as provided in Article 6 of the Plan).</w:t>
      </w:r>
    </w:p>
    <w:p>
      <w:pPr>
        <w:spacing w:after="0" w:line="72"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(including Article 7 of the Plan), in the event of a Change in Control prior to the completion of the Performance Cycle, provided that Participant has not experienced a termination of employment prior to the Change in Control (except as provided in Article 6 of the Plan), a number of units equal to 100% of the total Opportunity Target shall accelerate, vest and be settled in shares of the Corporation’s common stock (with one share of the Corporation’s common stock paid for each vested LTGP unit) immediately prior to such Change in Control (subject to pro-ration due to Retirement, death or Disability during the Performance Cycle and prior to the Change in Control as provided in Article 6 of the Plan).</w:t>
      </w:r>
    </w:p>
    <w:p>
      <w:pPr>
        <w:spacing w:after="0" w:line="242" w:lineRule="exact"/>
        <w:rPr>
          <w:sz w:val="20"/>
          <w:szCs w:val="20"/>
          <w:color w:val="auto"/>
        </w:rPr>
      </w:pPr>
    </w:p>
    <w:p>
      <w:pPr>
        <w:ind w:left="660" w:hanging="651"/>
        <w:spacing w:after="0"/>
        <w:tabs>
          <w:tab w:leader="none" w:pos="660" w:val="left"/>
        </w:tabs>
        <w:numPr>
          <w:ilvl w:val="0"/>
          <w:numId w:val="130"/>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ind w:left="1600"/>
        <w:spacing w:after="0" w:line="304" w:lineRule="auto"/>
        <w:rPr>
          <w:sz w:val="20"/>
          <w:szCs w:val="20"/>
          <w:color w:val="auto"/>
        </w:rPr>
      </w:pPr>
      <w:r>
        <w:rPr>
          <w:rFonts w:ascii="Arial" w:cs="Arial" w:eastAsia="Arial" w:hAnsi="Arial"/>
          <w:sz w:val="14"/>
          <w:szCs w:val="14"/>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color w:val="auto"/>
        </w:rPr>
        <w:t>Carey Smith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318" w:right="1119" w:bottom="1440" w:gutter="0" w:footer="0" w:header="0"/>
        </w:sectPr>
      </w:pPr>
    </w:p>
    <w:bookmarkStart w:id="202" w:name="page203"/>
    <w:bookmarkEnd w:id="202"/>
    <w:p>
      <w:pPr>
        <w:jc w:val="both"/>
        <w:ind w:left="1600"/>
        <w:spacing w:after="0" w:line="250" w:lineRule="auto"/>
        <w:rPr>
          <w:sz w:val="20"/>
          <w:szCs w:val="20"/>
          <w:color w:val="auto"/>
        </w:rPr>
      </w:pPr>
      <w:r>
        <w:rPr>
          <w:rFonts w:ascii="Arial" w:cs="Arial" w:eastAsia="Arial" w:hAnsi="Arial"/>
          <w:sz w:val="15"/>
          <w:szCs w:val="15"/>
          <w:color w:val="auto"/>
        </w:rPr>
        <w:t>experienced a termination of employment prior to the Change in Control (except as provided in Article 6 of the Plan), the Committee will calculate the Long Term Growth Award earned for the Performance Cycle that will be paid to a Participant immediately prior to the Change in Control by multiplying the percentage of the total Opportunity Target earned as determined by the Committee in accordance with this Memorandum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72" w:lineRule="exact"/>
        <w:rPr>
          <w:sz w:val="20"/>
          <w:szCs w:val="20"/>
          <w:color w:val="auto"/>
        </w:rPr>
      </w:pPr>
    </w:p>
    <w:p>
      <w:pPr>
        <w:jc w:val="both"/>
        <w:ind w:left="1600"/>
        <w:spacing w:after="0" w:line="249"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prior to the completion of the Performance Cycle, provided Participant has not experienced a termination of employment prior to the Change in Control (except as provided in Article 6 of the Plan), the Committee will calculate the Long Term Growth Award that will be paid to a Participant immediately prior to the Change in Control by multiplying the number of units equal to 100% of the total Opportunity Target granted to the Participant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349" w:lineRule="exact"/>
        <w:rPr>
          <w:sz w:val="20"/>
          <w:szCs w:val="20"/>
          <w:color w:val="auto"/>
        </w:rPr>
      </w:pPr>
    </w:p>
    <w:p>
      <w:pPr>
        <w:ind w:left="660" w:hanging="651"/>
        <w:spacing w:after="0"/>
        <w:tabs>
          <w:tab w:leader="none" w:pos="660" w:val="left"/>
        </w:tabs>
        <w:numPr>
          <w:ilvl w:val="0"/>
          <w:numId w:val="132"/>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SVP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8 (“Calculation of Value of Performance Award”) shall be added to the end of such Section as follows:</w:t>
      </w:r>
    </w:p>
    <w:p>
      <w:pPr>
        <w:spacing w:after="0" w:line="371" w:lineRule="exact"/>
        <w:rPr>
          <w:sz w:val="20"/>
          <w:szCs w:val="20"/>
          <w:color w:val="auto"/>
        </w:rPr>
      </w:pPr>
    </w:p>
    <w:p>
      <w:pPr>
        <w:jc w:val="both"/>
        <w:ind w:left="800"/>
        <w:spacing w:after="0" w:line="270"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prior to December 31, 2020, provided Participant has not experienced a termination of employment prior to the Change in Control (except as provided in Article 6 of the Plan), the Committee will calculate the value of the 2018-2020 Performance Cycle Incentive Award that will be paid to a Participant prior to the Change in Control by subtracting (i) the per share value of the Corporation’s shares reported in February 2018 (which value shall be determined using the end of 2017 value as reported by the Corporation’s valuation consultant Houlihan, Lokey) from (ii) the price per share to be paid the Corporation’s stockholders in such Change in Control.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after December 31, 2020 but prior to the payment of the Incentive Awards, the Committee will calculate the value of the 2018-2020 Performance Cycle Incentive Award that will be paid to a Participant prior to the Change in Control in accordance with the terms of this Memorandum and the Plan.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and prior to the Change in Control. The product of that calculation shall be the amount of a Participant’s Performance Award payment for this 2018-2020 Performance Cycle.</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Carey Smith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203" w:name="page204"/>
    <w:bookmarkEnd w:id="203"/>
    <w:p>
      <w:pPr>
        <w:jc w:val="both"/>
        <w:ind w:left="800" w:right="800"/>
        <w:spacing w:after="0" w:line="253" w:lineRule="auto"/>
        <w:rPr>
          <w:sz w:val="20"/>
          <w:szCs w:val="20"/>
          <w:color w:val="auto"/>
        </w:rPr>
      </w:pPr>
      <w:r>
        <w:rPr>
          <w:rFonts w:ascii="Arial" w:cs="Arial" w:eastAsia="Arial" w:hAnsi="Arial"/>
          <w:sz w:val="15"/>
          <w:szCs w:val="15"/>
          <w:color w:val="auto"/>
        </w:rPr>
        <w:t>The resulting Performance Award payment for this 2018-2020 Performance Cycle upon a Change in Control will be paid immediately prior to the Change in Control, unless a Participant has made a deferred payment election under Section 5.4 of the Plan, in which case the amount otherwise payable to the Participant upon a Change in Control shall be credited to the Participant’s Deferral Account and the provisions of Sections 5.4 and 7.2 of the Plan and the Participant’s Deferral Agreement shall govern the time and method of payment.</w:t>
      </w:r>
    </w:p>
    <w:p>
      <w:pPr>
        <w:spacing w:after="0" w:line="259" w:lineRule="exact"/>
        <w:rPr>
          <w:sz w:val="20"/>
          <w:szCs w:val="20"/>
          <w:color w:val="auto"/>
        </w:rPr>
      </w:pPr>
    </w:p>
    <w:p>
      <w:pPr>
        <w:jc w:val="both"/>
        <w:ind w:firstLine="793"/>
        <w:spacing w:after="0" w:line="270" w:lineRule="auto"/>
        <w:rPr>
          <w:sz w:val="20"/>
          <w:szCs w:val="20"/>
          <w:color w:val="auto"/>
        </w:rPr>
      </w:pPr>
      <w:r>
        <w:rPr>
          <w:rFonts w:ascii="Arial" w:cs="Arial" w:eastAsia="Arial" w:hAnsi="Arial"/>
          <w:sz w:val="14"/>
          <w:szCs w:val="14"/>
          <w:color w:val="auto"/>
        </w:rPr>
        <w:t>The LTIP Award Agreements, and the plans pursuant to which the LTIP Awards were granted (to the extent inconsistent with this letter), will each be deemed amended to the extent necessary to reflect the terms of this letter. For the avoidance of doubt, the board of directors of the Corporation has approved the terms of this letter, and therefore the plans pursuant to which the LTIP Awards were granted are hereby amended in order to effect the terms and conditions of this letter. In the event of any inconsistency between the LTIP Award Agreements (as amended by this letter) and the corresponding plans pursuant to which such LTIP Awards were granted, the LTIP Awards Agreements (as amended by this letter) will govern. All other terms and conditions of your LTIP Award Agreements remain as described in the applicable LTIP Award Agreements and plans. The application of this letter agreement to your LTIP Awards shall not amend an outstanding LTIP Award Agreement to the extent such amendment would cause adverse tax consequences to you under Section 409A of the Internal Revenue Code, and any such amendment shall be null and void.</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Please acknowledge the new terms applicable to your LTIP Awards by returning a signed copy to Stacey Salazar at stacey.salazar@parsons.com.</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you have any questions or concerns, please do not hesitate to contact Stacey Salazar at stacey.salazar@parsons.com.</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Debra Fiori</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Chief People Officer</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Acknowledged, Accepted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580" w:val="left"/>
        </w:tabs>
        <w:rPr>
          <w:sz w:val="20"/>
          <w:szCs w:val="20"/>
          <w:color w:val="auto"/>
        </w:rPr>
      </w:pPr>
      <w:r>
        <w:rPr>
          <w:rFonts w:ascii="Arial" w:cs="Arial" w:eastAsia="Arial" w:hAnsi="Arial"/>
          <w:sz w:val="15"/>
          <w:szCs w:val="15"/>
          <w:color w:val="auto"/>
        </w:rPr>
        <w:t>Carey A. Smith</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Carey Smith</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ectPr>
          <w:pgSz w:w="11900" w:h="16838" w:orient="portrait"/>
          <w:cols w:equalWidth="0" w:num="1">
            <w:col w:w="11280"/>
          </w:cols>
          <w:pgMar w:left="300" w:top="406" w:right="3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5"/>
          <w:szCs w:val="15"/>
          <w:color w:val="auto"/>
        </w:rPr>
        <w:t>Exhibit 10.31</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August 10,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Mike Kolloway, Chief Legal Officer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Parsons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Subject: Amendment to LTIP Awards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Dear Mike,</w:t>
      </w:r>
    </w:p>
    <w:p>
      <w:pPr>
        <w:spacing w:after="0" w:line="93" w:lineRule="exact"/>
        <w:rPr>
          <w:sz w:val="20"/>
          <w:szCs w:val="20"/>
          <w:color w:val="auto"/>
        </w:rPr>
      </w:pPr>
    </w:p>
    <w:p>
      <w:pPr>
        <w:ind w:right="120" w:firstLine="793"/>
        <w:spacing w:after="0" w:line="305" w:lineRule="auto"/>
        <w:rPr>
          <w:sz w:val="20"/>
          <w:szCs w:val="20"/>
          <w:color w:val="auto"/>
        </w:rPr>
      </w:pPr>
      <w:r>
        <w:rPr>
          <w:rFonts w:ascii="Arial" w:cs="Arial" w:eastAsia="Arial" w:hAnsi="Arial"/>
          <w:sz w:val="13"/>
          <w:szCs w:val="13"/>
          <w:color w:val="auto"/>
        </w:rPr>
        <w:t>Parsons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has granted you the following long-term incentive awards (collectively, the “</w:t>
      </w:r>
      <w:r>
        <w:rPr>
          <w:rFonts w:ascii="Arial" w:cs="Arial" w:eastAsia="Arial" w:hAnsi="Arial"/>
          <w:sz w:val="13"/>
          <w:szCs w:val="13"/>
          <w:b w:val="1"/>
          <w:bCs w:val="1"/>
          <w:i w:val="1"/>
          <w:iCs w:val="1"/>
          <w:color w:val="auto"/>
        </w:rPr>
        <w:t>LTIP Awards</w:t>
      </w:r>
      <w:r>
        <w:rPr>
          <w:rFonts w:ascii="Arial" w:cs="Arial" w:eastAsia="Arial" w:hAnsi="Arial"/>
          <w:sz w:val="13"/>
          <w:szCs w:val="13"/>
          <w:color w:val="auto"/>
        </w:rPr>
        <w:t>”) pursuant to the agreements listed below (the “</w:t>
      </w:r>
      <w:r>
        <w:rPr>
          <w:rFonts w:ascii="Arial" w:cs="Arial" w:eastAsia="Arial" w:hAnsi="Arial"/>
          <w:sz w:val="13"/>
          <w:szCs w:val="13"/>
          <w:b w:val="1"/>
          <w:bCs w:val="1"/>
          <w:i w:val="1"/>
          <w:iCs w:val="1"/>
          <w:color w:val="auto"/>
        </w:rPr>
        <w:t>LTIP Award Agreements</w:t>
      </w:r>
      <w:r>
        <w:rPr>
          <w:rFonts w:ascii="Arial" w:cs="Arial" w:eastAsia="Arial" w:hAnsi="Arial"/>
          <w:sz w:val="13"/>
          <w:szCs w:val="13"/>
          <w:color w:val="auto"/>
        </w:rPr>
        <w:t>”). Unless otherwise defined herein, the terms defined in the applicable plan governing your LTIP Awards, or in the applicable LTIP Award Agreement, shall have the same defined meanings in this letter. The purpose of this letter is to provide you with certain enhanced accelerated vesting under your LTIP Award Agreements in the event of a Change in Control (as such term is defined in the applicable plan governing your LTIP Awards). The LTIP Awards and LTIP Award Agreements amended by this letter are listed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80" w:type="dxa"/>
            <w:vAlign w:val="bottom"/>
            <w:tcBorders>
              <w:top w:val="single" w:sz="8" w:color="auto"/>
              <w:left w:val="single" w:sz="8" w:color="auto"/>
              <w:bottom w:val="single" w:sz="8" w:color="auto"/>
            </w:tcBorders>
          </w:tcPr>
          <w:p>
            <w:pPr>
              <w:spacing w:after="0"/>
              <w:rPr>
                <w:sz w:val="16"/>
                <w:szCs w:val="16"/>
                <w:color w:val="auto"/>
              </w:rPr>
            </w:pPr>
          </w:p>
        </w:tc>
        <w:tc>
          <w:tcPr>
            <w:tcW w:w="2420" w:type="dxa"/>
            <w:vAlign w:val="bottom"/>
            <w:tcBorders>
              <w:top w:val="single" w:sz="8" w:color="auto"/>
              <w:bottom w:val="single" w:sz="8" w:color="auto"/>
              <w:right w:val="single" w:sz="8" w:color="auto"/>
            </w:tcBorders>
          </w:tcPr>
          <w:p>
            <w:pPr>
              <w:ind w:left="62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p>
        </w:tc>
        <w:tc>
          <w:tcPr>
            <w:tcW w:w="7780" w:type="dxa"/>
            <w:vAlign w:val="bottom"/>
            <w:tcBorders>
              <w:top w:val="single" w:sz="8" w:color="auto"/>
              <w:bottom w:val="single" w:sz="8" w:color="auto"/>
              <w:right w:val="single" w:sz="8" w:color="auto"/>
            </w:tcBorders>
          </w:tcPr>
          <w:p>
            <w:pPr>
              <w:ind w:left="296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r>
              <w:rPr>
                <w:rFonts w:ascii="Arial" w:cs="Arial" w:eastAsia="Arial" w:hAnsi="Arial"/>
                <w:sz w:val="15"/>
                <w:szCs w:val="15"/>
                <w:b w:val="1"/>
                <w:bCs w:val="1"/>
                <w:color w:val="auto"/>
              </w:rPr>
              <w:t>/P</w:t>
            </w:r>
            <w:r>
              <w:rPr>
                <w:rFonts w:ascii="Arial" w:cs="Arial" w:eastAsia="Arial" w:hAnsi="Arial"/>
                <w:sz w:val="9"/>
                <w:szCs w:val="9"/>
                <w:b w:val="1"/>
                <w:bCs w:val="1"/>
                <w:color w:val="auto"/>
              </w:rPr>
              <w:t>LAN</w:t>
            </w: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2020 Awards</w:t>
            </w:r>
          </w:p>
        </w:tc>
      </w:tr>
      <w:tr>
        <w:trPr>
          <w:trHeight w:val="158"/>
        </w:trPr>
        <w:tc>
          <w:tcPr>
            <w:tcW w:w="38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90"/>
              </w:rPr>
              <w:t>6,368</w:t>
            </w:r>
          </w:p>
        </w:tc>
        <w:tc>
          <w:tcPr>
            <w:tcW w:w="242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RSUs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0"/>
              </w:rPr>
              <w:t>Restricted Stock Unit Grant Notice (the “</w:t>
            </w:r>
            <w:r>
              <w:rPr>
                <w:rFonts w:ascii="Arial" w:cs="Arial" w:eastAsia="Arial" w:hAnsi="Arial"/>
                <w:sz w:val="15"/>
                <w:szCs w:val="15"/>
                <w:b w:val="1"/>
                <w:bCs w:val="1"/>
                <w:i w:val="1"/>
                <w:iCs w:val="1"/>
                <w:color w:val="auto"/>
                <w:w w:val="90"/>
              </w:rPr>
              <w:t>2020 RSU Agreement</w:t>
            </w:r>
            <w:r>
              <w:rPr>
                <w:rFonts w:ascii="Arial" w:cs="Arial" w:eastAsia="Arial" w:hAnsi="Arial"/>
                <w:sz w:val="15"/>
                <w:szCs w:val="15"/>
                <w:color w:val="auto"/>
                <w:w w:val="90"/>
              </w:rPr>
              <w:t>”) and the Corporation’s Incentive Award Plan (the “</w:t>
            </w:r>
            <w:r>
              <w:rPr>
                <w:rFonts w:ascii="Arial" w:cs="Arial" w:eastAsia="Arial" w:hAnsi="Arial"/>
                <w:sz w:val="15"/>
                <w:szCs w:val="15"/>
                <w:b w:val="1"/>
                <w:bCs w:val="1"/>
                <w:i w:val="1"/>
                <w:iCs w:val="1"/>
                <w:color w:val="auto"/>
                <w:w w:val="90"/>
              </w:rPr>
              <w:t>Equity Plan</w:t>
            </w:r>
            <w:r>
              <w:rPr>
                <w:rFonts w:ascii="Arial" w:cs="Arial" w:eastAsia="Arial" w:hAnsi="Arial"/>
                <w:sz w:val="15"/>
                <w:szCs w:val="15"/>
                <w:color w:val="auto"/>
                <w:w w:val="90"/>
              </w:rPr>
              <w:t>”),</w:t>
            </w:r>
          </w:p>
        </w:tc>
      </w:tr>
      <w:tr>
        <w:trPr>
          <w:trHeight w:val="188"/>
        </w:trPr>
        <w:tc>
          <w:tcPr>
            <w:tcW w:w="380" w:type="dxa"/>
            <w:vAlign w:val="bottom"/>
            <w:tcBorders>
              <w:left w:val="single" w:sz="8" w:color="auto"/>
              <w:bottom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granted on March 5, 2020.</w:t>
            </w:r>
          </w:p>
        </w:tc>
      </w:tr>
      <w:tr>
        <w:trPr>
          <w:trHeight w:val="169"/>
        </w:trPr>
        <w:tc>
          <w:tcPr>
            <w:tcW w:w="38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90"/>
              </w:rPr>
              <w:t>9,552</w:t>
            </w:r>
          </w:p>
        </w:tc>
        <w:tc>
          <w:tcPr>
            <w:tcW w:w="242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Target PSUs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Performance Stock Unit Grant Notice (the “</w:t>
            </w:r>
            <w:r>
              <w:rPr>
                <w:rFonts w:ascii="Arial" w:cs="Arial" w:eastAsia="Arial" w:hAnsi="Arial"/>
                <w:sz w:val="15"/>
                <w:szCs w:val="15"/>
                <w:b w:val="1"/>
                <w:bCs w:val="1"/>
                <w:i w:val="1"/>
                <w:iCs w:val="1"/>
                <w:color w:val="auto"/>
              </w:rPr>
              <w:t>2020 PSU Agreement</w:t>
            </w:r>
            <w:r>
              <w:rPr>
                <w:rFonts w:ascii="Arial" w:cs="Arial" w:eastAsia="Arial" w:hAnsi="Arial"/>
                <w:sz w:val="15"/>
                <w:szCs w:val="15"/>
                <w:color w:val="auto"/>
              </w:rPr>
              <w:t>”) and the Equity Plan, granted on March 5, 2020.</w:t>
            </w: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2019 Awards</w:t>
            </w:r>
          </w:p>
        </w:tc>
      </w:tr>
      <w:tr>
        <w:trPr>
          <w:trHeight w:val="158"/>
        </w:trPr>
        <w:tc>
          <w:tcPr>
            <w:tcW w:w="38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90"/>
              </w:rPr>
              <w:t>7,251</w:t>
            </w:r>
          </w:p>
        </w:tc>
        <w:tc>
          <w:tcPr>
            <w:tcW w:w="242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2019-2021 Award Cycle (the “</w:t>
            </w:r>
            <w:r>
              <w:rPr>
                <w:rFonts w:ascii="Arial" w:cs="Arial" w:eastAsia="Arial" w:hAnsi="Arial"/>
                <w:sz w:val="15"/>
                <w:szCs w:val="15"/>
                <w:b w:val="1"/>
                <w:bCs w:val="1"/>
                <w:i w:val="1"/>
                <w:iCs w:val="1"/>
                <w:color w:val="auto"/>
                <w:w w:val="97"/>
              </w:rPr>
              <w:t>2019 RAU Agreement</w:t>
            </w:r>
            <w:r>
              <w:rPr>
                <w:rFonts w:ascii="Arial" w:cs="Arial" w:eastAsia="Arial" w:hAnsi="Arial"/>
                <w:sz w:val="15"/>
                <w:szCs w:val="15"/>
                <w:color w:val="auto"/>
                <w:w w:val="97"/>
              </w:rPr>
              <w:t>”) and the</w:t>
            </w:r>
          </w:p>
        </w:tc>
      </w:tr>
      <w:tr>
        <w:trPr>
          <w:trHeight w:val="188"/>
        </w:trPr>
        <w:tc>
          <w:tcPr>
            <w:tcW w:w="380" w:type="dxa"/>
            <w:vAlign w:val="bottom"/>
            <w:tcBorders>
              <w:left w:val="single" w:sz="8" w:color="auto"/>
              <w:bottom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280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10,875 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2019-2021 Award Cycle (the “</w:t>
            </w:r>
            <w:r>
              <w:rPr>
                <w:rFonts w:ascii="Arial" w:cs="Arial" w:eastAsia="Arial" w:hAnsi="Arial"/>
                <w:sz w:val="15"/>
                <w:szCs w:val="15"/>
                <w:b w:val="1"/>
                <w:bCs w:val="1"/>
                <w:i w:val="1"/>
                <w:iCs w:val="1"/>
                <w:color w:val="auto"/>
                <w:w w:val="90"/>
              </w:rPr>
              <w:t>2019 LTGP Agreement</w:t>
            </w:r>
            <w:r>
              <w:rPr>
                <w:rFonts w:ascii="Arial" w:cs="Arial" w:eastAsia="Arial" w:hAnsi="Arial"/>
                <w:sz w:val="15"/>
                <w:szCs w:val="15"/>
                <w:color w:val="auto"/>
                <w:w w:val="90"/>
              </w:rPr>
              <w:t>”) and the Long Term Growth Plan</w:t>
            </w: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420" w:type="dxa"/>
            <w:vAlign w:val="bottom"/>
            <w:tcBorders>
              <w:bottom w:val="single" w:sz="8" w:color="auto"/>
            </w:tcBorders>
          </w:tcPr>
          <w:p>
            <w:pPr>
              <w:spacing w:after="0"/>
              <w:rPr>
                <w:sz w:val="22"/>
                <w:szCs w:val="22"/>
                <w:color w:val="auto"/>
              </w:rPr>
            </w:pPr>
          </w:p>
        </w:tc>
        <w:tc>
          <w:tcPr>
            <w:tcW w:w="7780" w:type="dxa"/>
            <w:vAlign w:val="bottom"/>
            <w:tcBorders>
              <w:bottom w:val="single" w:sz="8" w:color="auto"/>
              <w:right w:val="single" w:sz="8" w:color="auto"/>
            </w:tcBorders>
          </w:tcPr>
          <w:p>
            <w:pPr>
              <w:ind w:left="2080"/>
              <w:spacing w:after="0"/>
              <w:rPr>
                <w:sz w:val="20"/>
                <w:szCs w:val="20"/>
                <w:color w:val="auto"/>
              </w:rPr>
            </w:pPr>
            <w:r>
              <w:rPr>
                <w:rFonts w:ascii="Arial" w:cs="Arial" w:eastAsia="Arial" w:hAnsi="Arial"/>
                <w:sz w:val="15"/>
                <w:szCs w:val="15"/>
                <w:b w:val="1"/>
                <w:bCs w:val="1"/>
                <w:color w:val="auto"/>
              </w:rPr>
              <w:t>2018 Awards</w:t>
            </w:r>
          </w:p>
        </w:tc>
      </w:tr>
      <w:tr>
        <w:trPr>
          <w:trHeight w:val="158"/>
        </w:trPr>
        <w:tc>
          <w:tcPr>
            <w:tcW w:w="38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90"/>
              </w:rPr>
              <w:t>5,904</w:t>
            </w:r>
          </w:p>
        </w:tc>
        <w:tc>
          <w:tcPr>
            <w:tcW w:w="242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RAUs</w:t>
            </w:r>
          </w:p>
        </w:tc>
        <w:tc>
          <w:tcPr>
            <w:tcW w:w="778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7"/>
              </w:rPr>
              <w:t>Restricted Award Plan Performance Cycle Memorandum 2018-2020 Award Cycle (the “</w:t>
            </w:r>
            <w:r>
              <w:rPr>
                <w:rFonts w:ascii="Arial" w:cs="Arial" w:eastAsia="Arial" w:hAnsi="Arial"/>
                <w:sz w:val="15"/>
                <w:szCs w:val="15"/>
                <w:b w:val="1"/>
                <w:bCs w:val="1"/>
                <w:i w:val="1"/>
                <w:iCs w:val="1"/>
                <w:color w:val="auto"/>
                <w:w w:val="97"/>
              </w:rPr>
              <w:t>2018 RAU Agreement</w:t>
            </w:r>
            <w:r>
              <w:rPr>
                <w:rFonts w:ascii="Arial" w:cs="Arial" w:eastAsia="Arial" w:hAnsi="Arial"/>
                <w:sz w:val="15"/>
                <w:szCs w:val="15"/>
                <w:color w:val="auto"/>
                <w:w w:val="97"/>
              </w:rPr>
              <w:t>”) and the</w:t>
            </w:r>
          </w:p>
        </w:tc>
      </w:tr>
      <w:tr>
        <w:trPr>
          <w:trHeight w:val="188"/>
        </w:trPr>
        <w:tc>
          <w:tcPr>
            <w:tcW w:w="380" w:type="dxa"/>
            <w:vAlign w:val="bottom"/>
            <w:tcBorders>
              <w:left w:val="single" w:sz="8" w:color="auto"/>
              <w:bottom w:val="single" w:sz="8" w:color="auto"/>
            </w:tcBorders>
          </w:tcPr>
          <w:p>
            <w:pPr>
              <w:spacing w:after="0"/>
              <w:rPr>
                <w:sz w:val="16"/>
                <w:szCs w:val="16"/>
                <w:color w:val="auto"/>
              </w:rPr>
            </w:pPr>
          </w:p>
        </w:tc>
        <w:tc>
          <w:tcPr>
            <w:tcW w:w="2420" w:type="dxa"/>
            <w:vAlign w:val="bottom"/>
            <w:tcBorders>
              <w:bottom w:val="single" w:sz="8" w:color="auto"/>
              <w:right w:val="single" w:sz="8" w:color="auto"/>
            </w:tcBorders>
          </w:tcPr>
          <w:p>
            <w:pPr>
              <w:spacing w:after="0"/>
              <w:rPr>
                <w:sz w:val="16"/>
                <w:szCs w:val="16"/>
                <w:color w:val="auto"/>
              </w:rPr>
            </w:pPr>
          </w:p>
        </w:tc>
        <w:tc>
          <w:tcPr>
            <w:tcW w:w="7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Restricted Award Plan</w:t>
            </w:r>
          </w:p>
        </w:tc>
      </w:tr>
      <w:tr>
        <w:trPr>
          <w:trHeight w:val="169"/>
        </w:trPr>
        <w:tc>
          <w:tcPr>
            <w:tcW w:w="38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90"/>
              </w:rPr>
              <w:t>5,904</w:t>
            </w:r>
          </w:p>
        </w:tc>
        <w:tc>
          <w:tcPr>
            <w:tcW w:w="242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Target LTGP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0"/>
              </w:rPr>
              <w:t>LTGP Performance Cycle Memorandum 2018-2020 Award Cycle (the “</w:t>
            </w:r>
            <w:r>
              <w:rPr>
                <w:rFonts w:ascii="Arial" w:cs="Arial" w:eastAsia="Arial" w:hAnsi="Arial"/>
                <w:sz w:val="15"/>
                <w:szCs w:val="15"/>
                <w:b w:val="1"/>
                <w:bCs w:val="1"/>
                <w:i w:val="1"/>
                <w:iCs w:val="1"/>
                <w:color w:val="auto"/>
                <w:w w:val="90"/>
              </w:rPr>
              <w:t>2018 LTGP Agreement</w:t>
            </w:r>
            <w:r>
              <w:rPr>
                <w:rFonts w:ascii="Arial" w:cs="Arial" w:eastAsia="Arial" w:hAnsi="Arial"/>
                <w:sz w:val="15"/>
                <w:szCs w:val="15"/>
                <w:color w:val="auto"/>
                <w:w w:val="90"/>
              </w:rPr>
              <w:t>”) and the Long Term Growth Plan</w:t>
            </w:r>
          </w:p>
        </w:tc>
      </w:tr>
      <w:tr>
        <w:trPr>
          <w:trHeight w:val="168"/>
        </w:trPr>
        <w:tc>
          <w:tcPr>
            <w:tcW w:w="280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47,298 SVP Units</w:t>
            </w:r>
          </w:p>
        </w:tc>
        <w:tc>
          <w:tcPr>
            <w:tcW w:w="778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2"/>
              </w:rPr>
              <w:t>SVP Performance Cycle Memorandum 2018-2020 Award Cycle (the “</w:t>
            </w:r>
            <w:r>
              <w:rPr>
                <w:rFonts w:ascii="Arial" w:cs="Arial" w:eastAsia="Arial" w:hAnsi="Arial"/>
                <w:sz w:val="15"/>
                <w:szCs w:val="15"/>
                <w:b w:val="1"/>
                <w:bCs w:val="1"/>
                <w:i w:val="1"/>
                <w:iCs w:val="1"/>
                <w:color w:val="auto"/>
                <w:w w:val="92"/>
              </w:rPr>
              <w:t>2018 SVP Agreement</w:t>
            </w:r>
            <w:r>
              <w:rPr>
                <w:rFonts w:ascii="Arial" w:cs="Arial" w:eastAsia="Arial" w:hAnsi="Arial"/>
                <w:sz w:val="15"/>
                <w:szCs w:val="15"/>
                <w:color w:val="auto"/>
                <w:w w:val="92"/>
              </w:rPr>
              <w:t>”) and the Shareholder Value Plan</w:t>
            </w:r>
          </w:p>
        </w:tc>
      </w:tr>
    </w:tbl>
    <w:p>
      <w:pPr>
        <w:spacing w:after="0" w:line="17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Effective immediately, your LTIP Award Agreements are hereby amended as follows:</w:t>
      </w:r>
    </w:p>
    <w:p>
      <w:pPr>
        <w:spacing w:after="0" w:line="278" w:lineRule="exact"/>
        <w:rPr>
          <w:sz w:val="20"/>
          <w:szCs w:val="20"/>
          <w:color w:val="auto"/>
        </w:rPr>
      </w:pPr>
    </w:p>
    <w:p>
      <w:pPr>
        <w:ind w:left="660" w:hanging="651"/>
        <w:spacing w:after="0"/>
        <w:tabs>
          <w:tab w:leader="none" w:pos="660" w:val="left"/>
        </w:tabs>
        <w:numPr>
          <w:ilvl w:val="0"/>
          <w:numId w:val="133"/>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 to 2020 RSU Agreement</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378460</wp:posOffset>
            </wp:positionV>
            <wp:extent cx="7171055" cy="139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05" w:name="page206"/>
    <w:bookmarkEnd w:id="205"/>
    <w:p>
      <w:pPr>
        <w:ind w:left="800"/>
        <w:spacing w:after="0"/>
        <w:rPr>
          <w:sz w:val="20"/>
          <w:szCs w:val="20"/>
          <w:color w:val="auto"/>
        </w:rPr>
      </w:pPr>
      <w:r>
        <w:rPr>
          <w:rFonts w:ascii="Arial" w:cs="Arial" w:eastAsia="Arial" w:hAnsi="Arial"/>
          <w:sz w:val="15"/>
          <w:szCs w:val="15"/>
          <w:color w:val="auto"/>
        </w:rPr>
        <w:t>The second paragraph under Section 2 (“Accelerated Vesting”) in Exhibit B to the 2020 RSU Agreement is hereby amended to read as follows:</w:t>
      </w:r>
    </w:p>
    <w:p>
      <w:pPr>
        <w:spacing w:after="0" w:line="371" w:lineRule="exact"/>
        <w:rPr>
          <w:sz w:val="20"/>
          <w:szCs w:val="20"/>
          <w:color w:val="auto"/>
        </w:rPr>
      </w:pPr>
    </w:p>
    <w:p>
      <w:pPr>
        <w:jc w:val="both"/>
        <w:ind w:left="800"/>
        <w:spacing w:after="0" w:line="284" w:lineRule="auto"/>
        <w:rPr>
          <w:sz w:val="20"/>
          <w:szCs w:val="20"/>
          <w:color w:val="auto"/>
        </w:rPr>
      </w:pPr>
      <w:r>
        <w:rPr>
          <w:rFonts w:ascii="Arial" w:cs="Arial" w:eastAsia="Arial" w:hAnsi="Arial"/>
          <w:sz w:val="14"/>
          <w:szCs w:val="14"/>
          <w:color w:val="auto"/>
        </w:rPr>
        <w:t>The Award shall also be eligible for accelerated vesting as provided in Section 12.2 of the Plan. Notwithstanding the foregoing, and notwithstanding anything to the contrary contained in the Plan, in the event of a Change in Control, provided Participant has not experienced a Termination of Service prior to the Change in Control, all of the RSUs shall accelerate, vest and be settled in full in shares of Common Stock immediately prior to such Change in Control.</w:t>
      </w:r>
    </w:p>
    <w:p>
      <w:pPr>
        <w:spacing w:after="0" w:line="333" w:lineRule="exact"/>
        <w:rPr>
          <w:sz w:val="20"/>
          <w:szCs w:val="20"/>
          <w:color w:val="auto"/>
        </w:rPr>
      </w:pPr>
    </w:p>
    <w:p>
      <w:pPr>
        <w:ind w:left="660" w:hanging="651"/>
        <w:spacing w:after="0"/>
        <w:tabs>
          <w:tab w:leader="none" w:pos="660" w:val="left"/>
        </w:tabs>
        <w:numPr>
          <w:ilvl w:val="0"/>
          <w:numId w:val="134"/>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2020 PSU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first two paragraphs under Section 2 (“Accelerated Vesting”) in Exhibit B to the PSU Agreement are hereby replaced with the following:</w:t>
      </w:r>
    </w:p>
    <w:p>
      <w:pPr>
        <w:spacing w:after="0" w:line="371" w:lineRule="exact"/>
        <w:rPr>
          <w:sz w:val="20"/>
          <w:szCs w:val="20"/>
          <w:color w:val="auto"/>
        </w:rPr>
      </w:pPr>
    </w:p>
    <w:p>
      <w:pPr>
        <w:jc w:val="both"/>
        <w:ind w:left="800"/>
        <w:spacing w:after="0" w:line="296" w:lineRule="auto"/>
        <w:rPr>
          <w:sz w:val="20"/>
          <w:szCs w:val="20"/>
          <w:color w:val="auto"/>
        </w:rPr>
      </w:pPr>
      <w:r>
        <w:rPr>
          <w:rFonts w:ascii="Arial" w:cs="Arial" w:eastAsia="Arial" w:hAnsi="Arial"/>
          <w:sz w:val="13"/>
          <w:szCs w:val="13"/>
          <w:color w:val="auto"/>
        </w:rPr>
        <w:t>In the event of Participant’s Termination of Service due to Retirement, death or Disability prior to the Payment Date and prior to the occurrence of a Change in Control, Participant will remain eligible to vest in and receive on the Payment Date (or, if earlier, the date of a Change in Control), that number of PSUs as is determined by multiplying (a) the number of PSUs that Participant would vest in as provided in Section 1 of this Exhibit B had he/she not incurred a Termination of Service prior to the Payment Date (or, in the event of a Change in Control prior to December 31, 2022,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46" w:lineRule="exact"/>
        <w:rPr>
          <w:sz w:val="20"/>
          <w:szCs w:val="20"/>
          <w:color w:val="auto"/>
        </w:rPr>
      </w:pPr>
    </w:p>
    <w:p>
      <w:pPr>
        <w:jc w:val="both"/>
        <w:ind w:left="800"/>
        <w:spacing w:after="0" w:line="253" w:lineRule="auto"/>
        <w:rPr>
          <w:sz w:val="20"/>
          <w:szCs w:val="20"/>
          <w:color w:val="auto"/>
        </w:rPr>
      </w:pPr>
      <w:r>
        <w:rPr>
          <w:rFonts w:ascii="Arial" w:cs="Arial" w:eastAsia="Arial" w:hAnsi="Arial"/>
          <w:sz w:val="15"/>
          <w:szCs w:val="15"/>
          <w:color w:val="auto"/>
        </w:rPr>
        <w:t>The Award shall also be eligible for accelerated vesting as provided in Section 12.2 of the Plan. Notwithstanding the foregoing, and notwithstanding anything to the contrary contained in the Plan, in the event of a Change in Control prior to December 31, 2022, provided Participant has not experienced a Termination of Service prior to the Change in Control, a number of PSUs equal to the Target PSUs shall accelerate, vest and be settled in shares of Common Stock immediately prior to such Change in Control.</w:t>
      </w:r>
    </w:p>
    <w:p>
      <w:pPr>
        <w:spacing w:after="0" w:line="344" w:lineRule="exact"/>
        <w:rPr>
          <w:sz w:val="20"/>
          <w:szCs w:val="20"/>
          <w:color w:val="auto"/>
        </w:rPr>
      </w:pPr>
    </w:p>
    <w:p>
      <w:pPr>
        <w:ind w:left="660" w:hanging="651"/>
        <w:spacing w:after="0"/>
        <w:tabs>
          <w:tab w:leader="none" w:pos="660" w:val="left"/>
        </w:tabs>
        <w:numPr>
          <w:ilvl w:val="0"/>
          <w:numId w:val="135"/>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(“Payment of Awards”) shall be added to the end of such Section as follows:</w:t>
      </w:r>
    </w:p>
    <w:p>
      <w:pPr>
        <w:spacing w:after="0" w:line="371" w:lineRule="exact"/>
        <w:rPr>
          <w:sz w:val="20"/>
          <w:szCs w:val="20"/>
          <w:color w:val="auto"/>
        </w:rPr>
      </w:pPr>
    </w:p>
    <w:p>
      <w:pPr>
        <w:jc w:val="both"/>
        <w:ind w:left="1200"/>
        <w:spacing w:after="0" w:line="315" w:lineRule="auto"/>
        <w:rPr>
          <w:sz w:val="20"/>
          <w:szCs w:val="20"/>
          <w:color w:val="auto"/>
        </w:rPr>
      </w:pPr>
      <w:r>
        <w:rPr>
          <w:rFonts w:ascii="Arial" w:cs="Arial" w:eastAsia="Arial" w:hAnsi="Arial"/>
          <w:sz w:val="13"/>
          <w:szCs w:val="13"/>
          <w:color w:val="auto"/>
        </w:rPr>
        <w:t>Notwithstanding anything to the contrary contained in this Memorandum or the Plan, in the event of a Change in Control, provided Participant has not experienced a termination of employment prior to the Change in Control, all of the outstanding RAUs shall accelerate, vest and be settled in shares of the Corporation’s common stock (with one share of the Corporation’s common stock paid for each vested RAU) immediately prior to such Change in Control.</w:t>
      </w:r>
    </w:p>
    <w:p>
      <w:pPr>
        <w:spacing w:after="0" w:line="305" w:lineRule="exact"/>
        <w:rPr>
          <w:sz w:val="20"/>
          <w:szCs w:val="20"/>
          <w:color w:val="auto"/>
        </w:rPr>
      </w:pPr>
    </w:p>
    <w:p>
      <w:pPr>
        <w:ind w:left="660" w:hanging="651"/>
        <w:spacing w:after="0"/>
        <w:tabs>
          <w:tab w:leader="none" w:pos="660" w:val="left"/>
        </w:tabs>
        <w:numPr>
          <w:ilvl w:val="0"/>
          <w:numId w:val="136"/>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(“Payout”) shall be added to the end of such Section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Mike Kolloway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Page 2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3">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318" w:right="1119" w:bottom="1440" w:gutter="0" w:footer="0" w:header="0"/>
        </w:sectPr>
      </w:pPr>
    </w:p>
    <w:bookmarkStart w:id="206" w:name="page207"/>
    <w:bookmarkEnd w:id="206"/>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provided Participant has not experienced a termination of employment prior to the Change in Control, the Published Share Price for purposes of calculating the value of each outstanding RAU shall be equal to the price per share to be paid to the Corporation’s stockholders in the Change in Control. The Committee will calculate the Award that will be paid to a Participant immediately prior to the Change in Control by multiplying the number of RAUs granted to the Participant by the price per share to be paid to the Corporation’s stockholders in the Change in Control. The product of that calculation shall be the amount of a Participant’s Award payment for the 2018-2020 Cycle, which amount shall be paid, in cash, immediately prior to the Change in Control.</w:t>
      </w:r>
    </w:p>
    <w:p>
      <w:pPr>
        <w:spacing w:after="0" w:line="242" w:lineRule="exact"/>
        <w:rPr>
          <w:sz w:val="20"/>
          <w:szCs w:val="20"/>
          <w:color w:val="auto"/>
        </w:rPr>
      </w:pPr>
    </w:p>
    <w:p>
      <w:pPr>
        <w:ind w:left="660" w:hanging="651"/>
        <w:spacing w:after="0"/>
        <w:tabs>
          <w:tab w:leader="none" w:pos="660" w:val="left"/>
        </w:tabs>
        <w:numPr>
          <w:ilvl w:val="0"/>
          <w:numId w:val="137"/>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0"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 Article 6 of the Plan), the Committee will determine the final percentage of the Opportunity Target to be paid to each Participant and the percentage of the Awards that will be paid, and the resulting number of units shall vest and be settled in shares of the Corporation’s common stock (with one share of the Corporation’s common stock paid for each vested LTGP unit) immediately prior to such Change in Control (subject to pro-ration due to Retirement, death or Disability during the Performance Cycle as provided in Article 6 of the Plan).</w:t>
      </w:r>
    </w:p>
    <w:p>
      <w:pPr>
        <w:spacing w:after="0" w:line="72"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(including Article 7 of the Plan), in the event of a Change in Control prior to the completion of the Performance Cycle, provided that Participant has not experienced a termination of employment prior to the Change in Control (except as provided in Article 6 of the Plan), a number of units equal to 100% of the total Opportunity Target shall accelerate, vest and be settled in shares of the Corporation’s common stock (with one share of the Corporation’s common stock paid for each vested LTGP unit) immediately prior to such Change in Control (subject to pro-ration due to Retirement, death or Disability during the Performance Cycle and prior to the Change in Control as provided in Article 6 of the Plan).</w:t>
      </w:r>
    </w:p>
    <w:p>
      <w:pPr>
        <w:spacing w:after="0" w:line="242" w:lineRule="exact"/>
        <w:rPr>
          <w:sz w:val="20"/>
          <w:szCs w:val="20"/>
          <w:color w:val="auto"/>
        </w:rPr>
      </w:pPr>
    </w:p>
    <w:p>
      <w:pPr>
        <w:ind w:left="660" w:hanging="651"/>
        <w:spacing w:after="0"/>
        <w:tabs>
          <w:tab w:leader="none" w:pos="660" w:val="left"/>
        </w:tabs>
        <w:numPr>
          <w:ilvl w:val="0"/>
          <w:numId w:val="139"/>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40"/>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7"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Mike Kolloway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Page 3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4">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207" w:name="page208"/>
    <w:bookmarkEnd w:id="207"/>
    <w:p>
      <w:pPr>
        <w:jc w:val="both"/>
        <w:ind w:left="1600"/>
        <w:spacing w:after="0" w:line="250" w:lineRule="auto"/>
        <w:rPr>
          <w:sz w:val="20"/>
          <w:szCs w:val="20"/>
          <w:color w:val="auto"/>
        </w:rPr>
      </w:pPr>
      <w:r>
        <w:rPr>
          <w:rFonts w:ascii="Arial" w:cs="Arial" w:eastAsia="Arial" w:hAnsi="Arial"/>
          <w:sz w:val="15"/>
          <w:szCs w:val="15"/>
          <w:color w:val="auto"/>
        </w:rPr>
        <w:t>Article 6 of the Plan), the Committee will calculate the Long Term Growth Award earned for the Performance Cycle that will be paid to a Participant immediately prior to the Change in Control by multiplying the percentage of the total Opportunity Target earned as determined by the Committee in accordance with this Memorandum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75" w:lineRule="exact"/>
        <w:rPr>
          <w:sz w:val="20"/>
          <w:szCs w:val="20"/>
          <w:color w:val="auto"/>
        </w:rPr>
      </w:pPr>
    </w:p>
    <w:p>
      <w:pPr>
        <w:jc w:val="both"/>
        <w:ind w:left="1600"/>
        <w:spacing w:after="0" w:line="249"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prior to the completion of the Performance Cycle, provided Participant has not experienced a termination of employment prior to the Change in Control (except as provided in Article 6 of the Plan), the Committee will calculate the Long Term Growth Award that will be paid to a Participant immediately prior to the Change in Control by multiplying the number of units equal to 100% of the total Opportunity Target granted to the Participant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349" w:lineRule="exact"/>
        <w:rPr>
          <w:sz w:val="20"/>
          <w:szCs w:val="20"/>
          <w:color w:val="auto"/>
        </w:rPr>
      </w:pPr>
    </w:p>
    <w:p>
      <w:pPr>
        <w:ind w:left="660" w:hanging="651"/>
        <w:spacing w:after="0"/>
        <w:tabs>
          <w:tab w:leader="none" w:pos="660" w:val="left"/>
        </w:tabs>
        <w:numPr>
          <w:ilvl w:val="0"/>
          <w:numId w:val="141"/>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SVP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8 (“Calculation of Value of Performance Award”) shall be added to the end of such Section as follows:</w:t>
      </w:r>
    </w:p>
    <w:p>
      <w:pPr>
        <w:spacing w:after="0" w:line="371" w:lineRule="exact"/>
        <w:rPr>
          <w:sz w:val="20"/>
          <w:szCs w:val="20"/>
          <w:color w:val="auto"/>
        </w:rPr>
      </w:pPr>
    </w:p>
    <w:p>
      <w:pPr>
        <w:jc w:val="both"/>
        <w:ind w:left="800"/>
        <w:spacing w:after="0" w:line="270"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prior to December 31, 2020, provided Participant has not experienced a termination of employment prior to the Change in Control (except as provided in Article 6 of the Plan), the Committee will calculate the value of the 2018-2020 Performance Cycle Incentive Award that will be paid to a Participant prior to the Change in Control by subtracting (i) the per share value of the Corporation’s shares reported in February 2018 (which value shall be determined using the end of 2017 value as reported by the Corporation’s valuation consultant Houlihan, Lokey) from (ii) the price per share to be paid the Corporation’s stockholders in such Change in Control.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after December 31, 2020 but prior to the payment of the Incentive Awards, the Committee will calculate the value of the 2018-2020 Performance Cycle Incentive Award that will be paid to a Participant prior to the Change in Control in accordance with the terms of this Memorandum and the Plan.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and prior to the Change in Control.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67" w:lineRule="auto"/>
        <w:rPr>
          <w:sz w:val="20"/>
          <w:szCs w:val="20"/>
          <w:color w:val="auto"/>
        </w:rPr>
      </w:pPr>
      <w:r>
        <w:rPr>
          <w:rFonts w:ascii="Arial" w:cs="Arial" w:eastAsia="Arial" w:hAnsi="Arial"/>
          <w:sz w:val="15"/>
          <w:szCs w:val="15"/>
          <w:color w:val="auto"/>
        </w:rPr>
        <w:t>The resulting Performance Award payment for this 2018-2020 Performance Cycle upon a Change in Control will be paid immediately prior to the Change in Control, unless a Participant has made 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Mike Kolloway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Page 4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208" w:name="page209"/>
    <w:bookmarkEnd w:id="208"/>
    <w:p>
      <w:pPr>
        <w:jc w:val="both"/>
        <w:ind w:left="800" w:right="800"/>
        <w:spacing w:after="0" w:line="257" w:lineRule="auto"/>
        <w:rPr>
          <w:sz w:val="20"/>
          <w:szCs w:val="20"/>
          <w:color w:val="auto"/>
        </w:rPr>
      </w:pPr>
      <w:r>
        <w:rPr>
          <w:rFonts w:ascii="Arial" w:cs="Arial" w:eastAsia="Arial" w:hAnsi="Arial"/>
          <w:sz w:val="15"/>
          <w:szCs w:val="15"/>
          <w:color w:val="auto"/>
        </w:rPr>
        <w:t>deferred payment election under Section 5.4 of the Plan, in which case the amount otherwise payable to the Participant upon a Change in Control shall be credited to the Participant’s Deferral Account and the provisions of Sections 5.4 and 7.2 of the Plan and the Participant’s Deferral Agreement shall govern the time and method of payment.</w:t>
      </w:r>
    </w:p>
    <w:p>
      <w:pPr>
        <w:spacing w:after="0" w:line="255" w:lineRule="exact"/>
        <w:rPr>
          <w:sz w:val="20"/>
          <w:szCs w:val="20"/>
          <w:color w:val="auto"/>
        </w:rPr>
      </w:pPr>
    </w:p>
    <w:p>
      <w:pPr>
        <w:jc w:val="both"/>
        <w:ind w:firstLine="793"/>
        <w:spacing w:after="0" w:line="270" w:lineRule="auto"/>
        <w:rPr>
          <w:sz w:val="20"/>
          <w:szCs w:val="20"/>
          <w:color w:val="auto"/>
        </w:rPr>
      </w:pPr>
      <w:r>
        <w:rPr>
          <w:rFonts w:ascii="Arial" w:cs="Arial" w:eastAsia="Arial" w:hAnsi="Arial"/>
          <w:sz w:val="14"/>
          <w:szCs w:val="14"/>
          <w:color w:val="auto"/>
        </w:rPr>
        <w:t>The LTIP Award Agreements, and the plans pursuant to which the LTIP Awards were granted (to the extent inconsistent with this letter), will each be deemed amended to the extent necessary to reflect the terms of this letter. For the avoidance of doubt, the board of directors of the Corporation has approved the terms of this letter, and therefore the plans pursuant to which the LTIP Awards were granted are hereby amended in order to effect the terms and conditions of this letter. In the event of any inconsistency between the LTIP Award Agreements (as amended by this letter) and the corresponding plans pursuant to which such LTIP Awards were granted, the LTIP Awards Agreements (as amended by this letter) will govern. All other terms and conditions of your LTIP Award Agreements remain as described in the applicable LTIP Award Agreements and plans. The application of this letter agreement to your LTIP Awards shall not amend an outstanding LTIP Award Agreement to the extent such amendment would cause adverse tax consequences to you under Section 409A of the Internal Revenue Code, and any such amendment shall be null and void.</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Please acknowledge the new terms applicable to your LTIP Awards by returning a signed copy to Stacey Salazar at stacey.salazar@parsons.com.</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you have any questions or concerns, please do not hesitate to contact Stacey Salazar at stacey.salazar@parsons.com.</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Debra Fiori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Acknowledged, Accepted and Agreed.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3920" w:val="left"/>
        </w:tabs>
        <w:rPr>
          <w:sz w:val="20"/>
          <w:szCs w:val="20"/>
          <w:color w:val="auto"/>
        </w:rPr>
      </w:pPr>
      <w:r>
        <w:rPr>
          <w:rFonts w:ascii="Arial" w:cs="Arial" w:eastAsia="Arial" w:hAnsi="Arial"/>
          <w:sz w:val="15"/>
          <w:szCs w:val="15"/>
          <w:color w:val="auto"/>
        </w:rPr>
        <w:t>Michael R. Kolloway</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Mike Kolloway</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Page 5 of 5</w:t>
      </w:r>
    </w:p>
    <w:p>
      <w:pPr>
        <w:sectPr>
          <w:pgSz w:w="11900" w:h="16838" w:orient="portrait"/>
          <w:cols w:equalWidth="0" w:num="1">
            <w:col w:w="11280"/>
          </w:cols>
          <w:pgMar w:left="300" w:top="406" w:right="3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5"/>
          <w:szCs w:val="15"/>
          <w:color w:val="auto"/>
        </w:rPr>
        <w:t>Exhibit 10.32</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August 10, 2020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Debra Fiori, Chief People Officer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Parsons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Subject: Amendment to LTIP Awards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Dear Debra,</w:t>
      </w:r>
    </w:p>
    <w:p>
      <w:pPr>
        <w:spacing w:after="0" w:line="93" w:lineRule="exact"/>
        <w:rPr>
          <w:sz w:val="20"/>
          <w:szCs w:val="20"/>
          <w:color w:val="auto"/>
        </w:rPr>
      </w:pPr>
    </w:p>
    <w:p>
      <w:pPr>
        <w:ind w:right="120" w:firstLine="793"/>
        <w:spacing w:after="0" w:line="305" w:lineRule="auto"/>
        <w:rPr>
          <w:sz w:val="20"/>
          <w:szCs w:val="20"/>
          <w:color w:val="auto"/>
        </w:rPr>
      </w:pPr>
      <w:r>
        <w:rPr>
          <w:rFonts w:ascii="Arial" w:cs="Arial" w:eastAsia="Arial" w:hAnsi="Arial"/>
          <w:sz w:val="13"/>
          <w:szCs w:val="13"/>
          <w:color w:val="auto"/>
        </w:rPr>
        <w:t>Parsons Corporation (the “</w:t>
      </w:r>
      <w:r>
        <w:rPr>
          <w:rFonts w:ascii="Arial" w:cs="Arial" w:eastAsia="Arial" w:hAnsi="Arial"/>
          <w:sz w:val="13"/>
          <w:szCs w:val="13"/>
          <w:b w:val="1"/>
          <w:bCs w:val="1"/>
          <w:i w:val="1"/>
          <w:iCs w:val="1"/>
          <w:color w:val="auto"/>
        </w:rPr>
        <w:t>Corporation</w:t>
      </w:r>
      <w:r>
        <w:rPr>
          <w:rFonts w:ascii="Arial" w:cs="Arial" w:eastAsia="Arial" w:hAnsi="Arial"/>
          <w:sz w:val="13"/>
          <w:szCs w:val="13"/>
          <w:color w:val="auto"/>
        </w:rPr>
        <w:t>”) has granted you the following long-term incentive awards (collectively, the “</w:t>
      </w:r>
      <w:r>
        <w:rPr>
          <w:rFonts w:ascii="Arial" w:cs="Arial" w:eastAsia="Arial" w:hAnsi="Arial"/>
          <w:sz w:val="13"/>
          <w:szCs w:val="13"/>
          <w:b w:val="1"/>
          <w:bCs w:val="1"/>
          <w:i w:val="1"/>
          <w:iCs w:val="1"/>
          <w:color w:val="auto"/>
        </w:rPr>
        <w:t>LTIP Awards</w:t>
      </w:r>
      <w:r>
        <w:rPr>
          <w:rFonts w:ascii="Arial" w:cs="Arial" w:eastAsia="Arial" w:hAnsi="Arial"/>
          <w:sz w:val="13"/>
          <w:szCs w:val="13"/>
          <w:color w:val="auto"/>
        </w:rPr>
        <w:t>”) pursuant to the agreements listed below (the “</w:t>
      </w:r>
      <w:r>
        <w:rPr>
          <w:rFonts w:ascii="Arial" w:cs="Arial" w:eastAsia="Arial" w:hAnsi="Arial"/>
          <w:sz w:val="13"/>
          <w:szCs w:val="13"/>
          <w:b w:val="1"/>
          <w:bCs w:val="1"/>
          <w:i w:val="1"/>
          <w:iCs w:val="1"/>
          <w:color w:val="auto"/>
        </w:rPr>
        <w:t>LTIP Award Agreements</w:t>
      </w:r>
      <w:r>
        <w:rPr>
          <w:rFonts w:ascii="Arial" w:cs="Arial" w:eastAsia="Arial" w:hAnsi="Arial"/>
          <w:sz w:val="13"/>
          <w:szCs w:val="13"/>
          <w:color w:val="auto"/>
        </w:rPr>
        <w:t>”). Unless otherwise defined herein, the terms defined in the applicable plan governing your LTIP Awards, or in the applicable LTIP Award Agreement, shall have the same defined meanings in this letter. The purpose of this letter is to provide you with certain enhanced accelerated vesting under your LTIP Award Agreements in the event of a Change in Control (as such term is defined in the applicable plan governing your LTIP Awards). The LTIP Awards and LTIP Award Agreements amended by this letter are listed below:</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380" w:type="dxa"/>
            <w:vAlign w:val="bottom"/>
            <w:tcBorders>
              <w:top w:val="single" w:sz="8" w:color="auto"/>
              <w:left w:val="single" w:sz="8" w:color="auto"/>
              <w:bottom w:val="single" w:sz="8" w:color="auto"/>
            </w:tcBorders>
          </w:tcPr>
          <w:p>
            <w:pPr>
              <w:spacing w:after="0"/>
              <w:rPr>
                <w:sz w:val="16"/>
                <w:szCs w:val="16"/>
                <w:color w:val="auto"/>
              </w:rPr>
            </w:pPr>
          </w:p>
        </w:tc>
        <w:tc>
          <w:tcPr>
            <w:tcW w:w="230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p>
        </w:tc>
        <w:tc>
          <w:tcPr>
            <w:tcW w:w="7900" w:type="dxa"/>
            <w:vAlign w:val="bottom"/>
            <w:tcBorders>
              <w:top w:val="single" w:sz="8" w:color="auto"/>
              <w:bottom w:val="single" w:sz="8" w:color="auto"/>
              <w:right w:val="single" w:sz="8" w:color="auto"/>
            </w:tcBorders>
          </w:tcPr>
          <w:p>
            <w:pPr>
              <w:ind w:left="3020"/>
              <w:spacing w:after="0"/>
              <w:rPr>
                <w:sz w:val="20"/>
                <w:szCs w:val="20"/>
                <w:color w:val="auto"/>
              </w:rPr>
            </w:pPr>
            <w:r>
              <w:rPr>
                <w:rFonts w:ascii="Arial" w:cs="Arial" w:eastAsia="Arial" w:hAnsi="Arial"/>
                <w:sz w:val="15"/>
                <w:szCs w:val="15"/>
                <w:b w:val="1"/>
                <w:bCs w:val="1"/>
                <w:color w:val="auto"/>
              </w:rPr>
              <w:t>LTIP A</w:t>
            </w:r>
            <w:r>
              <w:rPr>
                <w:rFonts w:ascii="Arial" w:cs="Arial" w:eastAsia="Arial" w:hAnsi="Arial"/>
                <w:sz w:val="9"/>
                <w:szCs w:val="9"/>
                <w:b w:val="1"/>
                <w:bCs w:val="1"/>
                <w:color w:val="auto"/>
              </w:rPr>
              <w:t>WARD</w:t>
            </w:r>
            <w:r>
              <w:rPr>
                <w:rFonts w:ascii="Arial" w:cs="Arial" w:eastAsia="Arial" w:hAnsi="Arial"/>
                <w:sz w:val="15"/>
                <w:szCs w:val="15"/>
                <w:b w:val="1"/>
                <w:bCs w:val="1"/>
                <w:color w:val="auto"/>
              </w:rPr>
              <w:t xml:space="preserve"> A</w:t>
            </w:r>
            <w:r>
              <w:rPr>
                <w:rFonts w:ascii="Arial" w:cs="Arial" w:eastAsia="Arial" w:hAnsi="Arial"/>
                <w:sz w:val="9"/>
                <w:szCs w:val="9"/>
                <w:b w:val="1"/>
                <w:bCs w:val="1"/>
                <w:color w:val="auto"/>
              </w:rPr>
              <w:t>GREEMENT</w:t>
            </w:r>
            <w:r>
              <w:rPr>
                <w:rFonts w:ascii="Arial" w:cs="Arial" w:eastAsia="Arial" w:hAnsi="Arial"/>
                <w:sz w:val="15"/>
                <w:szCs w:val="15"/>
                <w:b w:val="1"/>
                <w:bCs w:val="1"/>
                <w:color w:val="auto"/>
              </w:rPr>
              <w:t>/P</w:t>
            </w:r>
            <w:r>
              <w:rPr>
                <w:rFonts w:ascii="Arial" w:cs="Arial" w:eastAsia="Arial" w:hAnsi="Arial"/>
                <w:sz w:val="9"/>
                <w:szCs w:val="9"/>
                <w:b w:val="1"/>
                <w:bCs w:val="1"/>
                <w:color w:val="auto"/>
              </w:rPr>
              <w:t>LAN</w:t>
            </w: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790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5"/>
                <w:szCs w:val="15"/>
                <w:b w:val="1"/>
                <w:bCs w:val="1"/>
                <w:color w:val="auto"/>
              </w:rPr>
              <w:t>2020 Awards</w:t>
            </w:r>
          </w:p>
        </w:tc>
      </w:tr>
      <w:tr>
        <w:trPr>
          <w:trHeight w:val="158"/>
        </w:trPr>
        <w:tc>
          <w:tcPr>
            <w:tcW w:w="38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90"/>
              </w:rPr>
              <w:t>5,027</w:t>
            </w:r>
          </w:p>
        </w:tc>
        <w:tc>
          <w:tcPr>
            <w:tcW w:w="23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RSUs</w:t>
            </w:r>
          </w:p>
        </w:tc>
        <w:tc>
          <w:tcPr>
            <w:tcW w:w="79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1"/>
              </w:rPr>
              <w:t>Restricted Stock Unit Grant Notice (the “</w:t>
            </w:r>
            <w:r>
              <w:rPr>
                <w:rFonts w:ascii="Arial" w:cs="Arial" w:eastAsia="Arial" w:hAnsi="Arial"/>
                <w:sz w:val="15"/>
                <w:szCs w:val="15"/>
                <w:b w:val="1"/>
                <w:bCs w:val="1"/>
                <w:i w:val="1"/>
                <w:iCs w:val="1"/>
                <w:color w:val="auto"/>
                <w:w w:val="91"/>
              </w:rPr>
              <w:t>2020 RSU Agreement</w:t>
            </w:r>
            <w:r>
              <w:rPr>
                <w:rFonts w:ascii="Arial" w:cs="Arial" w:eastAsia="Arial" w:hAnsi="Arial"/>
                <w:sz w:val="15"/>
                <w:szCs w:val="15"/>
                <w:color w:val="auto"/>
                <w:w w:val="91"/>
              </w:rPr>
              <w:t>”) and the Corporation’s Incentive Award Plan (the “</w:t>
            </w:r>
            <w:r>
              <w:rPr>
                <w:rFonts w:ascii="Arial" w:cs="Arial" w:eastAsia="Arial" w:hAnsi="Arial"/>
                <w:sz w:val="15"/>
                <w:szCs w:val="15"/>
                <w:b w:val="1"/>
                <w:bCs w:val="1"/>
                <w:i w:val="1"/>
                <w:iCs w:val="1"/>
                <w:color w:val="auto"/>
                <w:w w:val="91"/>
              </w:rPr>
              <w:t>Equity Plan</w:t>
            </w:r>
            <w:r>
              <w:rPr>
                <w:rFonts w:ascii="Arial" w:cs="Arial" w:eastAsia="Arial" w:hAnsi="Arial"/>
                <w:sz w:val="15"/>
                <w:szCs w:val="15"/>
                <w:color w:val="auto"/>
                <w:w w:val="91"/>
              </w:rPr>
              <w:t>”),</w:t>
            </w:r>
          </w:p>
        </w:tc>
      </w:tr>
      <w:tr>
        <w:trPr>
          <w:trHeight w:val="188"/>
        </w:trPr>
        <w:tc>
          <w:tcPr>
            <w:tcW w:w="380" w:type="dxa"/>
            <w:vAlign w:val="bottom"/>
            <w:tcBorders>
              <w:left w:val="single" w:sz="8" w:color="auto"/>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granted on March 5, 2020.</w:t>
            </w:r>
          </w:p>
        </w:tc>
      </w:tr>
      <w:tr>
        <w:trPr>
          <w:trHeight w:val="169"/>
        </w:trPr>
        <w:tc>
          <w:tcPr>
            <w:tcW w:w="38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90"/>
              </w:rPr>
              <w:t>7,541</w:t>
            </w:r>
          </w:p>
        </w:tc>
        <w:tc>
          <w:tcPr>
            <w:tcW w:w="23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Target PSUs</w:t>
            </w:r>
          </w:p>
        </w:tc>
        <w:tc>
          <w:tcPr>
            <w:tcW w:w="79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Performance Stock Unit Grant Notice (the “</w:t>
            </w:r>
            <w:r>
              <w:rPr>
                <w:rFonts w:ascii="Arial" w:cs="Arial" w:eastAsia="Arial" w:hAnsi="Arial"/>
                <w:sz w:val="15"/>
                <w:szCs w:val="15"/>
                <w:b w:val="1"/>
                <w:bCs w:val="1"/>
                <w:i w:val="1"/>
                <w:iCs w:val="1"/>
                <w:color w:val="auto"/>
              </w:rPr>
              <w:t>2020 PSU Agreement</w:t>
            </w:r>
            <w:r>
              <w:rPr>
                <w:rFonts w:ascii="Arial" w:cs="Arial" w:eastAsia="Arial" w:hAnsi="Arial"/>
                <w:sz w:val="15"/>
                <w:szCs w:val="15"/>
                <w:color w:val="auto"/>
              </w:rPr>
              <w:t>”) and the Equity Plan, granted on March 5, 2020.</w:t>
            </w: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790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5"/>
                <w:szCs w:val="15"/>
                <w:b w:val="1"/>
                <w:bCs w:val="1"/>
                <w:color w:val="auto"/>
              </w:rPr>
              <w:t>2019 Awards</w:t>
            </w:r>
          </w:p>
        </w:tc>
      </w:tr>
      <w:tr>
        <w:trPr>
          <w:trHeight w:val="158"/>
        </w:trPr>
        <w:tc>
          <w:tcPr>
            <w:tcW w:w="38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90"/>
              </w:rPr>
              <w:t>6,699</w:t>
            </w:r>
          </w:p>
        </w:tc>
        <w:tc>
          <w:tcPr>
            <w:tcW w:w="23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RAUs</w:t>
            </w:r>
          </w:p>
        </w:tc>
        <w:tc>
          <w:tcPr>
            <w:tcW w:w="79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0"/>
              </w:rPr>
              <w:t>Restricted Award Plan Performance Cycle Memorandum 2019-2021 Award Cycle (the “</w:t>
            </w:r>
            <w:r>
              <w:rPr>
                <w:rFonts w:ascii="Arial" w:cs="Arial" w:eastAsia="Arial" w:hAnsi="Arial"/>
                <w:sz w:val="15"/>
                <w:szCs w:val="15"/>
                <w:b w:val="1"/>
                <w:bCs w:val="1"/>
                <w:i w:val="1"/>
                <w:iCs w:val="1"/>
                <w:color w:val="auto"/>
                <w:w w:val="90"/>
              </w:rPr>
              <w:t>2019 RAU Agreement</w:t>
            </w:r>
            <w:r>
              <w:rPr>
                <w:rFonts w:ascii="Arial" w:cs="Arial" w:eastAsia="Arial" w:hAnsi="Arial"/>
                <w:sz w:val="15"/>
                <w:szCs w:val="15"/>
                <w:color w:val="auto"/>
                <w:w w:val="90"/>
              </w:rPr>
              <w:t>”) and the Restricted</w:t>
            </w:r>
          </w:p>
        </w:tc>
      </w:tr>
      <w:tr>
        <w:trPr>
          <w:trHeight w:val="188"/>
        </w:trPr>
        <w:tc>
          <w:tcPr>
            <w:tcW w:w="380" w:type="dxa"/>
            <w:vAlign w:val="bottom"/>
            <w:tcBorders>
              <w:left w:val="single" w:sz="8" w:color="auto"/>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Award Plan</w:t>
            </w:r>
          </w:p>
        </w:tc>
      </w:tr>
      <w:tr>
        <w:trPr>
          <w:trHeight w:val="169"/>
        </w:trPr>
        <w:tc>
          <w:tcPr>
            <w:tcW w:w="268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10,050 Target LTGP Units</w:t>
            </w:r>
          </w:p>
        </w:tc>
        <w:tc>
          <w:tcPr>
            <w:tcW w:w="79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1"/>
              </w:rPr>
              <w:t>LTGP Performance Cycle Memorandum 2019-2021 Award Cycle (the “</w:t>
            </w:r>
            <w:r>
              <w:rPr>
                <w:rFonts w:ascii="Arial" w:cs="Arial" w:eastAsia="Arial" w:hAnsi="Arial"/>
                <w:sz w:val="15"/>
                <w:szCs w:val="15"/>
                <w:b w:val="1"/>
                <w:bCs w:val="1"/>
                <w:i w:val="1"/>
                <w:iCs w:val="1"/>
                <w:color w:val="auto"/>
                <w:w w:val="91"/>
              </w:rPr>
              <w:t>2019 LTGP Agreement</w:t>
            </w:r>
            <w:r>
              <w:rPr>
                <w:rFonts w:ascii="Arial" w:cs="Arial" w:eastAsia="Arial" w:hAnsi="Arial"/>
                <w:sz w:val="15"/>
                <w:szCs w:val="15"/>
                <w:color w:val="auto"/>
                <w:w w:val="91"/>
              </w:rPr>
              <w:t>”) and the Long Term Growth Plan</w:t>
            </w:r>
          </w:p>
        </w:tc>
      </w:tr>
      <w:tr>
        <w:trPr>
          <w:trHeight w:val="257"/>
        </w:trPr>
        <w:tc>
          <w:tcPr>
            <w:tcW w:w="380" w:type="dxa"/>
            <w:vAlign w:val="bottom"/>
            <w:tcBorders>
              <w:left w:val="single" w:sz="8" w:color="auto"/>
              <w:bottom w:val="single" w:sz="8" w:color="auto"/>
            </w:tcBorders>
          </w:tcPr>
          <w:p>
            <w:pPr>
              <w:spacing w:after="0"/>
              <w:rPr>
                <w:sz w:val="22"/>
                <w:szCs w:val="22"/>
                <w:color w:val="auto"/>
              </w:rPr>
            </w:pPr>
          </w:p>
        </w:tc>
        <w:tc>
          <w:tcPr>
            <w:tcW w:w="2300" w:type="dxa"/>
            <w:vAlign w:val="bottom"/>
            <w:tcBorders>
              <w:bottom w:val="single" w:sz="8" w:color="auto"/>
            </w:tcBorders>
          </w:tcPr>
          <w:p>
            <w:pPr>
              <w:spacing w:after="0"/>
              <w:rPr>
                <w:sz w:val="22"/>
                <w:szCs w:val="22"/>
                <w:color w:val="auto"/>
              </w:rPr>
            </w:pPr>
          </w:p>
        </w:tc>
        <w:tc>
          <w:tcPr>
            <w:tcW w:w="7900" w:type="dxa"/>
            <w:vAlign w:val="bottom"/>
            <w:tcBorders>
              <w:bottom w:val="single" w:sz="8" w:color="auto"/>
              <w:right w:val="single" w:sz="8" w:color="auto"/>
            </w:tcBorders>
          </w:tcPr>
          <w:p>
            <w:pPr>
              <w:ind w:left="2200"/>
              <w:spacing w:after="0"/>
              <w:rPr>
                <w:sz w:val="20"/>
                <w:szCs w:val="20"/>
                <w:color w:val="auto"/>
              </w:rPr>
            </w:pPr>
            <w:r>
              <w:rPr>
                <w:rFonts w:ascii="Arial" w:cs="Arial" w:eastAsia="Arial" w:hAnsi="Arial"/>
                <w:sz w:val="15"/>
                <w:szCs w:val="15"/>
                <w:b w:val="1"/>
                <w:bCs w:val="1"/>
                <w:color w:val="auto"/>
              </w:rPr>
              <w:t>2018 Awards</w:t>
            </w:r>
          </w:p>
        </w:tc>
      </w:tr>
      <w:tr>
        <w:trPr>
          <w:trHeight w:val="158"/>
        </w:trPr>
        <w:tc>
          <w:tcPr>
            <w:tcW w:w="380" w:type="dxa"/>
            <w:vAlign w:val="bottom"/>
            <w:tcBorders>
              <w:left w:val="single" w:sz="8" w:color="auto"/>
            </w:tcBorders>
          </w:tcPr>
          <w:p>
            <w:pPr>
              <w:ind w:left="20"/>
              <w:spacing w:after="0" w:line="158" w:lineRule="exact"/>
              <w:rPr>
                <w:sz w:val="20"/>
                <w:szCs w:val="20"/>
                <w:color w:val="auto"/>
              </w:rPr>
            </w:pPr>
            <w:r>
              <w:rPr>
                <w:rFonts w:ascii="Arial" w:cs="Arial" w:eastAsia="Arial" w:hAnsi="Arial"/>
                <w:sz w:val="15"/>
                <w:szCs w:val="15"/>
                <w:color w:val="auto"/>
                <w:w w:val="90"/>
              </w:rPr>
              <w:t>5,904</w:t>
            </w:r>
          </w:p>
        </w:tc>
        <w:tc>
          <w:tcPr>
            <w:tcW w:w="23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rPr>
              <w:t>RAUs</w:t>
            </w:r>
          </w:p>
        </w:tc>
        <w:tc>
          <w:tcPr>
            <w:tcW w:w="7900" w:type="dxa"/>
            <w:vAlign w:val="bottom"/>
            <w:tcBorders>
              <w:right w:val="single" w:sz="8" w:color="auto"/>
            </w:tcBorders>
          </w:tcPr>
          <w:p>
            <w:pPr>
              <w:spacing w:after="0" w:line="158" w:lineRule="exact"/>
              <w:rPr>
                <w:sz w:val="20"/>
                <w:szCs w:val="20"/>
                <w:color w:val="auto"/>
              </w:rPr>
            </w:pPr>
            <w:r>
              <w:rPr>
                <w:rFonts w:ascii="Arial" w:cs="Arial" w:eastAsia="Arial" w:hAnsi="Arial"/>
                <w:sz w:val="15"/>
                <w:szCs w:val="15"/>
                <w:color w:val="auto"/>
                <w:w w:val="90"/>
              </w:rPr>
              <w:t>Restricted Award Plan Performance Cycle Memorandum 2018-2020 Award Cycle (the “</w:t>
            </w:r>
            <w:r>
              <w:rPr>
                <w:rFonts w:ascii="Arial" w:cs="Arial" w:eastAsia="Arial" w:hAnsi="Arial"/>
                <w:sz w:val="15"/>
                <w:szCs w:val="15"/>
                <w:b w:val="1"/>
                <w:bCs w:val="1"/>
                <w:i w:val="1"/>
                <w:iCs w:val="1"/>
                <w:color w:val="auto"/>
                <w:w w:val="90"/>
              </w:rPr>
              <w:t>2018 RAU Agreement</w:t>
            </w:r>
            <w:r>
              <w:rPr>
                <w:rFonts w:ascii="Arial" w:cs="Arial" w:eastAsia="Arial" w:hAnsi="Arial"/>
                <w:sz w:val="15"/>
                <w:szCs w:val="15"/>
                <w:color w:val="auto"/>
                <w:w w:val="90"/>
              </w:rPr>
              <w:t>”) and the Restricted</w:t>
            </w:r>
          </w:p>
        </w:tc>
      </w:tr>
      <w:tr>
        <w:trPr>
          <w:trHeight w:val="188"/>
        </w:trPr>
        <w:tc>
          <w:tcPr>
            <w:tcW w:w="380" w:type="dxa"/>
            <w:vAlign w:val="bottom"/>
            <w:tcBorders>
              <w:left w:val="single" w:sz="8" w:color="auto"/>
              <w:bottom w:val="single" w:sz="8" w:color="auto"/>
            </w:tcBorders>
          </w:tcPr>
          <w:p>
            <w:pPr>
              <w:spacing w:after="0"/>
              <w:rPr>
                <w:sz w:val="16"/>
                <w:szCs w:val="16"/>
                <w:color w:val="auto"/>
              </w:rPr>
            </w:pPr>
          </w:p>
        </w:tc>
        <w:tc>
          <w:tcPr>
            <w:tcW w:w="2300" w:type="dxa"/>
            <w:vAlign w:val="bottom"/>
            <w:tcBorders>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5"/>
                <w:szCs w:val="15"/>
                <w:color w:val="auto"/>
              </w:rPr>
              <w:t>Award Plan</w:t>
            </w:r>
          </w:p>
        </w:tc>
      </w:tr>
      <w:tr>
        <w:trPr>
          <w:trHeight w:val="169"/>
        </w:trPr>
        <w:tc>
          <w:tcPr>
            <w:tcW w:w="380" w:type="dxa"/>
            <w:vAlign w:val="bottom"/>
            <w:tcBorders>
              <w:left w:val="single" w:sz="8" w:color="auto"/>
              <w:bottom w:val="single" w:sz="8" w:color="auto"/>
            </w:tcBorders>
          </w:tcPr>
          <w:p>
            <w:pPr>
              <w:ind w:left="20"/>
              <w:spacing w:after="0" w:line="169" w:lineRule="exact"/>
              <w:rPr>
                <w:sz w:val="20"/>
                <w:szCs w:val="20"/>
                <w:color w:val="auto"/>
              </w:rPr>
            </w:pPr>
            <w:r>
              <w:rPr>
                <w:rFonts w:ascii="Arial" w:cs="Arial" w:eastAsia="Arial" w:hAnsi="Arial"/>
                <w:sz w:val="15"/>
                <w:szCs w:val="15"/>
                <w:color w:val="auto"/>
                <w:w w:val="90"/>
              </w:rPr>
              <w:t>5,904</w:t>
            </w:r>
          </w:p>
        </w:tc>
        <w:tc>
          <w:tcPr>
            <w:tcW w:w="23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rPr>
              <w:t>Target LTGP Units</w:t>
            </w:r>
          </w:p>
        </w:tc>
        <w:tc>
          <w:tcPr>
            <w:tcW w:w="79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1"/>
              </w:rPr>
              <w:t>LTGP Performance Cycle Memorandum 2018-2020 Award Cycle (the “</w:t>
            </w:r>
            <w:r>
              <w:rPr>
                <w:rFonts w:ascii="Arial" w:cs="Arial" w:eastAsia="Arial" w:hAnsi="Arial"/>
                <w:sz w:val="15"/>
                <w:szCs w:val="15"/>
                <w:b w:val="1"/>
                <w:bCs w:val="1"/>
                <w:i w:val="1"/>
                <w:iCs w:val="1"/>
                <w:color w:val="auto"/>
                <w:w w:val="91"/>
              </w:rPr>
              <w:t>2018 LTGP Agreement</w:t>
            </w:r>
            <w:r>
              <w:rPr>
                <w:rFonts w:ascii="Arial" w:cs="Arial" w:eastAsia="Arial" w:hAnsi="Arial"/>
                <w:sz w:val="15"/>
                <w:szCs w:val="15"/>
                <w:color w:val="auto"/>
                <w:w w:val="91"/>
              </w:rPr>
              <w:t>”) and the Long Term Growth Plan</w:t>
            </w:r>
          </w:p>
        </w:tc>
      </w:tr>
      <w:tr>
        <w:trPr>
          <w:trHeight w:val="168"/>
        </w:trPr>
        <w:tc>
          <w:tcPr>
            <w:tcW w:w="2680" w:type="dxa"/>
            <w:vAlign w:val="bottom"/>
            <w:tcBorders>
              <w:left w:val="single" w:sz="8" w:color="auto"/>
              <w:bottom w:val="single" w:sz="8" w:color="auto"/>
              <w:right w:val="single" w:sz="8" w:color="auto"/>
            </w:tcBorders>
            <w:gridSpan w:val="2"/>
          </w:tcPr>
          <w:p>
            <w:pPr>
              <w:ind w:left="20"/>
              <w:spacing w:after="0" w:line="169" w:lineRule="exact"/>
              <w:rPr>
                <w:sz w:val="20"/>
                <w:szCs w:val="20"/>
                <w:color w:val="auto"/>
              </w:rPr>
            </w:pPr>
            <w:r>
              <w:rPr>
                <w:rFonts w:ascii="Arial" w:cs="Arial" w:eastAsia="Arial" w:hAnsi="Arial"/>
                <w:sz w:val="15"/>
                <w:szCs w:val="15"/>
                <w:color w:val="auto"/>
              </w:rPr>
              <w:t>47,298 SVP Units</w:t>
            </w:r>
          </w:p>
        </w:tc>
        <w:tc>
          <w:tcPr>
            <w:tcW w:w="7900" w:type="dxa"/>
            <w:vAlign w:val="bottom"/>
            <w:tcBorders>
              <w:bottom w:val="single" w:sz="8" w:color="auto"/>
              <w:right w:val="single" w:sz="8" w:color="auto"/>
            </w:tcBorders>
          </w:tcPr>
          <w:p>
            <w:pPr>
              <w:spacing w:after="0" w:line="169" w:lineRule="exact"/>
              <w:rPr>
                <w:sz w:val="20"/>
                <w:szCs w:val="20"/>
                <w:color w:val="auto"/>
              </w:rPr>
            </w:pPr>
            <w:r>
              <w:rPr>
                <w:rFonts w:ascii="Arial" w:cs="Arial" w:eastAsia="Arial" w:hAnsi="Arial"/>
                <w:sz w:val="15"/>
                <w:szCs w:val="15"/>
                <w:color w:val="auto"/>
                <w:w w:val="93"/>
              </w:rPr>
              <w:t>SVP Performance Cycle Memorandum 2018-2020 Award Cycle (the “</w:t>
            </w:r>
            <w:r>
              <w:rPr>
                <w:rFonts w:ascii="Arial" w:cs="Arial" w:eastAsia="Arial" w:hAnsi="Arial"/>
                <w:sz w:val="15"/>
                <w:szCs w:val="15"/>
                <w:b w:val="1"/>
                <w:bCs w:val="1"/>
                <w:i w:val="1"/>
                <w:iCs w:val="1"/>
                <w:color w:val="auto"/>
                <w:w w:val="93"/>
              </w:rPr>
              <w:t>2018 SVP Agreement</w:t>
            </w:r>
            <w:r>
              <w:rPr>
                <w:rFonts w:ascii="Arial" w:cs="Arial" w:eastAsia="Arial" w:hAnsi="Arial"/>
                <w:sz w:val="15"/>
                <w:szCs w:val="15"/>
                <w:color w:val="auto"/>
                <w:w w:val="93"/>
              </w:rPr>
              <w:t>”) and the Shareholder Value Plan</w:t>
            </w:r>
          </w:p>
        </w:tc>
      </w:tr>
    </w:tbl>
    <w:p>
      <w:pPr>
        <w:spacing w:after="0" w:line="178" w:lineRule="exact"/>
        <w:rPr>
          <w:sz w:val="20"/>
          <w:szCs w:val="20"/>
          <w:color w:val="auto"/>
        </w:rPr>
      </w:pPr>
    </w:p>
    <w:p>
      <w:pPr>
        <w:ind w:left="800"/>
        <w:spacing w:after="0"/>
        <w:rPr>
          <w:sz w:val="20"/>
          <w:szCs w:val="20"/>
          <w:color w:val="auto"/>
        </w:rPr>
      </w:pPr>
      <w:r>
        <w:rPr>
          <w:rFonts w:ascii="Arial" w:cs="Arial" w:eastAsia="Arial" w:hAnsi="Arial"/>
          <w:sz w:val="15"/>
          <w:szCs w:val="15"/>
          <w:color w:val="auto"/>
        </w:rPr>
        <w:t>Effective immediately, your LTIP Award Agreements are hereby amended as follows:</w:t>
      </w:r>
    </w:p>
    <w:p>
      <w:pPr>
        <w:spacing w:after="0" w:line="278" w:lineRule="exact"/>
        <w:rPr>
          <w:sz w:val="20"/>
          <w:szCs w:val="20"/>
          <w:color w:val="auto"/>
        </w:rPr>
      </w:pPr>
    </w:p>
    <w:p>
      <w:pPr>
        <w:ind w:left="660" w:hanging="651"/>
        <w:spacing w:after="0"/>
        <w:tabs>
          <w:tab w:leader="none" w:pos="660" w:val="left"/>
        </w:tabs>
        <w:numPr>
          <w:ilvl w:val="0"/>
          <w:numId w:val="142"/>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Amendment to 2020 RSU Agreement</w:t>
      </w: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378460</wp:posOffset>
            </wp:positionV>
            <wp:extent cx="7171055" cy="139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318" w:right="319" w:bottom="1440" w:gutter="0" w:footer="0" w:header="0"/>
        </w:sectPr>
      </w:pPr>
    </w:p>
    <w:bookmarkStart w:id="210" w:name="page211"/>
    <w:bookmarkEnd w:id="210"/>
    <w:p>
      <w:pPr>
        <w:ind w:left="800"/>
        <w:spacing w:after="0"/>
        <w:rPr>
          <w:sz w:val="20"/>
          <w:szCs w:val="20"/>
          <w:color w:val="auto"/>
        </w:rPr>
      </w:pPr>
      <w:r>
        <w:rPr>
          <w:rFonts w:ascii="Arial" w:cs="Arial" w:eastAsia="Arial" w:hAnsi="Arial"/>
          <w:sz w:val="15"/>
          <w:szCs w:val="15"/>
          <w:color w:val="auto"/>
        </w:rPr>
        <w:t>The second paragraph under Section 2 (“Accelerated Vesting”) in Exhibit B to the 2020 RSU Agreement is hereby amended to read as follows:</w:t>
      </w:r>
    </w:p>
    <w:p>
      <w:pPr>
        <w:spacing w:after="0" w:line="371" w:lineRule="exact"/>
        <w:rPr>
          <w:sz w:val="20"/>
          <w:szCs w:val="20"/>
          <w:color w:val="auto"/>
        </w:rPr>
      </w:pPr>
    </w:p>
    <w:p>
      <w:pPr>
        <w:jc w:val="both"/>
        <w:ind w:left="800"/>
        <w:spacing w:after="0" w:line="284" w:lineRule="auto"/>
        <w:rPr>
          <w:sz w:val="20"/>
          <w:szCs w:val="20"/>
          <w:color w:val="auto"/>
        </w:rPr>
      </w:pPr>
      <w:r>
        <w:rPr>
          <w:rFonts w:ascii="Arial" w:cs="Arial" w:eastAsia="Arial" w:hAnsi="Arial"/>
          <w:sz w:val="14"/>
          <w:szCs w:val="14"/>
          <w:color w:val="auto"/>
        </w:rPr>
        <w:t>The Award shall also be eligible for accelerated vesting as provided in Section 12.2 of the Plan. Notwithstanding the foregoing, and notwithstanding anything to the contrary contained in the Plan, in the event of a Change in Control, provided Participant has not experienced a Termination of Service prior to the Change in Control, all of the RSUs shall accelerate, vest and be settled in full in shares of Common Stock immediately prior to such Change in Control.</w:t>
      </w:r>
    </w:p>
    <w:p>
      <w:pPr>
        <w:spacing w:after="0" w:line="333" w:lineRule="exact"/>
        <w:rPr>
          <w:sz w:val="20"/>
          <w:szCs w:val="20"/>
          <w:color w:val="auto"/>
        </w:rPr>
      </w:pPr>
    </w:p>
    <w:p>
      <w:pPr>
        <w:ind w:left="660" w:hanging="651"/>
        <w:spacing w:after="0"/>
        <w:tabs>
          <w:tab w:leader="none" w:pos="660" w:val="left"/>
        </w:tabs>
        <w:numPr>
          <w:ilvl w:val="0"/>
          <w:numId w:val="143"/>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2020 PSU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The first two paragraphs under Section 2 (“Accelerated Vesting”) in Exhibit B to the PSU Agreement are hereby replaced with the following:</w:t>
      </w:r>
    </w:p>
    <w:p>
      <w:pPr>
        <w:spacing w:after="0" w:line="371" w:lineRule="exact"/>
        <w:rPr>
          <w:sz w:val="20"/>
          <w:szCs w:val="20"/>
          <w:color w:val="auto"/>
        </w:rPr>
      </w:pPr>
    </w:p>
    <w:p>
      <w:pPr>
        <w:jc w:val="both"/>
        <w:ind w:left="800"/>
        <w:spacing w:after="0" w:line="296" w:lineRule="auto"/>
        <w:rPr>
          <w:sz w:val="20"/>
          <w:szCs w:val="20"/>
          <w:color w:val="auto"/>
        </w:rPr>
      </w:pPr>
      <w:r>
        <w:rPr>
          <w:rFonts w:ascii="Arial" w:cs="Arial" w:eastAsia="Arial" w:hAnsi="Arial"/>
          <w:sz w:val="13"/>
          <w:szCs w:val="13"/>
          <w:color w:val="auto"/>
        </w:rPr>
        <w:t>In the event of Participant’s Termination of Service due to Retirement, death or Disability prior to the Payment Date and prior to the occurrence of a Change in Control, Participant will remain eligible to vest in and receive on the Payment Date (or, if earlier, the date of a Change in Control), that number of PSUs as is determined by multiplying (a) the number of PSUs that Participant would vest in as provided in Section 1 of this Exhibit B had he/she not incurred a Termination of Service prior to the Payment Date (or, in the event of a Change in Control prior to December 31, 2022, the Target PSUs), by (b) (i) the number of months that have elapsed since January 1, 2020, divided by (ii) 36. Partial months shall be rounded up to the next whole calendar month for purposes of the numerator in this calculation. In the event the calculation results in a fractional PSU, any fractional PSU will be rounded up to the nearest whole PSU.</w:t>
      </w:r>
    </w:p>
    <w:p>
      <w:pPr>
        <w:spacing w:after="0" w:line="46" w:lineRule="exact"/>
        <w:rPr>
          <w:sz w:val="20"/>
          <w:szCs w:val="20"/>
          <w:color w:val="auto"/>
        </w:rPr>
      </w:pPr>
    </w:p>
    <w:p>
      <w:pPr>
        <w:jc w:val="both"/>
        <w:ind w:left="800"/>
        <w:spacing w:after="0" w:line="253" w:lineRule="auto"/>
        <w:rPr>
          <w:sz w:val="20"/>
          <w:szCs w:val="20"/>
          <w:color w:val="auto"/>
        </w:rPr>
      </w:pPr>
      <w:r>
        <w:rPr>
          <w:rFonts w:ascii="Arial" w:cs="Arial" w:eastAsia="Arial" w:hAnsi="Arial"/>
          <w:sz w:val="15"/>
          <w:szCs w:val="15"/>
          <w:color w:val="auto"/>
        </w:rPr>
        <w:t>The Award shall also be eligible for accelerated vesting as provided in Section 12.2 of the Plan. Notwithstanding the foregoing, and notwithstanding anything to the contrary contained in the Plan, in the event of a Change in Control prior to December 31, 2022, provided Participant has not experienced a Termination of Service prior to the Change in Control, a number of PSUs equal to the Target PSUs shall accelerate, vest and be settled in shares of Common Stock immediately prior to such Change in Control.</w:t>
      </w:r>
    </w:p>
    <w:p>
      <w:pPr>
        <w:spacing w:after="0" w:line="344" w:lineRule="exact"/>
        <w:rPr>
          <w:sz w:val="20"/>
          <w:szCs w:val="20"/>
          <w:color w:val="auto"/>
        </w:rPr>
      </w:pPr>
    </w:p>
    <w:p>
      <w:pPr>
        <w:ind w:left="660" w:hanging="651"/>
        <w:spacing w:after="0"/>
        <w:tabs>
          <w:tab w:leader="none" w:pos="660" w:val="left"/>
        </w:tabs>
        <w:numPr>
          <w:ilvl w:val="0"/>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(“Payment of Awards”) shall be added to the end of such Section as follows:</w:t>
      </w:r>
    </w:p>
    <w:p>
      <w:pPr>
        <w:spacing w:after="0" w:line="371" w:lineRule="exact"/>
        <w:rPr>
          <w:sz w:val="20"/>
          <w:szCs w:val="20"/>
          <w:color w:val="auto"/>
        </w:rPr>
      </w:pPr>
    </w:p>
    <w:p>
      <w:pPr>
        <w:jc w:val="both"/>
        <w:ind w:left="1200"/>
        <w:spacing w:after="0" w:line="315" w:lineRule="auto"/>
        <w:rPr>
          <w:sz w:val="20"/>
          <w:szCs w:val="20"/>
          <w:color w:val="auto"/>
        </w:rPr>
      </w:pPr>
      <w:r>
        <w:rPr>
          <w:rFonts w:ascii="Arial" w:cs="Arial" w:eastAsia="Arial" w:hAnsi="Arial"/>
          <w:sz w:val="13"/>
          <w:szCs w:val="13"/>
          <w:color w:val="auto"/>
        </w:rPr>
        <w:t>Notwithstanding anything to the contrary contained in this Memorandum or the Plan, in the event of a Change in Control, provided Participant has not experienced a termination of employment prior to the Change in Control, all of the outstanding RAUs shall accelerate, vest and be settled in shares of the Corporation’s common stock (with one share of the Corporation’s common stock paid for each vested RAU) immediately prior to such Change in Control.</w:t>
      </w:r>
    </w:p>
    <w:p>
      <w:pPr>
        <w:spacing w:after="0" w:line="305" w:lineRule="exact"/>
        <w:rPr>
          <w:sz w:val="20"/>
          <w:szCs w:val="20"/>
          <w:color w:val="auto"/>
        </w:rPr>
      </w:pPr>
    </w:p>
    <w:p>
      <w:pPr>
        <w:ind w:left="660" w:hanging="651"/>
        <w:spacing w:after="0"/>
        <w:tabs>
          <w:tab w:leader="none" w:pos="660" w:val="left"/>
        </w:tabs>
        <w:numPr>
          <w:ilvl w:val="0"/>
          <w:numId w:val="145"/>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RAU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under Section 5 (“Payout”) shall be added to the end of such Section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Debra Fiori</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318" w:right="1119" w:bottom="1440" w:gutter="0" w:footer="0" w:header="0"/>
        </w:sectPr>
      </w:pPr>
    </w:p>
    <w:bookmarkStart w:id="211" w:name="page212"/>
    <w:bookmarkEnd w:id="211"/>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provided Participant has not experienced a termination of employment prior to the Change in Control, the Published Share Price for purposes of calculating the value of each outstanding RAU shall be equal to the price per share to be paid to the Corporation’s stockholders in the Change in Control. The Committee will calculate the Award that will be paid to a Participant immediately prior to the Change in Control by multiplying the number of RAUs granted to the Participant by the price per share to be paid to the Corporation’s stockholders in the Change in Control. The product of that calculation shall be the amount of a Participant’s Award payment for the 2018-2020 Cycle, which amount shall be paid, in cash, immediately prior to the Change in Control.</w:t>
      </w:r>
    </w:p>
    <w:p>
      <w:pPr>
        <w:spacing w:after="0" w:line="242" w:lineRule="exact"/>
        <w:rPr>
          <w:sz w:val="20"/>
          <w:szCs w:val="20"/>
          <w:color w:val="auto"/>
        </w:rPr>
      </w:pPr>
    </w:p>
    <w:p>
      <w:pPr>
        <w:ind w:left="660" w:hanging="651"/>
        <w:spacing w:after="0"/>
        <w:tabs>
          <w:tab w:leader="none" w:pos="660" w:val="left"/>
        </w:tabs>
        <w:numPr>
          <w:ilvl w:val="0"/>
          <w:numId w:val="146"/>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2019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0"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 Article 6 of the Plan), the Committee will determine the final percentage of the Opportunity Target to be paid to each Participant and the percentage of the Awards that will be paid, and the resulting number of units shall vest and be settled in shares of the Corporation’s common stock (with one share of the Corporation’s common stock paid for each vested LTGP unit) immediately prior to such Change in Control (subject to pro-ration due to Retirement, death or Disability during the Performance Cycle as provided in Article 6 of the Plan).</w:t>
      </w:r>
    </w:p>
    <w:p>
      <w:pPr>
        <w:spacing w:after="0" w:line="72" w:lineRule="exact"/>
        <w:rPr>
          <w:sz w:val="20"/>
          <w:szCs w:val="20"/>
          <w:color w:val="auto"/>
        </w:rPr>
      </w:pPr>
    </w:p>
    <w:p>
      <w:pPr>
        <w:jc w:val="both"/>
        <w:ind w:left="16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(including Article 7 of the Plan), in the event of a Change in Control prior to the completion of the Performance Cycle, provided that Participant has not experienced a termination of employment prior to the Change in Control (except as provided in Article 6 of the Plan), a number of units equal to 100% of the total Opportunity Target shall accelerate, vest and be settled in shares of the Corporation’s common stock (with one share of the Corporation’s common stock paid for each vested LTGP unit) immediately prior to such Change in Control (subject to pro-ration due to Retirement, death or Disability during the Performance Cycle and prior to the Change in Control as provided in Article 6 of the Plan).</w:t>
      </w:r>
    </w:p>
    <w:p>
      <w:pPr>
        <w:spacing w:after="0" w:line="242" w:lineRule="exact"/>
        <w:rPr>
          <w:sz w:val="20"/>
          <w:szCs w:val="20"/>
          <w:color w:val="auto"/>
        </w:rPr>
      </w:pPr>
    </w:p>
    <w:p>
      <w:pPr>
        <w:ind w:left="660" w:hanging="651"/>
        <w:spacing w:after="0"/>
        <w:tabs>
          <w:tab w:leader="none" w:pos="660" w:val="left"/>
        </w:tabs>
        <w:numPr>
          <w:ilvl w:val="0"/>
          <w:numId w:val="148"/>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LTGP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7 (“Calculation of Long-Term Growth Awards”) shall be added to the end of such Section as follows:</w:t>
      </w:r>
    </w:p>
    <w:p>
      <w:pPr>
        <w:spacing w:after="0" w:line="371" w:lineRule="exact"/>
        <w:rPr>
          <w:sz w:val="20"/>
          <w:szCs w:val="20"/>
          <w:color w:val="auto"/>
        </w:rPr>
      </w:pPr>
    </w:p>
    <w:p>
      <w:pPr>
        <w:ind w:left="1460" w:hanging="658"/>
        <w:spacing w:after="0"/>
        <w:tabs>
          <w:tab w:leader="none" w:pos="1460" w:val="left"/>
        </w:tabs>
        <w:numPr>
          <w:ilvl w:val="0"/>
          <w:numId w:val="149"/>
        </w:numPr>
        <w:rPr>
          <w:rFonts w:ascii="Arial" w:cs="Arial" w:eastAsia="Arial" w:hAnsi="Arial"/>
          <w:sz w:val="15"/>
          <w:szCs w:val="15"/>
          <w:color w:val="auto"/>
        </w:rPr>
      </w:pPr>
      <w:r>
        <w:rPr>
          <w:rFonts w:ascii="Arial" w:cs="Arial" w:eastAsia="Arial" w:hAnsi="Arial"/>
          <w:sz w:val="15"/>
          <w:szCs w:val="15"/>
          <w:color w:val="auto"/>
        </w:rPr>
        <w:t>Effect of Change in Control</w:t>
      </w:r>
    </w:p>
    <w:p>
      <w:pPr>
        <w:spacing w:after="0" w:line="93" w:lineRule="exact"/>
        <w:rPr>
          <w:sz w:val="20"/>
          <w:szCs w:val="20"/>
          <w:color w:val="auto"/>
        </w:rPr>
      </w:pPr>
    </w:p>
    <w:p>
      <w:pPr>
        <w:jc w:val="both"/>
        <w:ind w:left="1600"/>
        <w:spacing w:after="0" w:line="257"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following completion of the Performance Cycle but prior to settlement of the Award, provided that Participant has not experienced a termination of employment prior to the Change in Control (except as provided in</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Debra Fiori</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8">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7" w:right="1119" w:bottom="1440" w:gutter="0" w:footer="0" w:header="0"/>
        </w:sectPr>
      </w:pPr>
    </w:p>
    <w:bookmarkStart w:id="212" w:name="page213"/>
    <w:bookmarkEnd w:id="212"/>
    <w:p>
      <w:pPr>
        <w:jc w:val="both"/>
        <w:ind w:left="1600"/>
        <w:spacing w:after="0" w:line="250" w:lineRule="auto"/>
        <w:rPr>
          <w:sz w:val="20"/>
          <w:szCs w:val="20"/>
          <w:color w:val="auto"/>
        </w:rPr>
      </w:pPr>
      <w:r>
        <w:rPr>
          <w:rFonts w:ascii="Arial" w:cs="Arial" w:eastAsia="Arial" w:hAnsi="Arial"/>
          <w:sz w:val="15"/>
          <w:szCs w:val="15"/>
          <w:color w:val="auto"/>
        </w:rPr>
        <w:t>Article 6 of the Plan), the Committee will calculate the Long Term Growth Award earned for the Performance Cycle that will be paid to a Participant immediately prior to the Change in Control by multiplying the percentage of the total Opportunity Target earned as determined by the Committee in accordance with this Memorandum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75" w:lineRule="exact"/>
        <w:rPr>
          <w:sz w:val="20"/>
          <w:szCs w:val="20"/>
          <w:color w:val="auto"/>
        </w:rPr>
      </w:pPr>
    </w:p>
    <w:p>
      <w:pPr>
        <w:jc w:val="both"/>
        <w:ind w:left="1600"/>
        <w:spacing w:after="0" w:line="249" w:lineRule="auto"/>
        <w:rPr>
          <w:sz w:val="20"/>
          <w:szCs w:val="20"/>
          <w:color w:val="auto"/>
        </w:rPr>
      </w:pPr>
      <w:r>
        <w:rPr>
          <w:rFonts w:ascii="Arial" w:cs="Arial" w:eastAsia="Arial" w:hAnsi="Arial"/>
          <w:sz w:val="15"/>
          <w:szCs w:val="15"/>
          <w:color w:val="auto"/>
        </w:rPr>
        <w:t>Notwithstanding anything to the contrary contained in this Memorandum or the Plan (including Article 7 of the Plan), in the event of a Change in Control prior to the completion of the Performance Cycle, provided Participant has not experienced a termination of employment prior to the Change in Control (except as provided in Article 6 of the Plan), the Committee will calculate the Long Term Growth Award that will be paid to a Participant immediately prior to the Change in Control by multiplying the number of units equal to 100% of the total Opportunity Target granted to the Participant (subject to pro-ration due to Retirement, death or Disability during the Performance Cycle and prior to the Change in Control as provided in Article 6 of the Plan) by the price per share to be paid to the Corporation’s stockholders in the Change in Control. The product of that calculation shall be the amount of a Participant’s Long-Term Growth Award payment for the 2018-2020 Cycle, which amount shall be paid, in cash, immediately prior to the Change in Control.</w:t>
      </w:r>
    </w:p>
    <w:p>
      <w:pPr>
        <w:spacing w:after="0" w:line="349" w:lineRule="exact"/>
        <w:rPr>
          <w:sz w:val="20"/>
          <w:szCs w:val="20"/>
          <w:color w:val="auto"/>
        </w:rPr>
      </w:pPr>
    </w:p>
    <w:p>
      <w:pPr>
        <w:ind w:left="660" w:hanging="651"/>
        <w:spacing w:after="0"/>
        <w:tabs>
          <w:tab w:leader="none" w:pos="660" w:val="left"/>
        </w:tabs>
        <w:numPr>
          <w:ilvl w:val="0"/>
          <w:numId w:val="150"/>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to 2018 SVP Agreement</w:t>
      </w:r>
      <w:r>
        <w:rPr>
          <w:rFonts w:ascii="Arial" w:cs="Arial" w:eastAsia="Arial" w:hAnsi="Arial"/>
          <w:sz w:val="15"/>
          <w:szCs w:val="15"/>
          <w:b w:val="1"/>
          <w:bCs w:val="1"/>
          <w:color w:val="auto"/>
        </w:rPr>
        <w:t>.</w:t>
      </w:r>
    </w:p>
    <w:p>
      <w:pPr>
        <w:spacing w:after="0" w:line="197" w:lineRule="exact"/>
        <w:rPr>
          <w:sz w:val="20"/>
          <w:szCs w:val="20"/>
          <w:color w:val="auto"/>
        </w:rPr>
      </w:pPr>
    </w:p>
    <w:p>
      <w:pPr>
        <w:ind w:left="800"/>
        <w:spacing w:after="0"/>
        <w:rPr>
          <w:sz w:val="20"/>
          <w:szCs w:val="20"/>
          <w:color w:val="auto"/>
        </w:rPr>
      </w:pPr>
      <w:r>
        <w:rPr>
          <w:rFonts w:ascii="Arial" w:cs="Arial" w:eastAsia="Arial" w:hAnsi="Arial"/>
          <w:sz w:val="15"/>
          <w:szCs w:val="15"/>
          <w:color w:val="auto"/>
        </w:rPr>
        <w:t>A new paragraph (c) under Section 8 (“Calculation of Value of Performance Award”) shall be added to the end of such Section as follows:</w:t>
      </w:r>
    </w:p>
    <w:p>
      <w:pPr>
        <w:spacing w:after="0" w:line="371" w:lineRule="exact"/>
        <w:rPr>
          <w:sz w:val="20"/>
          <w:szCs w:val="20"/>
          <w:color w:val="auto"/>
        </w:rPr>
      </w:pPr>
    </w:p>
    <w:p>
      <w:pPr>
        <w:jc w:val="both"/>
        <w:ind w:left="800"/>
        <w:spacing w:after="0" w:line="270"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prior to December 31, 2020, provided Participant has not experienced a termination of employment prior to the Change in Control (except as provided in Article 6 of the Plan), the Committee will calculate the value of the 2018-2020 Performance Cycle Incentive Award that will be paid to a Participant prior to the Change in Control by subtracting (i) the per share value of the Corporation’s shares reported in February 2018 (which value shall be determined using the end of 2017 value as reported by the Corporation’s valuation consultant Houlihan, Lokey) from (ii) the price per share to be paid the Corporation’s stockholders in such Change in Control.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72" w:lineRule="auto"/>
        <w:rPr>
          <w:sz w:val="20"/>
          <w:szCs w:val="20"/>
          <w:color w:val="auto"/>
        </w:rPr>
      </w:pPr>
      <w:r>
        <w:rPr>
          <w:rFonts w:ascii="Arial" w:cs="Arial" w:eastAsia="Arial" w:hAnsi="Arial"/>
          <w:sz w:val="14"/>
          <w:szCs w:val="14"/>
          <w:color w:val="auto"/>
        </w:rPr>
        <w:t>Notwithstanding anything to the contrary contained in this Memorandum or the Plan, in the event of a Change in Control after December 31, 2020 but prior to the payment of the Incentive Awards, the Committee will calculate the value of the 2018-2020 Performance Cycle Incentive Award that will be paid to a Participant prior to the Change in Control in accordance with the terms of this Memorandum and the Plan. The resulting number shall be stated in dollars and cents and shall then be multiplied by the number of Performance Units granted to a Participant, or the residual Performance Units retained by a Participant after pro-ration due to Retirement, death or Disability during the Performance Cycle and prior to the Change in Control. The product of that calculation shall be the amount of a Participant’s Performance Award payment for this 2018-2020 Performance Cycle.</w:t>
      </w:r>
    </w:p>
    <w:p>
      <w:pPr>
        <w:spacing w:after="0" w:line="58" w:lineRule="exact"/>
        <w:rPr>
          <w:sz w:val="20"/>
          <w:szCs w:val="20"/>
          <w:color w:val="auto"/>
        </w:rPr>
      </w:pPr>
    </w:p>
    <w:p>
      <w:pPr>
        <w:jc w:val="both"/>
        <w:ind w:left="800"/>
        <w:spacing w:after="0" w:line="267" w:lineRule="auto"/>
        <w:rPr>
          <w:sz w:val="20"/>
          <w:szCs w:val="20"/>
          <w:color w:val="auto"/>
        </w:rPr>
      </w:pPr>
      <w:r>
        <w:rPr>
          <w:rFonts w:ascii="Arial" w:cs="Arial" w:eastAsia="Arial" w:hAnsi="Arial"/>
          <w:sz w:val="15"/>
          <w:szCs w:val="15"/>
          <w:color w:val="auto"/>
        </w:rPr>
        <w:t>The resulting Performance Award payment for this 2018-2020 Performance Cycle upon a Change in Control will be paid immediately prior to the Change in Control, unless a Participant has made a</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Debra Fiori</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330200</wp:posOffset>
            </wp:positionV>
            <wp:extent cx="7171055" cy="1397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480"/>
          </w:cols>
          <w:pgMar w:left="300" w:top="406" w:right="1119" w:bottom="1440" w:gutter="0" w:footer="0" w:header="0"/>
        </w:sectPr>
      </w:pPr>
    </w:p>
    <w:bookmarkStart w:id="213" w:name="page214"/>
    <w:bookmarkEnd w:id="213"/>
    <w:p>
      <w:pPr>
        <w:jc w:val="both"/>
        <w:ind w:left="800" w:right="800"/>
        <w:spacing w:after="0" w:line="257" w:lineRule="auto"/>
        <w:rPr>
          <w:sz w:val="20"/>
          <w:szCs w:val="20"/>
          <w:color w:val="auto"/>
        </w:rPr>
      </w:pPr>
      <w:r>
        <w:rPr>
          <w:rFonts w:ascii="Arial" w:cs="Arial" w:eastAsia="Arial" w:hAnsi="Arial"/>
          <w:sz w:val="15"/>
          <w:szCs w:val="15"/>
          <w:color w:val="auto"/>
        </w:rPr>
        <w:t>deferred payment election under Section 5.4 of the Plan, in which case the amount otherwise payable to the Participant upon a Change in Control shall be credited to the Participant’s Deferral Account and the provisions of Sections 5.4 and 7.2 of the Plan and the Participant’s Deferral Agreement shall govern the time and method of payment.</w:t>
      </w:r>
    </w:p>
    <w:p>
      <w:pPr>
        <w:spacing w:after="0" w:line="255" w:lineRule="exact"/>
        <w:rPr>
          <w:sz w:val="20"/>
          <w:szCs w:val="20"/>
          <w:color w:val="auto"/>
        </w:rPr>
      </w:pPr>
    </w:p>
    <w:p>
      <w:pPr>
        <w:jc w:val="both"/>
        <w:ind w:firstLine="793"/>
        <w:spacing w:after="0" w:line="270" w:lineRule="auto"/>
        <w:rPr>
          <w:sz w:val="20"/>
          <w:szCs w:val="20"/>
          <w:color w:val="auto"/>
        </w:rPr>
      </w:pPr>
      <w:r>
        <w:rPr>
          <w:rFonts w:ascii="Arial" w:cs="Arial" w:eastAsia="Arial" w:hAnsi="Arial"/>
          <w:sz w:val="14"/>
          <w:szCs w:val="14"/>
          <w:color w:val="auto"/>
        </w:rPr>
        <w:t>The LTIP Award Agreements, and the plans pursuant to which the LTIP Awards were granted (to the extent inconsistent with this letter), will each be deemed amended to the extent necessary to reflect the terms of this letter. For the avoidance of doubt, the board of directors of the Corporation has approved the terms of this letter, and therefore the plans pursuant to which the LTIP Awards were granted are hereby amended in order to effect the terms and conditions of this letter. In the event of any inconsistency between the LTIP Award Agreements (as amended by this letter) and the corresponding plans pursuant to which such LTIP Awards were granted, the LTIP Awards Agreements (as amended by this letter) will govern. All other terms and conditions of your LTIP Award Agreements remain as described in the applicable LTIP Award Agreements and plans. The application of this letter agreement to your LTIP Awards shall not amend an outstanding LTIP Award Agreement to the extent such amendment would cause adverse tax consequences to you under Section 409A of the Internal Revenue Code, and any such amendment shall be null and void.</w:t>
      </w:r>
    </w:p>
    <w:p>
      <w:pPr>
        <w:spacing w:after="0" w:line="250" w:lineRule="exact"/>
        <w:rPr>
          <w:sz w:val="20"/>
          <w:szCs w:val="20"/>
          <w:color w:val="auto"/>
        </w:rPr>
      </w:pPr>
    </w:p>
    <w:p>
      <w:pPr>
        <w:ind w:left="800"/>
        <w:spacing w:after="0"/>
        <w:rPr>
          <w:sz w:val="20"/>
          <w:szCs w:val="20"/>
          <w:color w:val="auto"/>
        </w:rPr>
      </w:pPr>
      <w:r>
        <w:rPr>
          <w:rFonts w:ascii="Arial" w:cs="Arial" w:eastAsia="Arial" w:hAnsi="Arial"/>
          <w:sz w:val="15"/>
          <w:szCs w:val="15"/>
          <w:color w:val="auto"/>
        </w:rPr>
        <w:t>Please acknowledge the new terms applicable to your LTIP Awards by returning a signed copy to Stacey Salazar at stacey.salazar@parsons.com.</w:t>
      </w:r>
    </w:p>
    <w:p>
      <w:pPr>
        <w:spacing w:after="0" w:line="282" w:lineRule="exact"/>
        <w:rPr>
          <w:sz w:val="20"/>
          <w:szCs w:val="20"/>
          <w:color w:val="auto"/>
        </w:rPr>
      </w:pPr>
    </w:p>
    <w:p>
      <w:pPr>
        <w:ind w:left="800"/>
        <w:spacing w:after="0"/>
        <w:rPr>
          <w:sz w:val="20"/>
          <w:szCs w:val="20"/>
          <w:color w:val="auto"/>
        </w:rPr>
      </w:pPr>
      <w:r>
        <w:rPr>
          <w:rFonts w:ascii="Arial" w:cs="Arial" w:eastAsia="Arial" w:hAnsi="Arial"/>
          <w:sz w:val="15"/>
          <w:szCs w:val="15"/>
          <w:color w:val="auto"/>
        </w:rPr>
        <w:t>If you have any questions or concerns, please do not hesitate to contact Stacey Salazar at stacey.salazar@parsons.com.</w:t>
      </w: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Sincerely,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Charles L. Harrington</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Chairman &amp; Chief Executive Officer</w:t>
      </w:r>
    </w:p>
    <w:p>
      <w:pPr>
        <w:spacing w:after="0" w:line="271" w:lineRule="exact"/>
        <w:rPr>
          <w:sz w:val="20"/>
          <w:szCs w:val="20"/>
          <w:color w:val="auto"/>
        </w:rPr>
      </w:pPr>
    </w:p>
    <w:p>
      <w:pPr>
        <w:spacing w:after="0"/>
        <w:rPr>
          <w:sz w:val="20"/>
          <w:szCs w:val="20"/>
          <w:color w:val="auto"/>
        </w:rPr>
      </w:pPr>
      <w:r>
        <w:rPr>
          <w:rFonts w:ascii="Arial" w:cs="Arial" w:eastAsia="Arial" w:hAnsi="Arial"/>
          <w:sz w:val="15"/>
          <w:szCs w:val="15"/>
          <w:color w:val="auto"/>
        </w:rPr>
        <w:t>Acknowledged, Accepted and Agreed.</w:t>
      </w:r>
    </w:p>
    <w:p>
      <w:pPr>
        <w:spacing w:after="0" w:line="200" w:lineRule="exact"/>
        <w:rPr>
          <w:sz w:val="20"/>
          <w:szCs w:val="20"/>
          <w:color w:val="auto"/>
        </w:rPr>
      </w:pPr>
    </w:p>
    <w:p>
      <w:pPr>
        <w:spacing w:after="0" w:line="259" w:lineRule="exact"/>
        <w:rPr>
          <w:sz w:val="20"/>
          <w:szCs w:val="20"/>
          <w:color w:val="auto"/>
        </w:rPr>
      </w:pPr>
    </w:p>
    <w:p>
      <w:pPr>
        <w:spacing w:after="0"/>
        <w:tabs>
          <w:tab w:leader="none" w:pos="3520" w:val="left"/>
        </w:tabs>
        <w:rPr>
          <w:sz w:val="20"/>
          <w:szCs w:val="20"/>
          <w:color w:val="auto"/>
        </w:rPr>
      </w:pPr>
      <w:r>
        <w:rPr>
          <w:rFonts w:ascii="Arial" w:cs="Arial" w:eastAsia="Arial" w:hAnsi="Arial"/>
          <w:sz w:val="15"/>
          <w:szCs w:val="15"/>
          <w:color w:val="auto"/>
        </w:rPr>
        <w:t>Debra A. Fiori</w:t>
      </w:r>
      <w:r>
        <w:rPr>
          <w:sz w:val="20"/>
          <w:szCs w:val="20"/>
          <w:color w:val="auto"/>
        </w:rPr>
        <w:tab/>
      </w:r>
      <w:r>
        <w:rPr>
          <w:rFonts w:ascii="Arial" w:cs="Arial" w:eastAsia="Arial" w:hAnsi="Arial"/>
          <w:sz w:val="13"/>
          <w:szCs w:val="13"/>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3"/>
          <w:szCs w:val="13"/>
          <w:color w:val="auto"/>
        </w:rPr>
        <w:t>Debra Fiori</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Parsons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Amendment to LTIP Awards</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August 10, 2020</w:t>
      </w:r>
    </w:p>
    <w:p>
      <w:pPr>
        <w:sectPr>
          <w:pgSz w:w="11900" w:h="16838" w:orient="portrait"/>
          <w:cols w:equalWidth="0" w:num="1">
            <w:col w:w="11280"/>
          </w:cols>
          <w:pgMar w:left="300" w:top="406" w:right="3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PARSONS CORPORATION EMPLOYEE STOCKOWNERSHIP</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TRUST AGREEMENT</w:t>
      </w:r>
    </w:p>
    <w:p>
      <w:pPr>
        <w:spacing w:after="0" w:line="165"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Effective December 31, 2005,</w:t>
      </w:r>
    </w:p>
    <w:p>
      <w:pPr>
        <w:ind w:left="2920"/>
        <w:spacing w:after="0"/>
        <w:rPr>
          <w:sz w:val="20"/>
          <w:szCs w:val="20"/>
          <w:color w:val="auto"/>
        </w:rPr>
      </w:pPr>
      <w:r>
        <w:rPr>
          <w:rFonts w:ascii="Arial" w:cs="Arial" w:eastAsia="Arial" w:hAnsi="Arial"/>
          <w:sz w:val="15"/>
          <w:szCs w:val="15"/>
          <w:color w:val="auto"/>
        </w:rPr>
        <w:t>Amended and Restated Effective 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1734820</wp:posOffset>
            </wp:positionV>
            <wp:extent cx="7171055" cy="139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0140"/>
          </w:cols>
          <w:pgMar w:left="1440" w:top="126" w:right="319" w:bottom="1440" w:gutter="0" w:footer="0" w:header="0"/>
        </w:sectPr>
      </w:pPr>
    </w:p>
    <w:bookmarkStart w:id="215" w:name="page216"/>
    <w:bookmarkEnd w:id="215"/>
    <w:p>
      <w:pPr>
        <w:ind w:right="200" w:firstLine="833"/>
        <w:spacing w:after="0" w:line="239" w:lineRule="auto"/>
        <w:rPr>
          <w:sz w:val="20"/>
          <w:szCs w:val="20"/>
          <w:color w:val="auto"/>
        </w:rPr>
      </w:pPr>
      <w:r>
        <w:rPr>
          <w:rFonts w:ascii="Arial" w:cs="Arial" w:eastAsia="Arial" w:hAnsi="Arial"/>
          <w:sz w:val="15"/>
          <w:szCs w:val="15"/>
          <w:color w:val="auto"/>
        </w:rPr>
        <w:t>This Amended and Restated Trust Agreement, entered into by and between Parsons Corporation (the "Company" or "Sponsor") and Newport Trust Company (the "Trustee"), as successor trustee, is effective as of _____________, 2020.</w:t>
      </w:r>
    </w:p>
    <w:p>
      <w:pPr>
        <w:spacing w:after="0" w:line="148" w:lineRule="exact"/>
        <w:rPr>
          <w:sz w:val="20"/>
          <w:szCs w:val="20"/>
          <w:color w:val="auto"/>
        </w:rPr>
      </w:pPr>
    </w:p>
    <w:tbl>
      <w:tblPr>
        <w:tblLayout w:type="fixed"/>
        <w:tblInd w:w="860" w:type="dxa"/>
        <w:tblCellMar>
          <w:top w:w="0" w:type="dxa"/>
          <w:left w:w="0" w:type="dxa"/>
          <w:bottom w:w="0" w:type="dxa"/>
          <w:right w:w="0" w:type="dxa"/>
        </w:tblCellMar>
      </w:tblPr>
      <w:tr>
        <w:trPr>
          <w:trHeight w:val="196"/>
        </w:trPr>
        <w:tc>
          <w:tcPr>
            <w:tcW w:w="800" w:type="dxa"/>
            <w:vAlign w:val="bottom"/>
          </w:tcPr>
          <w:p>
            <w:pPr>
              <w:spacing w:after="0"/>
              <w:rPr>
                <w:sz w:val="17"/>
                <w:szCs w:val="17"/>
                <w:color w:val="auto"/>
              </w:rPr>
            </w:pPr>
          </w:p>
        </w:tc>
        <w:tc>
          <w:tcPr>
            <w:tcW w:w="9220" w:type="dxa"/>
            <w:vAlign w:val="bottom"/>
          </w:tcPr>
          <w:p>
            <w:pPr>
              <w:ind w:left="2980"/>
              <w:spacing w:after="0"/>
              <w:rPr>
                <w:sz w:val="20"/>
                <w:szCs w:val="20"/>
                <w:color w:val="auto"/>
              </w:rPr>
            </w:pPr>
            <w:r>
              <w:rPr>
                <w:rFonts w:ascii="Arial" w:cs="Arial" w:eastAsia="Arial" w:hAnsi="Arial"/>
                <w:sz w:val="15"/>
                <w:szCs w:val="15"/>
                <w:b w:val="1"/>
                <w:bCs w:val="1"/>
                <w:color w:val="auto"/>
              </w:rPr>
              <w:t>WITNESSETH:</w:t>
            </w:r>
          </w:p>
        </w:tc>
      </w:tr>
      <w:tr>
        <w:trPr>
          <w:trHeight w:val="332"/>
        </w:trPr>
        <w:tc>
          <w:tcPr>
            <w:tcW w:w="800" w:type="dxa"/>
            <w:vAlign w:val="bottom"/>
          </w:tcPr>
          <w:p>
            <w:pPr>
              <w:jc w:val="right"/>
              <w:ind w:right="526"/>
              <w:spacing w:after="0"/>
              <w:rPr>
                <w:sz w:val="20"/>
                <w:szCs w:val="20"/>
                <w:color w:val="auto"/>
              </w:rPr>
            </w:pPr>
            <w:r>
              <w:rPr>
                <w:rFonts w:ascii="Arial" w:cs="Arial" w:eastAsia="Arial" w:hAnsi="Arial"/>
                <w:sz w:val="15"/>
                <w:szCs w:val="15"/>
                <w:color w:val="auto"/>
                <w:w w:val="86"/>
              </w:rPr>
              <w:t>1.1</w:t>
            </w:r>
          </w:p>
        </w:tc>
        <w:tc>
          <w:tcPr>
            <w:tcW w:w="9220" w:type="dxa"/>
            <w:vAlign w:val="bottom"/>
          </w:tcPr>
          <w:p>
            <w:pPr>
              <w:ind w:left="600"/>
              <w:spacing w:after="0"/>
              <w:rPr>
                <w:sz w:val="20"/>
                <w:szCs w:val="20"/>
                <w:color w:val="auto"/>
              </w:rPr>
            </w:pPr>
            <w:r>
              <w:rPr>
                <w:rFonts w:ascii="Arial" w:cs="Arial" w:eastAsia="Arial" w:hAnsi="Arial"/>
                <w:sz w:val="15"/>
                <w:szCs w:val="15"/>
                <w:color w:val="auto"/>
              </w:rPr>
              <w:t>WHEREAS, the Company and U.S. Trust Company, N.A. as Trustee entered into an agreement to hold the assets of the Plan in</w:t>
            </w:r>
          </w:p>
        </w:tc>
      </w:tr>
    </w:tbl>
    <w:p>
      <w:pPr>
        <w:jc w:val="both"/>
        <w:ind w:left="20" w:right="180"/>
        <w:spacing w:after="0" w:line="239" w:lineRule="auto"/>
        <w:rPr>
          <w:sz w:val="20"/>
          <w:szCs w:val="20"/>
          <w:color w:val="auto"/>
        </w:rPr>
      </w:pPr>
      <w:r>
        <w:rPr>
          <w:rFonts w:ascii="Arial" w:cs="Arial" w:eastAsia="Arial" w:hAnsi="Arial"/>
          <w:sz w:val="15"/>
          <w:szCs w:val="15"/>
          <w:color w:val="auto"/>
        </w:rPr>
        <w:t>trust, effective as of December 31, 2005 (the “Trust Agreement”), which was assigned to Evercore Trust Company, N.A. effective May 1, 2009 and further assigned to Newport Trust Company effective October 18, 2017; and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640" w:type="dxa"/>
            <w:vAlign w:val="bottom"/>
          </w:tcPr>
          <w:p>
            <w:pPr>
              <w:ind w:left="860"/>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0" w:type="dxa"/>
            <w:vAlign w:val="bottom"/>
            <w:gridSpan w:val="3"/>
          </w:tcPr>
          <w:p>
            <w:pPr>
              <w:ind w:left="180"/>
              <w:spacing w:after="0"/>
              <w:rPr>
                <w:sz w:val="20"/>
                <w:szCs w:val="20"/>
                <w:color w:val="auto"/>
              </w:rPr>
            </w:pPr>
            <w:r>
              <w:rPr>
                <w:rFonts w:ascii="Arial" w:cs="Arial" w:eastAsia="Arial" w:hAnsi="Arial"/>
                <w:sz w:val="15"/>
                <w:szCs w:val="15"/>
                <w:color w:val="auto"/>
              </w:rPr>
              <w:t>WHEREAS, effective May 8, 2019, the Company conducted an initial public offering (“IPO”) of shares of the Company; and</w:t>
            </w:r>
          </w:p>
        </w:tc>
      </w:tr>
      <w:tr>
        <w:trPr>
          <w:trHeight w:val="332"/>
        </w:trPr>
        <w:tc>
          <w:tcPr>
            <w:tcW w:w="1640" w:type="dxa"/>
            <w:vAlign w:val="bottom"/>
          </w:tcPr>
          <w:p>
            <w:pPr>
              <w:ind w:left="860"/>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gridSpan w:val="3"/>
          </w:tcPr>
          <w:p>
            <w:pPr>
              <w:ind w:left="180"/>
              <w:spacing w:after="0"/>
              <w:rPr>
                <w:sz w:val="20"/>
                <w:szCs w:val="20"/>
                <w:color w:val="auto"/>
              </w:rPr>
            </w:pPr>
            <w:r>
              <w:rPr>
                <w:rFonts w:ascii="Arial" w:cs="Arial" w:eastAsia="Arial" w:hAnsi="Arial"/>
                <w:sz w:val="15"/>
                <w:szCs w:val="15"/>
                <w:color w:val="auto"/>
              </w:rPr>
              <w:t>WHEREAS, the parties now wish to amend and restate the Trust Agreement in its entirety to reflect the changes to the Plan</w:t>
            </w:r>
          </w:p>
        </w:tc>
      </w:tr>
      <w:tr>
        <w:trPr>
          <w:trHeight w:val="178"/>
        </w:trPr>
        <w:tc>
          <w:tcPr>
            <w:tcW w:w="2080" w:type="dxa"/>
            <w:vAlign w:val="bottom"/>
            <w:gridSpan w:val="3"/>
          </w:tcPr>
          <w:p>
            <w:pPr>
              <w:ind w:left="20"/>
              <w:spacing w:after="0"/>
              <w:rPr>
                <w:sz w:val="20"/>
                <w:szCs w:val="20"/>
                <w:color w:val="auto"/>
              </w:rPr>
            </w:pPr>
            <w:r>
              <w:rPr>
                <w:rFonts w:ascii="Arial" w:cs="Arial" w:eastAsia="Arial" w:hAnsi="Arial"/>
                <w:sz w:val="15"/>
                <w:szCs w:val="15"/>
                <w:color w:val="auto"/>
              </w:rPr>
              <w:t>resulting from the IPO.</w:t>
            </w:r>
          </w:p>
        </w:tc>
        <w:tc>
          <w:tcPr>
            <w:tcW w:w="17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332"/>
        </w:trPr>
        <w:tc>
          <w:tcPr>
            <w:tcW w:w="1640" w:type="dxa"/>
            <w:vAlign w:val="bottom"/>
          </w:tcPr>
          <w:p>
            <w:pPr>
              <w:ind w:left="860"/>
              <w:spacing w:after="0"/>
              <w:rPr>
                <w:sz w:val="20"/>
                <w:szCs w:val="20"/>
                <w:color w:val="auto"/>
              </w:rPr>
            </w:pPr>
            <w:r>
              <w:rPr>
                <w:rFonts w:ascii="Arial" w:cs="Arial" w:eastAsia="Arial" w:hAnsi="Arial"/>
                <w:sz w:val="15"/>
                <w:szCs w:val="15"/>
                <w:color w:val="auto"/>
              </w:rPr>
              <w:t>1.4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gridSpan w:val="3"/>
          </w:tcPr>
          <w:p>
            <w:pPr>
              <w:ind w:left="180"/>
              <w:spacing w:after="0"/>
              <w:rPr>
                <w:sz w:val="20"/>
                <w:szCs w:val="20"/>
                <w:color w:val="auto"/>
              </w:rPr>
            </w:pPr>
            <w:r>
              <w:rPr>
                <w:rFonts w:ascii="Arial" w:cs="Arial" w:eastAsia="Arial" w:hAnsi="Arial"/>
                <w:sz w:val="15"/>
                <w:szCs w:val="15"/>
                <w:color w:val="auto"/>
                <w:w w:val="98"/>
              </w:rPr>
              <w:t>NOW, THEREFORE, in consideration of the mutual covenants contained in this Trust Agreement, the parties, intending to be legally</w:t>
            </w:r>
          </w:p>
        </w:tc>
      </w:tr>
      <w:tr>
        <w:trPr>
          <w:trHeight w:val="178"/>
        </w:trPr>
        <w:tc>
          <w:tcPr>
            <w:tcW w:w="7300" w:type="dxa"/>
            <w:vAlign w:val="bottom"/>
            <w:gridSpan w:val="5"/>
          </w:tcPr>
          <w:p>
            <w:pPr>
              <w:ind w:left="20"/>
              <w:spacing w:after="0"/>
              <w:rPr>
                <w:sz w:val="20"/>
                <w:szCs w:val="20"/>
                <w:color w:val="auto"/>
              </w:rPr>
            </w:pPr>
            <w:r>
              <w:rPr>
                <w:rFonts w:ascii="Arial" w:cs="Arial" w:eastAsia="Arial" w:hAnsi="Arial"/>
                <w:sz w:val="15"/>
                <w:szCs w:val="15"/>
                <w:color w:val="auto"/>
              </w:rPr>
              <w:t>bound, agree and declare as follows:</w:t>
            </w:r>
          </w:p>
        </w:tc>
        <w:tc>
          <w:tcPr>
            <w:tcW w:w="3580" w:type="dxa"/>
            <w:vAlign w:val="bottom"/>
          </w:tcPr>
          <w:p>
            <w:pPr>
              <w:spacing w:after="0"/>
              <w:rPr>
                <w:sz w:val="15"/>
                <w:szCs w:val="15"/>
                <w:color w:val="auto"/>
              </w:rPr>
            </w:pPr>
          </w:p>
        </w:tc>
      </w:tr>
      <w:tr>
        <w:trPr>
          <w:trHeight w:val="366"/>
        </w:trPr>
        <w:tc>
          <w:tcPr>
            <w:tcW w:w="164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5"/>
                <w:szCs w:val="15"/>
                <w:color w:val="auto"/>
              </w:rPr>
              <w:t>Title.</w:t>
            </w:r>
          </w:p>
        </w:tc>
        <w:tc>
          <w:tcPr>
            <w:tcW w:w="8800" w:type="dxa"/>
            <w:vAlign w:val="bottom"/>
            <w:gridSpan w:val="3"/>
          </w:tcPr>
          <w:p>
            <w:pPr>
              <w:ind w:left="1560"/>
              <w:spacing w:after="0"/>
              <w:rPr>
                <w:sz w:val="20"/>
                <w:szCs w:val="20"/>
                <w:color w:val="auto"/>
              </w:rPr>
            </w:pPr>
            <w:r>
              <w:rPr>
                <w:rFonts w:ascii="Arial" w:cs="Arial" w:eastAsia="Arial" w:hAnsi="Arial"/>
                <w:sz w:val="15"/>
                <w:szCs w:val="15"/>
                <w:color w:val="auto"/>
              </w:rPr>
              <w:t>This Trust Agreement shall be known as the Amended and Restated Parsons Employee Stock</w:t>
            </w:r>
          </w:p>
        </w:tc>
      </w:tr>
      <w:tr>
        <w:trPr>
          <w:trHeight w:val="20"/>
        </w:trPr>
        <w:tc>
          <w:tcPr>
            <w:tcW w:w="16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179"/>
        </w:trPr>
        <w:tc>
          <w:tcPr>
            <w:tcW w:w="2080" w:type="dxa"/>
            <w:vAlign w:val="bottom"/>
            <w:gridSpan w:val="3"/>
          </w:tcPr>
          <w:p>
            <w:pPr>
              <w:spacing w:after="0"/>
              <w:rPr>
                <w:sz w:val="20"/>
                <w:szCs w:val="20"/>
                <w:color w:val="auto"/>
              </w:rPr>
            </w:pPr>
            <w:r>
              <w:rPr>
                <w:rFonts w:ascii="Arial" w:cs="Arial" w:eastAsia="Arial" w:hAnsi="Arial"/>
                <w:sz w:val="15"/>
                <w:szCs w:val="15"/>
                <w:color w:val="auto"/>
              </w:rPr>
              <w:t>Ownership Trust Agreement.</w:t>
            </w:r>
          </w:p>
        </w:tc>
        <w:tc>
          <w:tcPr>
            <w:tcW w:w="17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377"/>
        </w:trPr>
        <w:tc>
          <w:tcPr>
            <w:tcW w:w="1640" w:type="dxa"/>
            <w:vAlign w:val="bottom"/>
          </w:tcPr>
          <w:p>
            <w:pPr>
              <w:spacing w:after="0"/>
              <w:rPr>
                <w:sz w:val="24"/>
                <w:szCs w:val="24"/>
                <w:color w:val="auto"/>
              </w:rPr>
            </w:pPr>
          </w:p>
        </w:tc>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Incorporation of Plan Definitions.</w:t>
            </w:r>
          </w:p>
        </w:tc>
        <w:tc>
          <w:tcPr>
            <w:tcW w:w="3440" w:type="dxa"/>
            <w:vAlign w:val="bottom"/>
          </w:tcPr>
          <w:p>
            <w:pPr>
              <w:spacing w:after="0"/>
              <w:rPr>
                <w:sz w:val="24"/>
                <w:szCs w:val="24"/>
                <w:color w:val="auto"/>
              </w:rPr>
            </w:pPr>
          </w:p>
        </w:tc>
        <w:tc>
          <w:tcPr>
            <w:tcW w:w="3580" w:type="dxa"/>
            <w:vAlign w:val="bottom"/>
          </w:tcPr>
          <w:p>
            <w:pPr>
              <w:ind w:left="440"/>
              <w:spacing w:after="0"/>
              <w:rPr>
                <w:sz w:val="20"/>
                <w:szCs w:val="20"/>
                <w:color w:val="auto"/>
              </w:rPr>
            </w:pPr>
            <w:r>
              <w:rPr>
                <w:rFonts w:ascii="Arial" w:cs="Arial" w:eastAsia="Arial" w:hAnsi="Arial"/>
                <w:sz w:val="15"/>
                <w:szCs w:val="15"/>
                <w:color w:val="auto"/>
              </w:rPr>
              <w:t>Definitions set forth in the Plan shall have</w:t>
            </w:r>
          </w:p>
        </w:tc>
      </w:tr>
      <w:tr>
        <w:trPr>
          <w:trHeight w:val="179"/>
        </w:trPr>
        <w:tc>
          <w:tcPr>
            <w:tcW w:w="7300" w:type="dxa"/>
            <w:vAlign w:val="bottom"/>
            <w:gridSpan w:val="5"/>
          </w:tcPr>
          <w:p>
            <w:pPr>
              <w:spacing w:after="0"/>
              <w:rPr>
                <w:sz w:val="20"/>
                <w:szCs w:val="20"/>
                <w:color w:val="auto"/>
              </w:rPr>
            </w:pPr>
            <w:r>
              <w:rPr>
                <w:rFonts w:ascii="Arial" w:cs="Arial" w:eastAsia="Arial" w:hAnsi="Arial"/>
                <w:sz w:val="15"/>
                <w:szCs w:val="15"/>
                <w:color w:val="auto"/>
              </w:rPr>
              <w:t>the same meaning wherever used in the Trust Agreement, unless the context clearly indicates otherwise.</w:t>
            </w:r>
          </w:p>
        </w:tc>
        <w:tc>
          <w:tcPr>
            <w:tcW w:w="3580" w:type="dxa"/>
            <w:vAlign w:val="bottom"/>
          </w:tcPr>
          <w:p>
            <w:pPr>
              <w:spacing w:after="0"/>
              <w:rPr>
                <w:sz w:val="15"/>
                <w:szCs w:val="15"/>
                <w:color w:val="auto"/>
              </w:rPr>
            </w:pPr>
          </w:p>
        </w:tc>
      </w:tr>
      <w:tr>
        <w:trPr>
          <w:trHeight w:val="344"/>
        </w:trPr>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40" w:type="dxa"/>
            <w:vAlign w:val="bottom"/>
          </w:tcPr>
          <w:p>
            <w:pPr>
              <w:jc w:val="center"/>
              <w:ind w:right="246"/>
              <w:spacing w:after="0"/>
              <w:rPr>
                <w:sz w:val="20"/>
                <w:szCs w:val="20"/>
                <w:color w:val="auto"/>
              </w:rPr>
            </w:pPr>
            <w:r>
              <w:rPr>
                <w:rFonts w:ascii="Arial" w:cs="Arial" w:eastAsia="Arial" w:hAnsi="Arial"/>
                <w:sz w:val="15"/>
                <w:szCs w:val="15"/>
                <w:b w:val="1"/>
                <w:bCs w:val="1"/>
                <w:color w:val="auto"/>
                <w:w w:val="97"/>
              </w:rPr>
              <w:t>ARTICLE 1</w:t>
            </w:r>
          </w:p>
        </w:tc>
        <w:tc>
          <w:tcPr>
            <w:tcW w:w="3580" w:type="dxa"/>
            <w:vAlign w:val="bottom"/>
          </w:tcPr>
          <w:p>
            <w:pPr>
              <w:spacing w:after="0"/>
              <w:rPr>
                <w:sz w:val="24"/>
                <w:szCs w:val="24"/>
                <w:color w:val="auto"/>
              </w:rPr>
            </w:pPr>
          </w:p>
        </w:tc>
      </w:tr>
      <w:tr>
        <w:trPr>
          <w:trHeight w:val="344"/>
        </w:trPr>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40" w:type="dxa"/>
            <w:vAlign w:val="bottom"/>
          </w:tcPr>
          <w:p>
            <w:pPr>
              <w:jc w:val="center"/>
              <w:ind w:right="226"/>
              <w:spacing w:after="0"/>
              <w:rPr>
                <w:sz w:val="20"/>
                <w:szCs w:val="20"/>
                <w:color w:val="auto"/>
              </w:rPr>
            </w:pPr>
            <w:r>
              <w:rPr>
                <w:rFonts w:ascii="Arial" w:cs="Arial" w:eastAsia="Arial" w:hAnsi="Arial"/>
                <w:sz w:val="15"/>
                <w:szCs w:val="15"/>
                <w:b w:val="1"/>
                <w:bCs w:val="1"/>
                <w:color w:val="auto"/>
                <w:w w:val="98"/>
              </w:rPr>
              <w:t>DEFINITIONS</w:t>
            </w:r>
          </w:p>
        </w:tc>
        <w:tc>
          <w:tcPr>
            <w:tcW w:w="3580" w:type="dxa"/>
            <w:vAlign w:val="bottom"/>
          </w:tcPr>
          <w:p>
            <w:pPr>
              <w:spacing w:after="0"/>
              <w:rPr>
                <w:sz w:val="24"/>
                <w:szCs w:val="24"/>
                <w:color w:val="auto"/>
              </w:rPr>
            </w:pPr>
          </w:p>
        </w:tc>
      </w:tr>
      <w:tr>
        <w:trPr>
          <w:trHeight w:val="332"/>
        </w:trPr>
        <w:tc>
          <w:tcPr>
            <w:tcW w:w="1640" w:type="dxa"/>
            <w:vAlign w:val="bottom"/>
          </w:tcPr>
          <w:p>
            <w:pPr>
              <w:ind w:left="820"/>
              <w:spacing w:after="0"/>
              <w:rPr>
                <w:sz w:val="20"/>
                <w:szCs w:val="20"/>
                <w:color w:val="auto"/>
              </w:rPr>
            </w:pPr>
            <w:r>
              <w:rPr>
                <w:rFonts w:ascii="Arial" w:cs="Arial" w:eastAsia="Arial" w:hAnsi="Arial"/>
                <w:sz w:val="15"/>
                <w:szCs w:val="15"/>
                <w:color w:val="auto"/>
              </w:rPr>
              <w:t>1.1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gridSpan w:val="3"/>
          </w:tcPr>
          <w:p>
            <w:pPr>
              <w:ind w:left="160"/>
              <w:spacing w:after="0"/>
              <w:rPr>
                <w:sz w:val="20"/>
                <w:szCs w:val="20"/>
                <w:color w:val="auto"/>
              </w:rPr>
            </w:pPr>
            <w:r>
              <w:rPr>
                <w:rFonts w:ascii="Arial" w:cs="Arial" w:eastAsia="Arial" w:hAnsi="Arial"/>
                <w:sz w:val="15"/>
                <w:szCs w:val="15"/>
                <w:b w:val="1"/>
                <w:bCs w:val="1"/>
                <w:color w:val="auto"/>
                <w:w w:val="99"/>
              </w:rPr>
              <w:t xml:space="preserve">Administrative Committee </w:t>
            </w:r>
            <w:r>
              <w:rPr>
                <w:rFonts w:ascii="Arial" w:cs="Arial" w:eastAsia="Arial" w:hAnsi="Arial"/>
                <w:sz w:val="15"/>
                <w:szCs w:val="15"/>
                <w:color w:val="auto"/>
                <w:w w:val="99"/>
              </w:rPr>
              <w:t>means the committee responsible under the Plan for the administration and management of the Plan's</w:t>
            </w:r>
          </w:p>
        </w:tc>
      </w:tr>
      <w:tr>
        <w:trPr>
          <w:trHeight w:val="178"/>
        </w:trPr>
        <w:tc>
          <w:tcPr>
            <w:tcW w:w="2080" w:type="dxa"/>
            <w:vAlign w:val="bottom"/>
            <w:gridSpan w:val="3"/>
          </w:tcPr>
          <w:p>
            <w:pPr>
              <w:spacing w:after="0"/>
              <w:rPr>
                <w:sz w:val="20"/>
                <w:szCs w:val="20"/>
                <w:color w:val="auto"/>
              </w:rPr>
            </w:pPr>
            <w:r>
              <w:rPr>
                <w:rFonts w:ascii="Arial" w:cs="Arial" w:eastAsia="Arial" w:hAnsi="Arial"/>
                <w:sz w:val="15"/>
                <w:szCs w:val="15"/>
                <w:color w:val="auto"/>
              </w:rPr>
              <w:t>affairs</w:t>
            </w:r>
          </w:p>
        </w:tc>
        <w:tc>
          <w:tcPr>
            <w:tcW w:w="17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332"/>
        </w:trPr>
        <w:tc>
          <w:tcPr>
            <w:tcW w:w="1640" w:type="dxa"/>
            <w:vAlign w:val="bottom"/>
          </w:tcPr>
          <w:p>
            <w:pPr>
              <w:ind w:left="860"/>
              <w:spacing w:after="0"/>
              <w:rPr>
                <w:sz w:val="20"/>
                <w:szCs w:val="20"/>
                <w:color w:val="auto"/>
              </w:rPr>
            </w:pPr>
            <w:r>
              <w:rPr>
                <w:rFonts w:ascii="Arial" w:cs="Arial" w:eastAsia="Arial" w:hAnsi="Arial"/>
                <w:sz w:val="15"/>
                <w:szCs w:val="15"/>
                <w:color w:val="auto"/>
              </w:rPr>
              <w:t>1.2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0" w:type="dxa"/>
            <w:vAlign w:val="bottom"/>
            <w:gridSpan w:val="3"/>
          </w:tcPr>
          <w:p>
            <w:pPr>
              <w:ind w:left="180"/>
              <w:spacing w:after="0"/>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means any corporation which is a member of the controlled group of corporations (as defined in Code Section 414(b))</w:t>
            </w:r>
          </w:p>
        </w:tc>
      </w:tr>
    </w:tbl>
    <w:p>
      <w:pPr>
        <w:jc w:val="both"/>
        <w:ind w:left="20" w:right="180"/>
        <w:spacing w:after="0" w:line="236" w:lineRule="auto"/>
        <w:rPr>
          <w:sz w:val="20"/>
          <w:szCs w:val="20"/>
          <w:color w:val="auto"/>
        </w:rPr>
      </w:pPr>
      <w:r>
        <w:rPr>
          <w:rFonts w:ascii="Arial" w:cs="Arial" w:eastAsia="Arial" w:hAnsi="Arial"/>
          <w:sz w:val="15"/>
          <w:szCs w:val="15"/>
          <w:color w:val="auto"/>
        </w:rPr>
        <w:t>which includes an Employer; any trade or business (whether or not incorporated) which is under common control (as defined in Code Section 414(c)) with an Employer; an organization (whether or not incorporated) which is a member of a related company service group (as defined in Code Section 414(m)) which includes an Employer and any other entity required to be aggregated with an Employer pursuant to regulations under Code Section 414(o).</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640" w:type="dxa"/>
            <w:vAlign w:val="bottom"/>
          </w:tcPr>
          <w:p>
            <w:pPr>
              <w:jc w:val="right"/>
              <w:ind w:right="526"/>
              <w:spacing w:after="0"/>
              <w:rPr>
                <w:sz w:val="20"/>
                <w:szCs w:val="20"/>
                <w:color w:val="auto"/>
              </w:rPr>
            </w:pPr>
            <w:r>
              <w:rPr>
                <w:rFonts w:ascii="Arial" w:cs="Arial" w:eastAsia="Arial" w:hAnsi="Arial"/>
                <w:sz w:val="15"/>
                <w:szCs w:val="15"/>
                <w:color w:val="auto"/>
              </w:rPr>
              <w:t>1.3</w:t>
            </w:r>
          </w:p>
        </w:tc>
        <w:tc>
          <w:tcPr>
            <w:tcW w:w="9220" w:type="dxa"/>
            <w:vAlign w:val="bottom"/>
          </w:tcPr>
          <w:p>
            <w:pPr>
              <w:ind w:left="600"/>
              <w:spacing w:after="0"/>
              <w:rPr>
                <w:sz w:val="20"/>
                <w:szCs w:val="20"/>
                <w:color w:val="auto"/>
              </w:rPr>
            </w:pPr>
            <w:r>
              <w:rPr>
                <w:rFonts w:ascii="Arial" w:cs="Arial" w:eastAsia="Arial" w:hAnsi="Arial"/>
                <w:sz w:val="15"/>
                <w:szCs w:val="15"/>
                <w:b w:val="1"/>
                <w:bCs w:val="1"/>
                <w:color w:val="auto"/>
              </w:rPr>
              <w:t xml:space="preserve">Anniversary Date </w:t>
            </w:r>
            <w:r>
              <w:rPr>
                <w:rFonts w:ascii="Arial" w:cs="Arial" w:eastAsia="Arial" w:hAnsi="Arial"/>
                <w:sz w:val="15"/>
                <w:szCs w:val="15"/>
                <w:color w:val="auto"/>
              </w:rPr>
              <w:t>means the last day of each Plan Year.</w:t>
            </w:r>
          </w:p>
        </w:tc>
      </w:tr>
      <w:tr>
        <w:trPr>
          <w:trHeight w:val="344"/>
        </w:trPr>
        <w:tc>
          <w:tcPr>
            <w:tcW w:w="1640" w:type="dxa"/>
            <w:vAlign w:val="bottom"/>
          </w:tcPr>
          <w:p>
            <w:pPr>
              <w:jc w:val="right"/>
              <w:ind w:right="526"/>
              <w:spacing w:after="0"/>
              <w:rPr>
                <w:sz w:val="20"/>
                <w:szCs w:val="20"/>
                <w:color w:val="auto"/>
              </w:rPr>
            </w:pPr>
            <w:r>
              <w:rPr>
                <w:rFonts w:ascii="Arial" w:cs="Arial" w:eastAsia="Arial" w:hAnsi="Arial"/>
                <w:sz w:val="15"/>
                <w:szCs w:val="15"/>
                <w:color w:val="auto"/>
              </w:rPr>
              <w:t>1.4</w:t>
            </w:r>
          </w:p>
        </w:tc>
        <w:tc>
          <w:tcPr>
            <w:tcW w:w="9220" w:type="dxa"/>
            <w:vAlign w:val="bottom"/>
          </w:tcPr>
          <w:p>
            <w:pPr>
              <w:ind w:left="620"/>
              <w:spacing w:after="0"/>
              <w:rPr>
                <w:sz w:val="20"/>
                <w:szCs w:val="20"/>
                <w:color w:val="auto"/>
              </w:rPr>
            </w:pPr>
            <w:r>
              <w:rPr>
                <w:rFonts w:ascii="Arial" w:cs="Arial" w:eastAsia="Arial" w:hAnsi="Arial"/>
                <w:sz w:val="15"/>
                <w:szCs w:val="15"/>
                <w:b w:val="1"/>
                <w:bCs w:val="1"/>
                <w:color w:val="auto"/>
              </w:rPr>
              <w:t xml:space="preserve">Board of Directors </w:t>
            </w:r>
            <w:r>
              <w:rPr>
                <w:rFonts w:ascii="Arial" w:cs="Arial" w:eastAsia="Arial" w:hAnsi="Arial"/>
                <w:sz w:val="15"/>
                <w:szCs w:val="15"/>
                <w:color w:val="auto"/>
              </w:rPr>
              <w:t>means the board of directors of the Company.</w:t>
            </w:r>
          </w:p>
        </w:tc>
      </w:tr>
      <w:tr>
        <w:trPr>
          <w:trHeight w:val="376"/>
        </w:trPr>
        <w:tc>
          <w:tcPr>
            <w:tcW w:w="1640" w:type="dxa"/>
            <w:vAlign w:val="bottom"/>
          </w:tcPr>
          <w:p>
            <w:pPr>
              <w:jc w:val="right"/>
              <w:ind w:right="526"/>
              <w:spacing w:after="0"/>
              <w:rPr>
                <w:sz w:val="20"/>
                <w:szCs w:val="20"/>
                <w:color w:val="auto"/>
              </w:rPr>
            </w:pPr>
            <w:r>
              <w:rPr>
                <w:rFonts w:ascii="Arial" w:cs="Arial" w:eastAsia="Arial" w:hAnsi="Arial"/>
                <w:sz w:val="15"/>
                <w:szCs w:val="15"/>
                <w:color w:val="auto"/>
              </w:rPr>
              <w:t>1.5</w:t>
            </w:r>
          </w:p>
        </w:tc>
        <w:tc>
          <w:tcPr>
            <w:tcW w:w="9220" w:type="dxa"/>
            <w:vAlign w:val="bottom"/>
          </w:tcPr>
          <w:p>
            <w:pPr>
              <w:ind w:left="620"/>
              <w:spacing w:after="0"/>
              <w:rPr>
                <w:sz w:val="20"/>
                <w:szCs w:val="20"/>
                <w:color w:val="auto"/>
              </w:rPr>
            </w:pPr>
            <w:r>
              <w:rPr>
                <w:rFonts w:ascii="Arial" w:cs="Arial" w:eastAsia="Arial" w:hAnsi="Arial"/>
                <w:sz w:val="15"/>
                <w:szCs w:val="15"/>
                <w:b w:val="1"/>
                <w:bCs w:val="1"/>
                <w:color w:val="auto"/>
                <w:w w:val="99"/>
              </w:rPr>
              <w:t xml:space="preserve">Company </w:t>
            </w:r>
            <w:r>
              <w:rPr>
                <w:rFonts w:ascii="Arial" w:cs="Arial" w:eastAsia="Arial" w:hAnsi="Arial"/>
                <w:sz w:val="15"/>
                <w:szCs w:val="15"/>
                <w:color w:val="auto"/>
                <w:w w:val="99"/>
              </w:rPr>
              <w:t>or Sponsor shall mean Parsons Corporation, a corporation of the State of Delaware, or any corporation which succeeds</w:t>
            </w:r>
          </w:p>
        </w:tc>
      </w:tr>
      <w:tr>
        <w:trPr>
          <w:trHeight w:val="178"/>
        </w:trPr>
        <w:tc>
          <w:tcPr>
            <w:tcW w:w="1640" w:type="dxa"/>
            <w:vAlign w:val="bottom"/>
          </w:tcPr>
          <w:p>
            <w:pPr>
              <w:jc w:val="right"/>
              <w:ind w:right="606"/>
              <w:spacing w:after="0"/>
              <w:rPr>
                <w:sz w:val="20"/>
                <w:szCs w:val="20"/>
                <w:color w:val="auto"/>
              </w:rPr>
            </w:pPr>
            <w:r>
              <w:rPr>
                <w:rFonts w:ascii="Arial" w:cs="Arial" w:eastAsia="Arial" w:hAnsi="Arial"/>
                <w:sz w:val="15"/>
                <w:szCs w:val="15"/>
                <w:color w:val="auto"/>
                <w:w w:val="94"/>
              </w:rPr>
              <w:t>to its business.</w:t>
            </w:r>
          </w:p>
        </w:tc>
        <w:tc>
          <w:tcPr>
            <w:tcW w:w="9220" w:type="dxa"/>
            <w:vAlign w:val="bottom"/>
          </w:tcPr>
          <w:p>
            <w:pPr>
              <w:spacing w:after="0"/>
              <w:rPr>
                <w:sz w:val="15"/>
                <w:szCs w:val="15"/>
                <w:color w:val="auto"/>
              </w:rPr>
            </w:pPr>
          </w:p>
        </w:tc>
      </w:tr>
      <w:tr>
        <w:trPr>
          <w:trHeight w:val="344"/>
        </w:trPr>
        <w:tc>
          <w:tcPr>
            <w:tcW w:w="1640" w:type="dxa"/>
            <w:vAlign w:val="bottom"/>
          </w:tcPr>
          <w:p>
            <w:pPr>
              <w:jc w:val="right"/>
              <w:ind w:right="526"/>
              <w:spacing w:after="0"/>
              <w:rPr>
                <w:sz w:val="20"/>
                <w:szCs w:val="20"/>
                <w:color w:val="auto"/>
              </w:rPr>
            </w:pPr>
            <w:r>
              <w:rPr>
                <w:rFonts w:ascii="Arial" w:cs="Arial" w:eastAsia="Arial" w:hAnsi="Arial"/>
                <w:sz w:val="15"/>
                <w:szCs w:val="15"/>
                <w:color w:val="auto"/>
              </w:rPr>
              <w:t>1.6</w:t>
            </w:r>
          </w:p>
        </w:tc>
        <w:tc>
          <w:tcPr>
            <w:tcW w:w="9220" w:type="dxa"/>
            <w:vAlign w:val="bottom"/>
          </w:tcPr>
          <w:p>
            <w:pPr>
              <w:ind w:left="600"/>
              <w:spacing w:after="0"/>
              <w:rPr>
                <w:sz w:val="20"/>
                <w:szCs w:val="20"/>
                <w:color w:val="auto"/>
              </w:rPr>
            </w:pPr>
            <w:r>
              <w:rPr>
                <w:rFonts w:ascii="Arial" w:cs="Arial" w:eastAsia="Arial" w:hAnsi="Arial"/>
                <w:sz w:val="15"/>
                <w:szCs w:val="15"/>
                <w:b w:val="1"/>
                <w:bCs w:val="1"/>
                <w:color w:val="auto"/>
              </w:rPr>
              <w:t xml:space="preserve">Employer </w:t>
            </w:r>
            <w:r>
              <w:rPr>
                <w:rFonts w:ascii="Arial" w:cs="Arial" w:eastAsia="Arial" w:hAnsi="Arial"/>
                <w:sz w:val="15"/>
                <w:szCs w:val="15"/>
                <w:color w:val="auto"/>
              </w:rPr>
              <w:t>means the Company and any Affiliate that has become a party to the Plan.</w:t>
            </w:r>
          </w:p>
        </w:tc>
      </w:tr>
      <w:tr>
        <w:trPr>
          <w:trHeight w:val="344"/>
        </w:trPr>
        <w:tc>
          <w:tcPr>
            <w:tcW w:w="1640" w:type="dxa"/>
            <w:vAlign w:val="bottom"/>
          </w:tcPr>
          <w:p>
            <w:pPr>
              <w:jc w:val="right"/>
              <w:ind w:right="526"/>
              <w:spacing w:after="0"/>
              <w:rPr>
                <w:sz w:val="20"/>
                <w:szCs w:val="20"/>
                <w:color w:val="auto"/>
              </w:rPr>
            </w:pPr>
            <w:r>
              <w:rPr>
                <w:rFonts w:ascii="Arial" w:cs="Arial" w:eastAsia="Arial" w:hAnsi="Arial"/>
                <w:sz w:val="15"/>
                <w:szCs w:val="15"/>
                <w:color w:val="auto"/>
              </w:rPr>
              <w:t>1.7</w:t>
            </w:r>
          </w:p>
        </w:tc>
        <w:tc>
          <w:tcPr>
            <w:tcW w:w="9220" w:type="dxa"/>
            <w:vAlign w:val="bottom"/>
          </w:tcPr>
          <w:p>
            <w:pPr>
              <w:ind w:left="600"/>
              <w:spacing w:after="0"/>
              <w:rPr>
                <w:sz w:val="20"/>
                <w:szCs w:val="20"/>
                <w:color w:val="auto"/>
              </w:rPr>
            </w:pPr>
            <w:r>
              <w:rPr>
                <w:rFonts w:ascii="Arial" w:cs="Arial" w:eastAsia="Arial" w:hAnsi="Arial"/>
                <w:sz w:val="15"/>
                <w:szCs w:val="15"/>
                <w:b w:val="1"/>
                <w:bCs w:val="1"/>
                <w:color w:val="auto"/>
              </w:rPr>
              <w:t xml:space="preserve">Company Stock or Employer Stock </w:t>
            </w:r>
            <w:r>
              <w:rPr>
                <w:rFonts w:ascii="Arial" w:cs="Arial" w:eastAsia="Arial" w:hAnsi="Arial"/>
                <w:sz w:val="15"/>
                <w:szCs w:val="15"/>
                <w:color w:val="auto"/>
              </w:rPr>
              <w:t>means common stock or preferred stock</w:t>
            </w:r>
          </w:p>
        </w:tc>
      </w:tr>
    </w:tbl>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314960</wp:posOffset>
            </wp:positionV>
            <wp:extent cx="7171055" cy="139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060"/>
          </w:cols>
          <w:pgMar w:left="520" w:top="372" w:right="319" w:bottom="1440" w:gutter="0" w:footer="0" w:header="0"/>
        </w:sectPr>
      </w:pPr>
    </w:p>
    <w:bookmarkStart w:id="216" w:name="page217"/>
    <w:bookmarkEnd w:id="216"/>
    <w:p>
      <w:pPr>
        <w:spacing w:after="0"/>
        <w:rPr>
          <w:sz w:val="20"/>
          <w:szCs w:val="20"/>
          <w:color w:val="auto"/>
        </w:rPr>
      </w:pPr>
      <w:r>
        <w:rPr>
          <w:rFonts w:ascii="Arial" w:cs="Arial" w:eastAsia="Arial" w:hAnsi="Arial"/>
          <w:sz w:val="15"/>
          <w:szCs w:val="15"/>
          <w:color w:val="auto"/>
        </w:rPr>
        <w:t>issued by the Company that constitutes a qualifying employer security under Code Section 4975(e)(8).</w:t>
      </w:r>
    </w:p>
    <w:p>
      <w:pPr>
        <w:spacing w:after="0" w:line="153" w:lineRule="exact"/>
        <w:rPr>
          <w:sz w:val="20"/>
          <w:szCs w:val="20"/>
          <w:color w:val="auto"/>
        </w:rPr>
      </w:pPr>
    </w:p>
    <w:tbl>
      <w:tblPr>
        <w:tblLayout w:type="fixed"/>
        <w:tblInd w:w="840" w:type="dxa"/>
        <w:tblCellMar>
          <w:top w:w="0" w:type="dxa"/>
          <w:left w:w="0" w:type="dxa"/>
          <w:bottom w:w="0" w:type="dxa"/>
          <w:right w:w="0" w:type="dxa"/>
        </w:tblCellMar>
      </w:tblPr>
      <w:tr>
        <w:trPr>
          <w:trHeight w:val="196"/>
        </w:trPr>
        <w:tc>
          <w:tcPr>
            <w:tcW w:w="800" w:type="dxa"/>
            <w:vAlign w:val="bottom"/>
          </w:tcPr>
          <w:p>
            <w:pPr>
              <w:jc w:val="right"/>
              <w:ind w:right="526"/>
              <w:spacing w:after="0"/>
              <w:rPr>
                <w:sz w:val="20"/>
                <w:szCs w:val="20"/>
                <w:color w:val="auto"/>
              </w:rPr>
            </w:pPr>
            <w:r>
              <w:rPr>
                <w:rFonts w:ascii="Arial" w:cs="Arial" w:eastAsia="Arial" w:hAnsi="Arial"/>
                <w:sz w:val="15"/>
                <w:szCs w:val="15"/>
                <w:color w:val="auto"/>
                <w:w w:val="86"/>
              </w:rPr>
              <w:t>1.8</w:t>
            </w:r>
          </w:p>
        </w:tc>
        <w:tc>
          <w:tcPr>
            <w:tcW w:w="9220" w:type="dxa"/>
            <w:vAlign w:val="bottom"/>
          </w:tcPr>
          <w:p>
            <w:pPr>
              <w:ind w:left="600"/>
              <w:spacing w:after="0"/>
              <w:rPr>
                <w:sz w:val="20"/>
                <w:szCs w:val="20"/>
                <w:color w:val="auto"/>
              </w:rPr>
            </w:pPr>
            <w:r>
              <w:rPr>
                <w:rFonts w:ascii="Arial" w:cs="Arial" w:eastAsia="Arial" w:hAnsi="Arial"/>
                <w:sz w:val="15"/>
                <w:szCs w:val="15"/>
                <w:b w:val="1"/>
                <w:bCs w:val="1"/>
                <w:color w:val="auto"/>
              </w:rPr>
              <w:t xml:space="preserve">ERISA </w:t>
            </w:r>
            <w:r>
              <w:rPr>
                <w:rFonts w:ascii="Arial" w:cs="Arial" w:eastAsia="Arial" w:hAnsi="Arial"/>
                <w:sz w:val="15"/>
                <w:szCs w:val="15"/>
                <w:color w:val="auto"/>
              </w:rPr>
              <w:t>means the Employee Retirement Income Security Act of 1974, as amended from time to time.</w:t>
            </w:r>
          </w:p>
        </w:tc>
      </w:tr>
      <w:tr>
        <w:trPr>
          <w:trHeight w:val="332"/>
        </w:trPr>
        <w:tc>
          <w:tcPr>
            <w:tcW w:w="800" w:type="dxa"/>
            <w:vAlign w:val="bottom"/>
          </w:tcPr>
          <w:p>
            <w:pPr>
              <w:jc w:val="right"/>
              <w:ind w:right="526"/>
              <w:spacing w:after="0"/>
              <w:rPr>
                <w:sz w:val="20"/>
                <w:szCs w:val="20"/>
                <w:color w:val="auto"/>
              </w:rPr>
            </w:pPr>
            <w:r>
              <w:rPr>
                <w:rFonts w:ascii="Arial" w:cs="Arial" w:eastAsia="Arial" w:hAnsi="Arial"/>
                <w:sz w:val="15"/>
                <w:szCs w:val="15"/>
                <w:color w:val="auto"/>
                <w:w w:val="86"/>
              </w:rPr>
              <w:t>1.9</w:t>
            </w:r>
          </w:p>
        </w:tc>
        <w:tc>
          <w:tcPr>
            <w:tcW w:w="9220" w:type="dxa"/>
            <w:vAlign w:val="bottom"/>
          </w:tcPr>
          <w:p>
            <w:pPr>
              <w:ind w:left="600"/>
              <w:spacing w:after="0"/>
              <w:rPr>
                <w:sz w:val="20"/>
                <w:szCs w:val="20"/>
                <w:color w:val="auto"/>
              </w:rPr>
            </w:pPr>
            <w:r>
              <w:rPr>
                <w:rFonts w:ascii="Arial" w:cs="Arial" w:eastAsia="Arial" w:hAnsi="Arial"/>
                <w:sz w:val="15"/>
                <w:szCs w:val="15"/>
                <w:b w:val="1"/>
                <w:bCs w:val="1"/>
                <w:color w:val="auto"/>
                <w:w w:val="98"/>
              </w:rPr>
              <w:t xml:space="preserve">Named Fiduciary. </w:t>
            </w:r>
            <w:r>
              <w:rPr>
                <w:rFonts w:ascii="Arial" w:cs="Arial" w:eastAsia="Arial" w:hAnsi="Arial"/>
                <w:sz w:val="15"/>
                <w:szCs w:val="15"/>
                <w:color w:val="auto"/>
                <w:w w:val="98"/>
              </w:rPr>
              <w:t>The Trustee and the members of the Administrative Committee, as appointed under the terms of the Plan by the</w:t>
            </w:r>
          </w:p>
        </w:tc>
      </w:tr>
    </w:tbl>
    <w:p>
      <w:pPr>
        <w:jc w:val="both"/>
        <w:ind w:right="180"/>
        <w:spacing w:after="0" w:line="235" w:lineRule="auto"/>
        <w:rPr>
          <w:sz w:val="20"/>
          <w:szCs w:val="20"/>
          <w:color w:val="auto"/>
        </w:rPr>
      </w:pPr>
      <w:r>
        <w:rPr>
          <w:rFonts w:ascii="Arial" w:cs="Arial" w:eastAsia="Arial" w:hAnsi="Arial"/>
          <w:sz w:val="15"/>
          <w:szCs w:val="15"/>
          <w:color w:val="auto"/>
        </w:rPr>
        <w:t>Sponsor's Chief Executive Officer, shall be the named fiduciaries of the Plan and Trust for purposes of Section 402 of the Employee Retirement Income Security Act of 1974 ("ERISA"), except that each Participant shall be a named fiduciary for such purposes with respect to the exercise of voting rights associated with the shares of Company Stock allocated to his or her Account under the Plan. The Administrative Committee shall, upon request of the Trustee, furnish the Trustee with such reasonable information as is necessary for the Trustee to carry out its fiduciary responsibilities under ERISA.</w:t>
      </w:r>
    </w:p>
    <w:p>
      <w:pPr>
        <w:spacing w:after="0" w:line="149" w:lineRule="exact"/>
        <w:rPr>
          <w:sz w:val="20"/>
          <w:szCs w:val="20"/>
          <w:color w:val="auto"/>
        </w:rPr>
      </w:pPr>
    </w:p>
    <w:p>
      <w:pPr>
        <w:jc w:val="both"/>
        <w:ind w:right="180" w:firstLine="837"/>
        <w:spacing w:after="0" w:line="247" w:lineRule="auto"/>
        <w:rPr>
          <w:sz w:val="20"/>
          <w:szCs w:val="20"/>
          <w:color w:val="auto"/>
        </w:rPr>
      </w:pPr>
      <w:r>
        <w:rPr>
          <w:rFonts w:ascii="Arial" w:cs="Arial" w:eastAsia="Arial" w:hAnsi="Arial"/>
          <w:sz w:val="15"/>
          <w:szCs w:val="15"/>
          <w:color w:val="auto"/>
        </w:rPr>
        <w:t xml:space="preserve">1.10 </w:t>
      </w:r>
      <w:r>
        <w:rPr>
          <w:rFonts w:ascii="Arial" w:cs="Arial" w:eastAsia="Arial" w:hAnsi="Arial"/>
          <w:sz w:val="15"/>
          <w:szCs w:val="15"/>
          <w:b w:val="1"/>
          <w:bCs w:val="1"/>
          <w:color w:val="auto"/>
        </w:rPr>
        <w:t>Employee Stock Ownership Plan.</w:t>
      </w:r>
      <w:r>
        <w:rPr>
          <w:rFonts w:ascii="Arial" w:cs="Arial" w:eastAsia="Arial" w:hAnsi="Arial"/>
          <w:sz w:val="15"/>
          <w:szCs w:val="15"/>
          <w:color w:val="auto"/>
        </w:rPr>
        <w:t xml:space="preserve"> The Plan is a stock bonus/money purchase plan, qualified under Section 401(a) of the Internal Revenue Code of 1986, as amended (the "Code"), consisting of an employee stock ownership plan, as defined by Section 4975(e)(7) of the Code, designed to invest primarily in Company Stock.. The Plan is intended to qualify as an eligible individual account plan within the meaning of Section 407(d)(3) of ERISA.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1.11</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rPr>
              <w:t xml:space="preserve">Participant </w:t>
            </w:r>
            <w:r>
              <w:rPr>
                <w:rFonts w:ascii="Arial" w:cs="Arial" w:eastAsia="Arial" w:hAnsi="Arial"/>
                <w:sz w:val="15"/>
                <w:szCs w:val="15"/>
                <w:color w:val="auto"/>
              </w:rPr>
              <w:t>means an employee or former employee of an Employer participating in the Plan and includes the beneficiary of a</w:t>
            </w:r>
          </w:p>
        </w:tc>
      </w:tr>
      <w:tr>
        <w:trPr>
          <w:trHeight w:val="178"/>
        </w:trPr>
        <w:tc>
          <w:tcPr>
            <w:tcW w:w="10860" w:type="dxa"/>
            <w:vAlign w:val="bottom"/>
            <w:gridSpan w:val="2"/>
          </w:tcPr>
          <w:p>
            <w:pPr>
              <w:spacing w:after="0"/>
              <w:rPr>
                <w:sz w:val="20"/>
                <w:szCs w:val="20"/>
                <w:color w:val="auto"/>
              </w:rPr>
            </w:pPr>
            <w:r>
              <w:rPr>
                <w:rFonts w:ascii="Arial" w:cs="Arial" w:eastAsia="Arial" w:hAnsi="Arial"/>
                <w:sz w:val="15"/>
                <w:szCs w:val="15"/>
                <w:color w:val="auto"/>
              </w:rPr>
              <w:t>deceased employee of an Employer who was participating in the Plan at the time of his or her death.</w:t>
            </w:r>
          </w:p>
        </w:tc>
      </w:tr>
      <w:tr>
        <w:trPr>
          <w:trHeight w:val="344"/>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1.12</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rPr>
              <w:t xml:space="preserve">Plan </w:t>
            </w:r>
            <w:r>
              <w:rPr>
                <w:rFonts w:ascii="Arial" w:cs="Arial" w:eastAsia="Arial" w:hAnsi="Arial"/>
                <w:sz w:val="15"/>
                <w:szCs w:val="15"/>
                <w:color w:val="auto"/>
              </w:rPr>
              <w:t>means the Parsons Employee Stock Ownership Plan, as amended from time to time.</w:t>
            </w:r>
          </w:p>
        </w:tc>
      </w:tr>
      <w:tr>
        <w:trPr>
          <w:trHeight w:val="344"/>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1.13</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rPr>
              <w:t xml:space="preserve">Plan Year </w:t>
            </w:r>
            <w:r>
              <w:rPr>
                <w:rFonts w:ascii="Arial" w:cs="Arial" w:eastAsia="Arial" w:hAnsi="Arial"/>
                <w:sz w:val="15"/>
                <w:szCs w:val="15"/>
                <w:color w:val="auto"/>
              </w:rPr>
              <w:t>means a 12-consecutive-month period commencing on each January 1.</w:t>
            </w:r>
          </w:p>
        </w:tc>
      </w:tr>
      <w:tr>
        <w:trPr>
          <w:trHeight w:val="332"/>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1.14</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w w:val="98"/>
              </w:rPr>
              <w:t xml:space="preserve">Qualified Domestic Relations Order </w:t>
            </w:r>
            <w:r>
              <w:rPr>
                <w:rFonts w:ascii="Arial" w:cs="Arial" w:eastAsia="Arial" w:hAnsi="Arial"/>
                <w:sz w:val="15"/>
                <w:szCs w:val="15"/>
                <w:color w:val="auto"/>
                <w:w w:val="98"/>
              </w:rPr>
              <w:t>means a court order determined by the Committee to satisfy the requirements of a qualified</w:t>
            </w:r>
          </w:p>
        </w:tc>
      </w:tr>
      <w:tr>
        <w:trPr>
          <w:trHeight w:val="178"/>
        </w:trPr>
        <w:tc>
          <w:tcPr>
            <w:tcW w:w="10860" w:type="dxa"/>
            <w:vAlign w:val="bottom"/>
            <w:gridSpan w:val="2"/>
          </w:tcPr>
          <w:p>
            <w:pPr>
              <w:spacing w:after="0"/>
              <w:rPr>
                <w:sz w:val="20"/>
                <w:szCs w:val="20"/>
                <w:color w:val="auto"/>
              </w:rPr>
            </w:pPr>
            <w:r>
              <w:rPr>
                <w:rFonts w:ascii="Arial" w:cs="Arial" w:eastAsia="Arial" w:hAnsi="Arial"/>
                <w:sz w:val="15"/>
                <w:szCs w:val="15"/>
                <w:color w:val="auto"/>
              </w:rPr>
              <w:t>domestic relations order under the applicable provisions of the Code and ERISA.</w:t>
            </w:r>
          </w:p>
        </w:tc>
      </w:tr>
      <w:tr>
        <w:trPr>
          <w:trHeight w:val="344"/>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1.15</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rPr>
              <w:t xml:space="preserve">Trust </w:t>
            </w:r>
            <w:r>
              <w:rPr>
                <w:rFonts w:ascii="Arial" w:cs="Arial" w:eastAsia="Arial" w:hAnsi="Arial"/>
                <w:sz w:val="15"/>
                <w:szCs w:val="15"/>
                <w:color w:val="auto"/>
              </w:rPr>
              <w:t>means the trust established under this Trust Agreement to fund a portion of the benefits under the Plan.</w:t>
            </w:r>
          </w:p>
        </w:tc>
      </w:tr>
      <w:tr>
        <w:trPr>
          <w:trHeight w:val="332"/>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1.16</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w w:val="99"/>
              </w:rPr>
              <w:t xml:space="preserve">Trustee </w:t>
            </w:r>
            <w:r>
              <w:rPr>
                <w:rFonts w:ascii="Arial" w:cs="Arial" w:eastAsia="Arial" w:hAnsi="Arial"/>
                <w:sz w:val="15"/>
                <w:szCs w:val="15"/>
                <w:color w:val="auto"/>
                <w:w w:val="99"/>
              </w:rPr>
              <w:t>means Newport Trust Company, as successor trustee to U.S. Trust Company, N.A., Evercore Trust Company, N.A. and</w:t>
            </w:r>
          </w:p>
        </w:tc>
      </w:tr>
      <w:tr>
        <w:trPr>
          <w:trHeight w:val="178"/>
        </w:trPr>
        <w:tc>
          <w:tcPr>
            <w:tcW w:w="1780" w:type="dxa"/>
            <w:vAlign w:val="bottom"/>
          </w:tcPr>
          <w:p>
            <w:pPr>
              <w:spacing w:after="0"/>
              <w:rPr>
                <w:sz w:val="20"/>
                <w:szCs w:val="20"/>
                <w:color w:val="auto"/>
              </w:rPr>
            </w:pPr>
            <w:r>
              <w:rPr>
                <w:rFonts w:ascii="Arial" w:cs="Arial" w:eastAsia="Arial" w:hAnsi="Arial"/>
                <w:sz w:val="15"/>
                <w:szCs w:val="15"/>
                <w:color w:val="auto"/>
              </w:rPr>
              <w:t>LaSalle Bank, N.A.</w:t>
            </w:r>
          </w:p>
        </w:tc>
        <w:tc>
          <w:tcPr>
            <w:tcW w:w="9080" w:type="dxa"/>
            <w:vAlign w:val="bottom"/>
          </w:tcPr>
          <w:p>
            <w:pPr>
              <w:spacing w:after="0"/>
              <w:rPr>
                <w:sz w:val="15"/>
                <w:szCs w:val="15"/>
                <w:color w:val="auto"/>
              </w:rPr>
            </w:pPr>
          </w:p>
        </w:tc>
      </w:tr>
      <w:tr>
        <w:trPr>
          <w:trHeight w:val="332"/>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1.17</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rPr>
              <w:t xml:space="preserve">Trust Fund </w:t>
            </w:r>
            <w:r>
              <w:rPr>
                <w:rFonts w:ascii="Arial" w:cs="Arial" w:eastAsia="Arial" w:hAnsi="Arial"/>
                <w:sz w:val="15"/>
                <w:szCs w:val="15"/>
                <w:color w:val="auto"/>
              </w:rPr>
              <w:t>means the Employer Stock and other assets held by the Trustee under this Trust Agreement, plus all income and</w:t>
            </w:r>
          </w:p>
        </w:tc>
      </w:tr>
      <w:tr>
        <w:trPr>
          <w:trHeight w:val="178"/>
        </w:trPr>
        <w:tc>
          <w:tcPr>
            <w:tcW w:w="10860" w:type="dxa"/>
            <w:vAlign w:val="bottom"/>
            <w:gridSpan w:val="2"/>
          </w:tcPr>
          <w:p>
            <w:pPr>
              <w:spacing w:after="0"/>
              <w:rPr>
                <w:sz w:val="20"/>
                <w:szCs w:val="20"/>
                <w:color w:val="auto"/>
              </w:rPr>
            </w:pPr>
            <w:r>
              <w:rPr>
                <w:rFonts w:ascii="Arial" w:cs="Arial" w:eastAsia="Arial" w:hAnsi="Arial"/>
                <w:sz w:val="15"/>
                <w:szCs w:val="15"/>
                <w:color w:val="auto"/>
              </w:rPr>
              <w:t>gains and minus all losses, expenses, and distributions chargeable thereto.</w:t>
            </w:r>
          </w:p>
        </w:tc>
      </w:tr>
      <w:tr>
        <w:trPr>
          <w:trHeight w:val="344"/>
        </w:trPr>
        <w:tc>
          <w:tcPr>
            <w:tcW w:w="1780" w:type="dxa"/>
            <w:vAlign w:val="bottom"/>
          </w:tcPr>
          <w:p>
            <w:pPr>
              <w:jc w:val="right"/>
              <w:ind w:right="586"/>
              <w:spacing w:after="0"/>
              <w:rPr>
                <w:sz w:val="20"/>
                <w:szCs w:val="20"/>
                <w:color w:val="auto"/>
              </w:rPr>
            </w:pPr>
            <w:r>
              <w:rPr>
                <w:rFonts w:ascii="Arial" w:cs="Arial" w:eastAsia="Arial" w:hAnsi="Arial"/>
                <w:sz w:val="15"/>
                <w:szCs w:val="15"/>
                <w:color w:val="auto"/>
              </w:rPr>
              <w:t>1.18</w:t>
            </w:r>
          </w:p>
        </w:tc>
        <w:tc>
          <w:tcPr>
            <w:tcW w:w="9080" w:type="dxa"/>
            <w:vAlign w:val="bottom"/>
          </w:tcPr>
          <w:p>
            <w:pPr>
              <w:ind w:left="540"/>
              <w:spacing w:after="0"/>
              <w:rPr>
                <w:sz w:val="20"/>
                <w:szCs w:val="20"/>
                <w:color w:val="auto"/>
              </w:rPr>
            </w:pPr>
            <w:r>
              <w:rPr>
                <w:rFonts w:ascii="Arial" w:cs="Arial" w:eastAsia="Arial" w:hAnsi="Arial"/>
                <w:sz w:val="15"/>
                <w:szCs w:val="15"/>
                <w:b w:val="1"/>
                <w:bCs w:val="1"/>
                <w:color w:val="auto"/>
              </w:rPr>
              <w:t xml:space="preserve">Valuation Date </w:t>
            </w:r>
            <w:r>
              <w:rPr>
                <w:rFonts w:ascii="Arial" w:cs="Arial" w:eastAsia="Arial" w:hAnsi="Arial"/>
                <w:sz w:val="15"/>
                <w:szCs w:val="15"/>
                <w:color w:val="auto"/>
              </w:rPr>
              <w:t>means the Anniversary Date.</w:t>
            </w:r>
          </w:p>
        </w:tc>
      </w:tr>
    </w:tbl>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314960</wp:posOffset>
            </wp:positionV>
            <wp:extent cx="7171055" cy="139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040"/>
          </w:cols>
          <w:pgMar w:left="540" w:top="328" w:right="319" w:bottom="1440" w:gutter="0" w:footer="0" w:header="0"/>
        </w:sectPr>
      </w:pPr>
    </w:p>
    <w:bookmarkStart w:id="217" w:name="page218"/>
    <w:bookmarkEnd w:id="217"/>
    <w:tbl>
      <w:tblPr>
        <w:tblLayout w:type="fixed"/>
        <w:tblInd w:w="860" w:type="dxa"/>
        <w:tblCellMar>
          <w:top w:w="0" w:type="dxa"/>
          <w:left w:w="0" w:type="dxa"/>
          <w:bottom w:w="0" w:type="dxa"/>
          <w:right w:w="0" w:type="dxa"/>
        </w:tblCellMar>
      </w:tblPr>
      <w:tr>
        <w:trPr>
          <w:trHeight w:val="196"/>
        </w:trPr>
        <w:tc>
          <w:tcPr>
            <w:tcW w:w="780" w:type="dxa"/>
            <w:vAlign w:val="bottom"/>
          </w:tcPr>
          <w:p>
            <w:pPr>
              <w:spacing w:after="0"/>
              <w:rPr>
                <w:sz w:val="17"/>
                <w:szCs w:val="17"/>
                <w:color w:val="auto"/>
              </w:rPr>
            </w:pPr>
          </w:p>
        </w:tc>
        <w:tc>
          <w:tcPr>
            <w:tcW w:w="9180" w:type="dxa"/>
            <w:vAlign w:val="bottom"/>
          </w:tcPr>
          <w:p>
            <w:pPr>
              <w:jc w:val="center"/>
              <w:ind w:right="1426"/>
              <w:spacing w:after="0"/>
              <w:rPr>
                <w:sz w:val="20"/>
                <w:szCs w:val="20"/>
                <w:color w:val="auto"/>
              </w:rPr>
            </w:pPr>
            <w:r>
              <w:rPr>
                <w:rFonts w:ascii="Arial" w:cs="Arial" w:eastAsia="Arial" w:hAnsi="Arial"/>
                <w:sz w:val="15"/>
                <w:szCs w:val="15"/>
                <w:b w:val="1"/>
                <w:bCs w:val="1"/>
                <w:color w:val="auto"/>
                <w:w w:val="97"/>
              </w:rPr>
              <w:t>ARTICLE 2</w:t>
            </w:r>
          </w:p>
        </w:tc>
      </w:tr>
      <w:tr>
        <w:trPr>
          <w:trHeight w:val="314"/>
        </w:trPr>
        <w:tc>
          <w:tcPr>
            <w:tcW w:w="780" w:type="dxa"/>
            <w:vAlign w:val="bottom"/>
          </w:tcPr>
          <w:p>
            <w:pPr>
              <w:spacing w:after="0"/>
              <w:rPr>
                <w:sz w:val="24"/>
                <w:szCs w:val="24"/>
                <w:color w:val="auto"/>
              </w:rPr>
            </w:pPr>
          </w:p>
        </w:tc>
        <w:tc>
          <w:tcPr>
            <w:tcW w:w="9180" w:type="dxa"/>
            <w:vAlign w:val="bottom"/>
          </w:tcPr>
          <w:p>
            <w:pPr>
              <w:jc w:val="center"/>
              <w:ind w:right="1426"/>
              <w:spacing w:after="0"/>
              <w:rPr>
                <w:sz w:val="20"/>
                <w:szCs w:val="20"/>
                <w:color w:val="auto"/>
              </w:rPr>
            </w:pPr>
            <w:r>
              <w:rPr>
                <w:rFonts w:ascii="Arial" w:cs="Arial" w:eastAsia="Arial" w:hAnsi="Arial"/>
                <w:sz w:val="15"/>
                <w:szCs w:val="15"/>
                <w:b w:val="1"/>
                <w:bCs w:val="1"/>
                <w:color w:val="auto"/>
                <w:w w:val="98"/>
              </w:rPr>
              <w:t>ESTABLISHMENT OF TRUST AND CERTAIN</w:t>
            </w:r>
          </w:p>
        </w:tc>
      </w:tr>
      <w:tr>
        <w:trPr>
          <w:trHeight w:val="196"/>
        </w:trPr>
        <w:tc>
          <w:tcPr>
            <w:tcW w:w="780" w:type="dxa"/>
            <w:vAlign w:val="bottom"/>
          </w:tcPr>
          <w:p>
            <w:pPr>
              <w:spacing w:after="0"/>
              <w:rPr>
                <w:sz w:val="17"/>
                <w:szCs w:val="17"/>
                <w:color w:val="auto"/>
              </w:rPr>
            </w:pPr>
          </w:p>
        </w:tc>
        <w:tc>
          <w:tcPr>
            <w:tcW w:w="9180" w:type="dxa"/>
            <w:vAlign w:val="bottom"/>
          </w:tcPr>
          <w:p>
            <w:pPr>
              <w:jc w:val="center"/>
              <w:ind w:right="1426"/>
              <w:spacing w:after="0"/>
              <w:rPr>
                <w:sz w:val="20"/>
                <w:szCs w:val="20"/>
                <w:color w:val="auto"/>
              </w:rPr>
            </w:pPr>
            <w:r>
              <w:rPr>
                <w:rFonts w:ascii="Arial" w:cs="Arial" w:eastAsia="Arial" w:hAnsi="Arial"/>
                <w:sz w:val="15"/>
                <w:szCs w:val="15"/>
                <w:b w:val="1"/>
                <w:bCs w:val="1"/>
                <w:color w:val="auto"/>
                <w:w w:val="98"/>
              </w:rPr>
              <w:t>PRIMARY CONDITIONS OF ITS OPERATION</w:t>
            </w:r>
          </w:p>
        </w:tc>
      </w:tr>
      <w:tr>
        <w:trPr>
          <w:trHeight w:val="332"/>
        </w:trPr>
        <w:tc>
          <w:tcPr>
            <w:tcW w:w="780" w:type="dxa"/>
            <w:vAlign w:val="bottom"/>
          </w:tcPr>
          <w:p>
            <w:pPr>
              <w:jc w:val="right"/>
              <w:ind w:right="506"/>
              <w:spacing w:after="0"/>
              <w:rPr>
                <w:sz w:val="20"/>
                <w:szCs w:val="20"/>
                <w:color w:val="auto"/>
              </w:rPr>
            </w:pPr>
            <w:r>
              <w:rPr>
                <w:rFonts w:ascii="Arial" w:cs="Arial" w:eastAsia="Arial" w:hAnsi="Arial"/>
                <w:sz w:val="15"/>
                <w:szCs w:val="15"/>
                <w:color w:val="auto"/>
                <w:w w:val="86"/>
              </w:rPr>
              <w:t>2.1</w:t>
            </w:r>
          </w:p>
        </w:tc>
        <w:tc>
          <w:tcPr>
            <w:tcW w:w="9180" w:type="dxa"/>
            <w:vAlign w:val="bottom"/>
          </w:tcPr>
          <w:p>
            <w:pPr>
              <w:ind w:left="580"/>
              <w:spacing w:after="0"/>
              <w:rPr>
                <w:sz w:val="20"/>
                <w:szCs w:val="20"/>
                <w:color w:val="auto"/>
              </w:rPr>
            </w:pPr>
            <w:r>
              <w:rPr>
                <w:rFonts w:ascii="Arial" w:cs="Arial" w:eastAsia="Arial" w:hAnsi="Arial"/>
                <w:sz w:val="15"/>
                <w:szCs w:val="15"/>
                <w:b w:val="1"/>
                <w:bCs w:val="1"/>
                <w:color w:val="auto"/>
              </w:rPr>
              <w:t xml:space="preserve">Establishment of Trust. </w:t>
            </w:r>
            <w:r>
              <w:rPr>
                <w:rFonts w:ascii="Arial" w:cs="Arial" w:eastAsia="Arial" w:hAnsi="Arial"/>
                <w:sz w:val="15"/>
                <w:szCs w:val="15"/>
                <w:color w:val="auto"/>
              </w:rPr>
              <w:t>This Trust Agreement establishes the Trust, which will be known as the "Parsons Employee Stock</w:t>
            </w:r>
          </w:p>
        </w:tc>
      </w:tr>
    </w:tbl>
    <w:p>
      <w:pPr>
        <w:jc w:val="both"/>
        <w:ind w:left="20" w:right="300"/>
        <w:spacing w:after="0" w:line="239" w:lineRule="auto"/>
        <w:rPr>
          <w:sz w:val="20"/>
          <w:szCs w:val="20"/>
          <w:color w:val="auto"/>
        </w:rPr>
      </w:pPr>
      <w:r>
        <w:rPr>
          <w:rFonts w:ascii="Arial" w:cs="Arial" w:eastAsia="Arial" w:hAnsi="Arial"/>
          <w:sz w:val="15"/>
          <w:szCs w:val="15"/>
          <w:color w:val="auto"/>
        </w:rPr>
        <w:t>Ownership Trust." The Trustee will hold the assets of the Trust Fund in trust and will manage, administer, invest and distribute the Trust Fund for the benefit of Participants under the terms and conditions of this Trust Agreement.</w:t>
      </w:r>
    </w:p>
    <w:p>
      <w:pPr>
        <w:spacing w:after="0" w:line="148" w:lineRule="exact"/>
        <w:rPr>
          <w:sz w:val="20"/>
          <w:szCs w:val="20"/>
          <w:color w:val="auto"/>
        </w:rPr>
      </w:pPr>
    </w:p>
    <w:p>
      <w:pPr>
        <w:jc w:val="both"/>
        <w:ind w:left="20" w:right="160" w:firstLine="851"/>
        <w:spacing w:after="0" w:line="238" w:lineRule="auto"/>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b w:val="1"/>
          <w:bCs w:val="1"/>
          <w:color w:val="auto"/>
        </w:rPr>
        <w:t>Trust Fund.</w:t>
      </w:r>
      <w:r>
        <w:rPr>
          <w:rFonts w:ascii="Arial" w:cs="Arial" w:eastAsia="Arial" w:hAnsi="Arial"/>
          <w:sz w:val="15"/>
          <w:szCs w:val="15"/>
          <w:color w:val="auto"/>
        </w:rPr>
        <w:t xml:space="preserve"> The Trust Fund will consist of the assets of the Trust transferred to the Trustee by the prior trustee of the Trust, together with such Employer </w:t>
      </w:r>
      <w:r>
        <w:rPr>
          <w:rFonts w:ascii="Arial" w:cs="Arial" w:eastAsia="Arial" w:hAnsi="Arial"/>
          <w:sz w:val="15"/>
          <w:szCs w:val="15"/>
          <w:color w:val="auto"/>
          <w:strike w:val="1"/>
        </w:rPr>
        <w:t>and Participant</w:t>
      </w:r>
      <w:r>
        <w:rPr>
          <w:rFonts w:ascii="Arial" w:cs="Arial" w:eastAsia="Arial" w:hAnsi="Arial"/>
          <w:sz w:val="15"/>
          <w:szCs w:val="15"/>
          <w:color w:val="auto"/>
        </w:rPr>
        <w:t xml:space="preserve"> contributions that are paid to the Trustee from time to time in accordance with the Plan, plus the earnings and less the losses thereupon (if any), without distinction between principal and income, less the payments and distributions which at the time of reference have been made by the Trustee as authorized herein. The Trustee need not inquire into the source of any money or property transferred to it nor into the authority or right to transfer such money or property to the Trustee. Assets of the Trust shall be held in separate funds corresponding to each of the programs of the Plan and to any other funds established under the Trust. Notwithstanding the foregoing, the Trust shall constitute a single trust for purposes of investment and administration.</w:t>
      </w:r>
    </w:p>
    <w:p>
      <w:pPr>
        <w:spacing w:after="0" w:line="148" w:lineRule="exact"/>
        <w:rPr>
          <w:sz w:val="20"/>
          <w:szCs w:val="20"/>
          <w:color w:val="auto"/>
        </w:rPr>
      </w:pPr>
    </w:p>
    <w:p>
      <w:pPr>
        <w:jc w:val="both"/>
        <w:ind w:left="20" w:right="180" w:firstLine="881"/>
        <w:spacing w:after="0" w:line="242" w:lineRule="auto"/>
        <w:rPr>
          <w:sz w:val="20"/>
          <w:szCs w:val="20"/>
          <w:color w:val="auto"/>
        </w:rPr>
      </w:pPr>
      <w:r>
        <w:rPr>
          <w:rFonts w:ascii="Arial" w:cs="Arial" w:eastAsia="Arial" w:hAnsi="Arial"/>
          <w:sz w:val="15"/>
          <w:szCs w:val="15"/>
          <w:color w:val="auto"/>
        </w:rPr>
        <w:t xml:space="preserve">2.3 </w:t>
      </w:r>
      <w:r>
        <w:rPr>
          <w:rFonts w:ascii="Arial" w:cs="Arial" w:eastAsia="Arial" w:hAnsi="Arial"/>
          <w:sz w:val="15"/>
          <w:szCs w:val="15"/>
          <w:b w:val="1"/>
          <w:bCs w:val="1"/>
          <w:color w:val="auto"/>
        </w:rPr>
        <w:t>Exclusive Benefit Rule.</w:t>
      </w:r>
      <w:r>
        <w:rPr>
          <w:rFonts w:ascii="Arial" w:cs="Arial" w:eastAsia="Arial" w:hAnsi="Arial"/>
          <w:sz w:val="15"/>
          <w:szCs w:val="15"/>
          <w:color w:val="auto"/>
        </w:rPr>
        <w:t xml:space="preserve"> The Trust is expressly declared to be irrevocable. It will be impossible, at any time prior to the satisfaction of all liabilities with respect to Participants, for any part of the principal or income of the Trust Fund to be used for, or diverted to, any purpose which is not for the exclusive benefit of Participants. The preceding sentence will not be construed in such a way as to prohibit the use of assets of the Trust Fund to pay fees and other expenses and obligations incurred in the maintenance, administration and investment of the Trust Fund in accordance with the provisions of this Trust Agreement.</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80" w:type="dxa"/>
            <w:vAlign w:val="bottom"/>
          </w:tcPr>
          <w:p>
            <w:pPr>
              <w:jc w:val="right"/>
              <w:ind w:right="506"/>
              <w:spacing w:after="0"/>
              <w:rPr>
                <w:sz w:val="20"/>
                <w:szCs w:val="20"/>
                <w:color w:val="auto"/>
              </w:rPr>
            </w:pPr>
            <w:r>
              <w:rPr>
                <w:rFonts w:ascii="Arial" w:cs="Arial" w:eastAsia="Arial" w:hAnsi="Arial"/>
                <w:sz w:val="15"/>
                <w:szCs w:val="15"/>
                <w:color w:val="auto"/>
              </w:rPr>
              <w:t>2.4</w:t>
            </w:r>
          </w:p>
        </w:tc>
        <w:tc>
          <w:tcPr>
            <w:tcW w:w="9240" w:type="dxa"/>
            <w:vAlign w:val="bottom"/>
          </w:tcPr>
          <w:p>
            <w:pPr>
              <w:ind w:left="580"/>
              <w:spacing w:after="0"/>
              <w:rPr>
                <w:sz w:val="20"/>
                <w:szCs w:val="20"/>
                <w:color w:val="auto"/>
              </w:rPr>
            </w:pPr>
            <w:r>
              <w:rPr>
                <w:rFonts w:ascii="Arial" w:cs="Arial" w:eastAsia="Arial" w:hAnsi="Arial"/>
                <w:sz w:val="15"/>
                <w:szCs w:val="15"/>
                <w:b w:val="1"/>
                <w:bCs w:val="1"/>
                <w:color w:val="auto"/>
              </w:rPr>
              <w:t xml:space="preserve">Reversion Prohibited. </w:t>
            </w:r>
            <w:r>
              <w:rPr>
                <w:rFonts w:ascii="Arial" w:cs="Arial" w:eastAsia="Arial" w:hAnsi="Arial"/>
                <w:sz w:val="15"/>
                <w:szCs w:val="15"/>
                <w:color w:val="auto"/>
              </w:rPr>
              <w:t>Except as permitted in the Plan, by ERISA and the tax qualification requirements of the Code, it will be</w:t>
            </w:r>
          </w:p>
        </w:tc>
      </w:tr>
      <w:tr>
        <w:trPr>
          <w:trHeight w:val="178"/>
        </w:trPr>
        <w:tc>
          <w:tcPr>
            <w:tcW w:w="10920" w:type="dxa"/>
            <w:vAlign w:val="bottom"/>
            <w:gridSpan w:val="2"/>
          </w:tcPr>
          <w:p>
            <w:pPr>
              <w:spacing w:after="0"/>
              <w:rPr>
                <w:sz w:val="20"/>
                <w:szCs w:val="20"/>
                <w:color w:val="auto"/>
              </w:rPr>
            </w:pPr>
            <w:r>
              <w:rPr>
                <w:rFonts w:ascii="Arial" w:cs="Arial" w:eastAsia="Arial" w:hAnsi="Arial"/>
                <w:sz w:val="15"/>
                <w:szCs w:val="15"/>
                <w:color w:val="auto"/>
              </w:rPr>
              <w:t>impossible for any part of the Trust Fund to revert to the Company or any Affiliate.</w:t>
            </w:r>
          </w:p>
        </w:tc>
      </w:tr>
      <w:tr>
        <w:trPr>
          <w:trHeight w:val="332"/>
        </w:trPr>
        <w:tc>
          <w:tcPr>
            <w:tcW w:w="1680" w:type="dxa"/>
            <w:vAlign w:val="bottom"/>
          </w:tcPr>
          <w:p>
            <w:pPr>
              <w:jc w:val="right"/>
              <w:ind w:right="506"/>
              <w:spacing w:after="0"/>
              <w:rPr>
                <w:sz w:val="20"/>
                <w:szCs w:val="20"/>
                <w:color w:val="auto"/>
              </w:rPr>
            </w:pPr>
            <w:r>
              <w:rPr>
                <w:rFonts w:ascii="Arial" w:cs="Arial" w:eastAsia="Arial" w:hAnsi="Arial"/>
                <w:sz w:val="15"/>
                <w:szCs w:val="15"/>
                <w:color w:val="auto"/>
              </w:rPr>
              <w:t>2.5</w:t>
            </w:r>
          </w:p>
        </w:tc>
        <w:tc>
          <w:tcPr>
            <w:tcW w:w="9240" w:type="dxa"/>
            <w:vAlign w:val="bottom"/>
          </w:tcPr>
          <w:p>
            <w:pPr>
              <w:ind w:left="580"/>
              <w:spacing w:after="0"/>
              <w:rPr>
                <w:sz w:val="20"/>
                <w:szCs w:val="20"/>
                <w:color w:val="auto"/>
              </w:rPr>
            </w:pPr>
            <w:r>
              <w:rPr>
                <w:rFonts w:ascii="Arial" w:cs="Arial" w:eastAsia="Arial" w:hAnsi="Arial"/>
                <w:sz w:val="15"/>
                <w:szCs w:val="15"/>
                <w:b w:val="1"/>
                <w:bCs w:val="1"/>
                <w:color w:val="auto"/>
              </w:rPr>
              <w:t xml:space="preserve">Claims against the Trust Fund. </w:t>
            </w:r>
            <w:r>
              <w:rPr>
                <w:rFonts w:ascii="Arial" w:cs="Arial" w:eastAsia="Arial" w:hAnsi="Arial"/>
                <w:sz w:val="15"/>
                <w:szCs w:val="15"/>
                <w:color w:val="auto"/>
              </w:rPr>
              <w:t>The existence, nonexistence, nature and amount of the rights and interests of all persons in or to</w:t>
            </w:r>
          </w:p>
        </w:tc>
      </w:tr>
    </w:tbl>
    <w:p>
      <w:pPr>
        <w:jc w:val="both"/>
        <w:ind w:left="20" w:right="180"/>
        <w:spacing w:after="0" w:line="239" w:lineRule="auto"/>
        <w:rPr>
          <w:sz w:val="20"/>
          <w:szCs w:val="20"/>
          <w:color w:val="auto"/>
        </w:rPr>
      </w:pPr>
      <w:r>
        <w:rPr>
          <w:rFonts w:ascii="Arial" w:cs="Arial" w:eastAsia="Arial" w:hAnsi="Arial"/>
          <w:sz w:val="15"/>
          <w:szCs w:val="15"/>
          <w:color w:val="auto"/>
        </w:rPr>
        <w:t>the Trust Fund will be determined under the Plan and communicated to the Trustee by the Administrative Committee from time to time. The Trustee will have no duty to question or to examine any determination made or direction given by the Administrative Committee to the Trustee in respect of such matters.</w:t>
      </w:r>
    </w:p>
    <w:p>
      <w:pPr>
        <w:spacing w:after="0" w:line="148" w:lineRule="exact"/>
        <w:rPr>
          <w:sz w:val="20"/>
          <w:szCs w:val="20"/>
          <w:color w:val="auto"/>
        </w:rPr>
      </w:pPr>
    </w:p>
    <w:p>
      <w:pPr>
        <w:jc w:val="both"/>
        <w:ind w:right="220" w:firstLine="854"/>
        <w:spacing w:after="0" w:line="242"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b w:val="1"/>
          <w:bCs w:val="1"/>
          <w:color w:val="auto"/>
        </w:rPr>
        <w:t>Employer Contributions.</w:t>
      </w:r>
      <w:r>
        <w:rPr>
          <w:rFonts w:ascii="Arial" w:cs="Arial" w:eastAsia="Arial" w:hAnsi="Arial"/>
          <w:sz w:val="15"/>
          <w:szCs w:val="15"/>
          <w:color w:val="auto"/>
        </w:rPr>
        <w:t xml:space="preserve"> Employer contributions to the Trust Fund will consist only of cash, Employer Stock or other property reasonably acceptable to the Trustee. The Trustee will have no duty to determine that the contributions received from the Company comply with the provisions of the Plan or to determine that the assets of the Trust are adequate to provide any benefit payable pursuant to the Plan. The Trustee will not be obligated to collect any contributions from the Employers and will not be obligated to see that funds deposited with it are deposited according to the provisions of the Plan.</w:t>
      </w:r>
    </w:p>
    <w:p>
      <w:pPr>
        <w:spacing w:after="0" w:line="147" w:lineRule="exact"/>
        <w:rPr>
          <w:sz w:val="20"/>
          <w:szCs w:val="20"/>
          <w:color w:val="auto"/>
        </w:rPr>
      </w:pPr>
    </w:p>
    <w:p>
      <w:pPr>
        <w:jc w:val="both"/>
        <w:ind w:left="20" w:right="220" w:firstLine="849"/>
        <w:spacing w:after="0" w:line="239"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b w:val="1"/>
          <w:bCs w:val="1"/>
          <w:color w:val="auto"/>
        </w:rPr>
        <w:t>Distributions.</w:t>
      </w:r>
      <w:r>
        <w:rPr>
          <w:rFonts w:ascii="Arial" w:cs="Arial" w:eastAsia="Arial" w:hAnsi="Arial"/>
          <w:sz w:val="15"/>
          <w:szCs w:val="15"/>
          <w:color w:val="auto"/>
        </w:rPr>
        <w:t xml:space="preserve"> Notwithstanding any provision herein to the contrary, payments will be made from the Trust Fund at the direction of the Administrative Committee or their delegate to such persons, in such manner, at such times, and in such amounts as the Administrative Committee will from time to time direct in writing. The Trustee will not be liable for any distribution made in reliance upon a written direction of the Administrative Committee. Shares of Company Stock distributed by the Trustee may include such legend restrictions on transferability as the Company may reasonably require to comply with the Plan and with applicable Federal or state</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3">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310" w:right="319" w:bottom="1440" w:gutter="0" w:footer="0" w:header="0"/>
        </w:sectPr>
      </w:pPr>
    </w:p>
    <w:bookmarkStart w:id="218" w:name="page219"/>
    <w:bookmarkEnd w:id="218"/>
    <w:p>
      <w:pPr>
        <w:spacing w:after="0"/>
        <w:rPr>
          <w:sz w:val="20"/>
          <w:szCs w:val="20"/>
          <w:color w:val="auto"/>
        </w:rPr>
      </w:pPr>
      <w:r>
        <w:rPr>
          <w:rFonts w:ascii="Arial" w:cs="Arial" w:eastAsia="Arial" w:hAnsi="Arial"/>
          <w:sz w:val="15"/>
          <w:szCs w:val="15"/>
          <w:color w:val="auto"/>
        </w:rPr>
        <w:t>securities laws.</w:t>
      </w:r>
    </w:p>
    <w:p>
      <w:pPr>
        <w:spacing w:after="0" w:line="202" w:lineRule="exact"/>
        <w:rPr>
          <w:sz w:val="20"/>
          <w:szCs w:val="20"/>
          <w:color w:val="auto"/>
        </w:rPr>
      </w:pPr>
    </w:p>
    <w:p>
      <w:pPr>
        <w:ind w:left="860"/>
        <w:spacing w:after="0"/>
        <w:tabs>
          <w:tab w:leader="none" w:pos="2200" w:val="left"/>
        </w:tabs>
        <w:rPr>
          <w:sz w:val="20"/>
          <w:szCs w:val="20"/>
          <w:color w:val="auto"/>
        </w:rPr>
      </w:pPr>
      <w:r>
        <w:rPr>
          <w:rFonts w:ascii="Arial" w:cs="Arial" w:eastAsia="Arial" w:hAnsi="Arial"/>
          <w:sz w:val="15"/>
          <w:szCs w:val="15"/>
          <w:color w:val="auto"/>
        </w:rPr>
        <w:t>2.8</w:t>
      </w:r>
      <w:r>
        <w:rPr>
          <w:sz w:val="20"/>
          <w:szCs w:val="20"/>
          <w:color w:val="auto"/>
        </w:rPr>
        <w:tab/>
      </w:r>
      <w:r>
        <w:rPr>
          <w:rFonts w:ascii="Arial" w:cs="Arial" w:eastAsia="Arial" w:hAnsi="Arial"/>
          <w:sz w:val="15"/>
          <w:szCs w:val="15"/>
          <w:b w:val="1"/>
          <w:bCs w:val="1"/>
          <w:color w:val="auto"/>
        </w:rPr>
        <w:t xml:space="preserve">Securities Depositories and Custodians. </w:t>
      </w:r>
      <w:r>
        <w:rPr>
          <w:rFonts w:ascii="Arial" w:cs="Arial" w:eastAsia="Arial" w:hAnsi="Arial"/>
          <w:sz w:val="15"/>
          <w:szCs w:val="15"/>
          <w:color w:val="auto"/>
        </w:rPr>
        <w:t>Notwithstanding anything herein to the contrary, the Trustee in its discretion or at the</w:t>
      </w:r>
    </w:p>
    <w:p>
      <w:pPr>
        <w:spacing w:after="0" w:line="12" w:lineRule="exact"/>
        <w:rPr>
          <w:sz w:val="20"/>
          <w:szCs w:val="20"/>
          <w:color w:val="auto"/>
        </w:rPr>
      </w:pPr>
    </w:p>
    <w:p>
      <w:pPr>
        <w:jc w:val="both"/>
        <w:ind w:right="200"/>
        <w:spacing w:after="0" w:line="235" w:lineRule="auto"/>
        <w:rPr>
          <w:sz w:val="20"/>
          <w:szCs w:val="20"/>
          <w:color w:val="auto"/>
        </w:rPr>
      </w:pPr>
      <w:r>
        <w:rPr>
          <w:rFonts w:ascii="Arial" w:cs="Arial" w:eastAsia="Arial" w:hAnsi="Arial"/>
          <w:sz w:val="15"/>
          <w:szCs w:val="15"/>
          <w:color w:val="auto"/>
        </w:rPr>
        <w:t>direction of the Administrative Committee is authorized to use securities depositories or custodians. Any assets to be transferred to the Trustee, and any contributions, money or other property to be paid to the Trustee, pursuant to this Trust Agreement will, upon the direction of the Trustee, be transferred to the Trustee's depository or custodian. Securities held by a depository or custodian may be registered in the name of the depository or its nominee or in the name of the custodian or its nominee, but the books and records of the Trustee shall at all times show that such investments are part of the Trust.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266"/>
              <w:spacing w:after="0"/>
              <w:rPr>
                <w:sz w:val="20"/>
                <w:szCs w:val="20"/>
                <w:color w:val="auto"/>
              </w:rPr>
            </w:pPr>
            <w:r>
              <w:rPr>
                <w:rFonts w:ascii="Arial" w:cs="Arial" w:eastAsia="Arial" w:hAnsi="Arial"/>
                <w:sz w:val="15"/>
                <w:szCs w:val="15"/>
                <w:color w:val="auto"/>
              </w:rPr>
              <w:t>2.9</w:t>
            </w:r>
          </w:p>
        </w:tc>
        <w:tc>
          <w:tcPr>
            <w:tcW w:w="660" w:type="dxa"/>
            <w:vAlign w:val="bottom"/>
          </w:tcPr>
          <w:p>
            <w:pPr>
              <w:spacing w:after="0"/>
              <w:rPr>
                <w:sz w:val="16"/>
                <w:szCs w:val="16"/>
                <w:color w:val="auto"/>
              </w:rPr>
            </w:pPr>
          </w:p>
        </w:tc>
        <w:tc>
          <w:tcPr>
            <w:tcW w:w="8880" w:type="dxa"/>
            <w:vAlign w:val="bottom"/>
          </w:tcPr>
          <w:p>
            <w:pPr>
              <w:ind w:left="180"/>
              <w:spacing w:after="0"/>
              <w:rPr>
                <w:sz w:val="20"/>
                <w:szCs w:val="20"/>
                <w:color w:val="auto"/>
              </w:rPr>
            </w:pPr>
            <w:r>
              <w:rPr>
                <w:rFonts w:ascii="Arial" w:cs="Arial" w:eastAsia="Arial" w:hAnsi="Arial"/>
                <w:sz w:val="15"/>
                <w:szCs w:val="15"/>
                <w:b w:val="1"/>
                <w:bCs w:val="1"/>
                <w:color w:val="auto"/>
              </w:rPr>
              <w:t xml:space="preserve">Administration. </w:t>
            </w:r>
            <w:r>
              <w:rPr>
                <w:rFonts w:ascii="Arial" w:cs="Arial" w:eastAsia="Arial" w:hAnsi="Arial"/>
                <w:sz w:val="15"/>
                <w:szCs w:val="15"/>
                <w:color w:val="auto"/>
              </w:rPr>
              <w:t>The Trustee shall not be responsible for the administration of the Plan, maintaining any records of Participants'</w:t>
            </w:r>
          </w:p>
        </w:tc>
      </w:tr>
      <w:tr>
        <w:trPr>
          <w:trHeight w:val="178"/>
        </w:trPr>
        <w:tc>
          <w:tcPr>
            <w:tcW w:w="10940" w:type="dxa"/>
            <w:vAlign w:val="bottom"/>
            <w:gridSpan w:val="3"/>
          </w:tcPr>
          <w:p>
            <w:pPr>
              <w:spacing w:after="0"/>
              <w:rPr>
                <w:sz w:val="20"/>
                <w:szCs w:val="20"/>
                <w:color w:val="auto"/>
              </w:rPr>
            </w:pPr>
            <w:r>
              <w:rPr>
                <w:rFonts w:ascii="Arial" w:cs="Arial" w:eastAsia="Arial" w:hAnsi="Arial"/>
                <w:sz w:val="15"/>
                <w:szCs w:val="15"/>
                <w:color w:val="auto"/>
              </w:rPr>
              <w:t>accounts under the Plan or the computation of or collection of company contributions.</w:t>
            </w:r>
          </w:p>
        </w:tc>
      </w:tr>
      <w:tr>
        <w:trPr>
          <w:trHeight w:val="314"/>
        </w:trPr>
        <w:tc>
          <w:tcPr>
            <w:tcW w:w="1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80" w:type="dxa"/>
            <w:vAlign w:val="bottom"/>
          </w:tcPr>
          <w:p>
            <w:pPr>
              <w:jc w:val="center"/>
              <w:ind w:right="2006"/>
              <w:spacing w:after="0"/>
              <w:rPr>
                <w:sz w:val="20"/>
                <w:szCs w:val="20"/>
                <w:color w:val="auto"/>
              </w:rPr>
            </w:pPr>
            <w:r>
              <w:rPr>
                <w:rFonts w:ascii="Arial" w:cs="Arial" w:eastAsia="Arial" w:hAnsi="Arial"/>
                <w:sz w:val="15"/>
                <w:szCs w:val="15"/>
                <w:b w:val="1"/>
                <w:bCs w:val="1"/>
                <w:color w:val="auto"/>
                <w:w w:val="97"/>
              </w:rPr>
              <w:t>ARTICLE 3</w:t>
            </w:r>
          </w:p>
        </w:tc>
      </w:tr>
      <w:tr>
        <w:trPr>
          <w:trHeight w:val="196"/>
        </w:trPr>
        <w:tc>
          <w:tcPr>
            <w:tcW w:w="1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80" w:type="dxa"/>
            <w:vAlign w:val="bottom"/>
          </w:tcPr>
          <w:p>
            <w:pPr>
              <w:jc w:val="center"/>
              <w:ind w:right="2006"/>
              <w:spacing w:after="0"/>
              <w:rPr>
                <w:sz w:val="20"/>
                <w:szCs w:val="20"/>
                <w:color w:val="auto"/>
              </w:rPr>
            </w:pPr>
            <w:r>
              <w:rPr>
                <w:rFonts w:ascii="Arial" w:cs="Arial" w:eastAsia="Arial" w:hAnsi="Arial"/>
                <w:sz w:val="15"/>
                <w:szCs w:val="15"/>
                <w:b w:val="1"/>
                <w:bCs w:val="1"/>
                <w:color w:val="auto"/>
                <w:w w:val="98"/>
              </w:rPr>
              <w:t>INVESTMENT OF THE TRUST FUND</w:t>
            </w:r>
          </w:p>
        </w:tc>
      </w:tr>
      <w:tr>
        <w:trPr>
          <w:trHeight w:val="332"/>
        </w:trPr>
        <w:tc>
          <w:tcPr>
            <w:tcW w:w="1400" w:type="dxa"/>
            <w:vAlign w:val="bottom"/>
          </w:tcPr>
          <w:p>
            <w:pPr>
              <w:jc w:val="right"/>
              <w:ind w:right="246"/>
              <w:spacing w:after="0"/>
              <w:rPr>
                <w:sz w:val="20"/>
                <w:szCs w:val="20"/>
                <w:color w:val="auto"/>
              </w:rPr>
            </w:pPr>
            <w:r>
              <w:rPr>
                <w:rFonts w:ascii="Arial" w:cs="Arial" w:eastAsia="Arial" w:hAnsi="Arial"/>
                <w:sz w:val="15"/>
                <w:szCs w:val="15"/>
                <w:color w:val="auto"/>
              </w:rPr>
              <w:t>3.1</w:t>
            </w:r>
          </w:p>
        </w:tc>
        <w:tc>
          <w:tcPr>
            <w:tcW w:w="9540" w:type="dxa"/>
            <w:vAlign w:val="bottom"/>
            <w:gridSpan w:val="2"/>
          </w:tcPr>
          <w:p>
            <w:pPr>
              <w:ind w:left="340"/>
              <w:spacing w:after="0"/>
              <w:rPr>
                <w:sz w:val="20"/>
                <w:szCs w:val="20"/>
                <w:color w:val="auto"/>
              </w:rPr>
            </w:pPr>
            <w:r>
              <w:rPr>
                <w:rFonts w:ascii="Arial" w:cs="Arial" w:eastAsia="Arial" w:hAnsi="Arial"/>
                <w:sz w:val="15"/>
                <w:szCs w:val="15"/>
                <w:b w:val="1"/>
                <w:bCs w:val="1"/>
                <w:color w:val="auto"/>
              </w:rPr>
              <w:t>General Responsibility and Authority for Investment of Trust Fund.</w:t>
            </w:r>
          </w:p>
        </w:tc>
      </w:tr>
      <w:tr>
        <w:trPr>
          <w:trHeight w:val="332"/>
        </w:trPr>
        <w:tc>
          <w:tcPr>
            <w:tcW w:w="140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5"/>
                <w:szCs w:val="15"/>
                <w:color w:val="auto"/>
              </w:rPr>
              <w:t>(a)</w:t>
            </w:r>
          </w:p>
        </w:tc>
        <w:tc>
          <w:tcPr>
            <w:tcW w:w="8880" w:type="dxa"/>
            <w:vAlign w:val="bottom"/>
          </w:tcPr>
          <w:p>
            <w:pPr>
              <w:ind w:left="1540"/>
              <w:spacing w:after="0"/>
              <w:rPr>
                <w:sz w:val="20"/>
                <w:szCs w:val="20"/>
                <w:color w:val="auto"/>
              </w:rPr>
            </w:pPr>
            <w:r>
              <w:rPr>
                <w:rFonts w:ascii="Arial" w:cs="Arial" w:eastAsia="Arial" w:hAnsi="Arial"/>
                <w:sz w:val="15"/>
                <w:szCs w:val="15"/>
                <w:color w:val="auto"/>
              </w:rPr>
              <w:t>The purpose of the Trust Fund is to invest in Employer Stock to the fullest extent permitted by ERISA without</w:t>
            </w:r>
          </w:p>
        </w:tc>
      </w:tr>
    </w:tbl>
    <w:p>
      <w:pPr>
        <w:jc w:val="both"/>
        <w:ind w:right="140"/>
        <w:spacing w:after="0" w:line="233" w:lineRule="auto"/>
        <w:rPr>
          <w:sz w:val="20"/>
          <w:szCs w:val="20"/>
          <w:color w:val="auto"/>
        </w:rPr>
      </w:pPr>
      <w:r>
        <w:rPr>
          <w:rFonts w:ascii="Arial" w:cs="Arial" w:eastAsia="Arial" w:hAnsi="Arial"/>
          <w:sz w:val="15"/>
          <w:szCs w:val="15"/>
          <w:color w:val="auto"/>
        </w:rPr>
        <w:t xml:space="preserve">regard to (i) the diversification of Trust Fund assets, (ii) the speculative character of Trust Fund investments, (iii) the lack or inadequacy of income provided by Trust Fund assets, or (iv) the fluctuation in the fair market value of Trust Fund assets. Subject to the provisions of Section 3.2, the Trustee will invest and reinvest the assets of the Trust Fund exclusively in Employer Stock, except for cash or cash equivalent investments held (A) for the purpose of making distributions to Participants, (B) pending the investment of contributions or other cash receipts in Employer Stock, (C) for purposes of paying, under the terms described in this Trust Agreement, fees and expenses incurred with respect to the Trust that are not paid by the Company, or (D) in the form of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cash balances. Any assets not invested in Employer Stock may be invested by the Trustee in short-term cash-equivalent investments, such as Treasury Notes, Treasury Bills or other similar short-term obligations of the United States Government or any instrumentality thereof, </w:t>
      </w:r>
      <w:r>
        <w:rPr>
          <w:rFonts w:ascii="Arial" w:cs="Arial" w:eastAsia="Arial" w:hAnsi="Arial"/>
          <w:sz w:val="15"/>
          <w:szCs w:val="15"/>
          <w:color w:val="auto"/>
          <w:strike w:val="1"/>
        </w:rPr>
        <w:t>savings accounts, bankers' acceptances,</w:t>
      </w:r>
      <w:r>
        <w:rPr>
          <w:rFonts w:ascii="Arial" w:cs="Arial" w:eastAsia="Arial" w:hAnsi="Arial"/>
          <w:sz w:val="15"/>
          <w:szCs w:val="15"/>
          <w:color w:val="auto"/>
        </w:rPr>
        <w:t xml:space="preserve"> certificates of deposit, A1/P1 rated commercial paper or other interest bearing bank accounts (including those of the Trustee).</w:t>
      </w:r>
    </w:p>
    <w:p>
      <w:pPr>
        <w:spacing w:after="0" w:line="168" w:lineRule="exact"/>
        <w:rPr>
          <w:sz w:val="20"/>
          <w:szCs w:val="20"/>
          <w:color w:val="auto"/>
        </w:rPr>
      </w:pPr>
    </w:p>
    <w:p>
      <w:pPr>
        <w:jc w:val="both"/>
        <w:ind w:right="140" w:firstLine="1695"/>
        <w:spacing w:after="0" w:line="235" w:lineRule="auto"/>
        <w:rPr>
          <w:sz w:val="20"/>
          <w:szCs w:val="20"/>
          <w:color w:val="auto"/>
        </w:rPr>
      </w:pPr>
      <w:r>
        <w:rPr>
          <w:rFonts w:ascii="Arial" w:cs="Arial" w:eastAsia="Arial" w:hAnsi="Arial"/>
          <w:sz w:val="15"/>
          <w:szCs w:val="15"/>
          <w:color w:val="auto"/>
        </w:rPr>
        <w:t>(b) The Trustee's duties and responsibilities with respect to the Trust Fund will be determined solely under the terms of this Trust Agreement, and the Trustee will have no responsibility for any matter arising under any Plan document other than this Trust Agreement. The Company will promptly notify the Trustee of (i) any amendment to the Plan that affects the right of Participants with respect to Employer Stock and (ii) any amendment to the Plan that affects the frequency with which Participants may make transfers into or out of Employer Stock under the Plan.</w:t>
      </w:r>
    </w:p>
    <w:p>
      <w:pPr>
        <w:spacing w:after="0" w:line="167" w:lineRule="exact"/>
        <w:rPr>
          <w:sz w:val="20"/>
          <w:szCs w:val="20"/>
          <w:color w:val="auto"/>
        </w:rPr>
      </w:pPr>
    </w:p>
    <w:p>
      <w:pPr>
        <w:jc w:val="both"/>
        <w:ind w:right="160" w:firstLine="1711"/>
        <w:spacing w:after="0" w:line="233" w:lineRule="auto"/>
        <w:rPr>
          <w:sz w:val="20"/>
          <w:szCs w:val="20"/>
          <w:color w:val="auto"/>
        </w:rPr>
      </w:pPr>
      <w:r>
        <w:rPr>
          <w:rFonts w:ascii="Arial" w:cs="Arial" w:eastAsia="Arial" w:hAnsi="Arial"/>
          <w:sz w:val="15"/>
          <w:szCs w:val="15"/>
          <w:color w:val="auto"/>
        </w:rPr>
        <w:t>(c) The Trustee may communicate with Participants concerning their investment in Employer Stock at such times as the Trustee reasonably determines to be necessary or desirable in the discharge of the Trustee's duties and responsibilities under this Trust Agreement, and the Administrative Committee will cooperate with the Trustee in effecting such communications. The Company agrees that it will not, and that it will not permit the Administrative Committee to, communicate with Participants concerning Employer Stock or their investment in the Employer Stock other than pursuant to a prospectus furnished by the Company pursuant to federal securities laws, a summary plan description or any other communication or disclosure with respect to the Plan as a whole. The Administrative Committee agrees to provide the Trustee with updated copies of such prospectuses and summary plan descriptions and with any notices of blackout periods furnished pursuant to ERISA Section 101(i) as such documents are distributed to Participants.</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314960</wp:posOffset>
            </wp:positionV>
            <wp:extent cx="7171055" cy="139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4">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00"/>
          </w:cols>
          <w:pgMar w:left="480" w:top="327" w:right="319" w:bottom="1440" w:gutter="0" w:footer="0" w:header="0"/>
        </w:sectPr>
      </w:pPr>
    </w:p>
    <w:bookmarkStart w:id="219" w:name="page220"/>
    <w:bookmarkEnd w:id="219"/>
    <w:tbl>
      <w:tblPr>
        <w:tblLayout w:type="fixed"/>
        <w:tblInd w:w="880" w:type="dxa"/>
        <w:tblCellMar>
          <w:top w:w="0" w:type="dxa"/>
          <w:left w:w="0" w:type="dxa"/>
          <w:bottom w:w="0" w:type="dxa"/>
          <w:right w:w="0" w:type="dxa"/>
        </w:tblCellMar>
      </w:tblPr>
      <w:tr>
        <w:trPr>
          <w:trHeight w:val="196"/>
        </w:trPr>
        <w:tc>
          <w:tcPr>
            <w:tcW w:w="520" w:type="dxa"/>
            <w:vAlign w:val="bottom"/>
          </w:tcPr>
          <w:p>
            <w:pPr>
              <w:jc w:val="right"/>
              <w:ind w:right="246"/>
              <w:spacing w:after="0"/>
              <w:rPr>
                <w:sz w:val="20"/>
                <w:szCs w:val="20"/>
                <w:color w:val="auto"/>
              </w:rPr>
            </w:pPr>
            <w:r>
              <w:rPr>
                <w:rFonts w:ascii="Arial" w:cs="Arial" w:eastAsia="Arial" w:hAnsi="Arial"/>
                <w:sz w:val="15"/>
                <w:szCs w:val="15"/>
                <w:color w:val="auto"/>
                <w:w w:val="86"/>
              </w:rPr>
              <w:t>3.2</w:t>
            </w:r>
          </w:p>
        </w:tc>
        <w:tc>
          <w:tcPr>
            <w:tcW w:w="9560" w:type="dxa"/>
            <w:vAlign w:val="bottom"/>
            <w:gridSpan w:val="2"/>
          </w:tcPr>
          <w:p>
            <w:pPr>
              <w:ind w:left="360"/>
              <w:spacing w:after="0"/>
              <w:rPr>
                <w:sz w:val="20"/>
                <w:szCs w:val="20"/>
                <w:color w:val="auto"/>
              </w:rPr>
            </w:pPr>
            <w:r>
              <w:rPr>
                <w:rFonts w:ascii="Arial" w:cs="Arial" w:eastAsia="Arial" w:hAnsi="Arial"/>
                <w:sz w:val="15"/>
                <w:szCs w:val="15"/>
                <w:b w:val="1"/>
                <w:bCs w:val="1"/>
                <w:color w:val="auto"/>
              </w:rPr>
              <w:t>Authority to Discontinue Investment in Employer Stock</w:t>
            </w:r>
          </w:p>
        </w:tc>
      </w:tr>
      <w:tr>
        <w:trPr>
          <w:trHeight w:val="332"/>
        </w:trPr>
        <w:tc>
          <w:tcPr>
            <w:tcW w:w="52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Arial" w:cs="Arial" w:eastAsia="Arial" w:hAnsi="Arial"/>
                <w:sz w:val="15"/>
                <w:szCs w:val="15"/>
                <w:color w:val="auto"/>
              </w:rPr>
              <w:t>(a)</w:t>
            </w:r>
          </w:p>
        </w:tc>
        <w:tc>
          <w:tcPr>
            <w:tcW w:w="8220" w:type="dxa"/>
            <w:vAlign w:val="bottom"/>
          </w:tcPr>
          <w:p>
            <w:pPr>
              <w:ind w:left="860"/>
              <w:spacing w:after="0"/>
              <w:rPr>
                <w:sz w:val="20"/>
                <w:szCs w:val="20"/>
                <w:color w:val="auto"/>
              </w:rPr>
            </w:pPr>
            <w:r>
              <w:rPr>
                <w:rFonts w:ascii="Arial" w:cs="Arial" w:eastAsia="Arial" w:hAnsi="Arial"/>
                <w:sz w:val="15"/>
                <w:szCs w:val="15"/>
                <w:color w:val="auto"/>
                <w:w w:val="99"/>
              </w:rPr>
              <w:t>The Trustee is the sole fiduciary with authority and control over the Employer Stock. In exercising such authority</w:t>
            </w:r>
          </w:p>
        </w:tc>
      </w:tr>
    </w:tbl>
    <w:p>
      <w:pPr>
        <w:jc w:val="both"/>
        <w:ind w:right="140"/>
        <w:spacing w:after="0" w:line="235" w:lineRule="auto"/>
        <w:rPr>
          <w:sz w:val="20"/>
          <w:szCs w:val="20"/>
          <w:color w:val="auto"/>
        </w:rPr>
      </w:pPr>
      <w:r>
        <w:rPr>
          <w:rFonts w:ascii="Arial" w:cs="Arial" w:eastAsia="Arial" w:hAnsi="Arial"/>
          <w:sz w:val="15"/>
          <w:szCs w:val="15"/>
          <w:color w:val="auto"/>
        </w:rPr>
        <w:t>and control, the Trustee may take the action set forth in this Section 3.2, but only to the extent the Trustee determines that, notwithstanding the purpose of the Trust Fund to invest exclusively in Employer Stock, except for the limited purposes of making distributions to Participants, or paying Plan expenses, or pending investment in Employee Stock, such action is required by ERISA. The Trustee will consult with the Company prior to taking any action to restrict or discontinue investment in Employer Stock pursuant to this Section 3.2.</w:t>
      </w:r>
    </w:p>
    <w:p>
      <w:pPr>
        <w:spacing w:after="0" w:line="156" w:lineRule="exact"/>
        <w:rPr>
          <w:sz w:val="20"/>
          <w:szCs w:val="20"/>
          <w:color w:val="auto"/>
        </w:rPr>
      </w:pPr>
    </w:p>
    <w:p>
      <w:pPr>
        <w:jc w:val="both"/>
        <w:ind w:right="140" w:firstLine="1702"/>
        <w:spacing w:after="0" w:line="231" w:lineRule="auto"/>
        <w:rPr>
          <w:sz w:val="20"/>
          <w:szCs w:val="20"/>
          <w:color w:val="auto"/>
        </w:rPr>
      </w:pPr>
      <w:r>
        <w:rPr>
          <w:rFonts w:ascii="Arial" w:cs="Arial" w:eastAsia="Arial" w:hAnsi="Arial"/>
          <w:sz w:val="15"/>
          <w:szCs w:val="15"/>
          <w:color w:val="auto"/>
        </w:rPr>
        <w:t>(b) The Trustee may impose any restrictions or limitations on the holding of Employer Stock, or on the investment of Participant accounts in Employer Stock, that the Trustee determines to be required by its fiduciary obligations under ERISA. The authority of the Trustee will include without limitation the authority to suspend purchases of Employer Stock and to sell Employer Stock.</w:t>
      </w:r>
    </w:p>
    <w:p>
      <w:pPr>
        <w:spacing w:after="0" w:line="1" w:lineRule="exact"/>
        <w:rPr>
          <w:sz w:val="20"/>
          <w:szCs w:val="20"/>
          <w:color w:val="auto"/>
        </w:rPr>
      </w:pPr>
    </w:p>
    <w:p>
      <w:pPr>
        <w:jc w:val="both"/>
        <w:ind w:right="160" w:firstLine="1702"/>
        <w:spacing w:after="0" w:line="236" w:lineRule="auto"/>
        <w:rPr>
          <w:sz w:val="20"/>
          <w:szCs w:val="20"/>
          <w:color w:val="auto"/>
        </w:rPr>
      </w:pPr>
      <w:r>
        <w:rPr>
          <w:rFonts w:ascii="Arial" w:cs="Arial" w:eastAsia="Arial" w:hAnsi="Arial"/>
          <w:sz w:val="15"/>
          <w:szCs w:val="15"/>
          <w:color w:val="auto"/>
        </w:rPr>
        <w:t>(c) The Trustee will be solely responsible for the manner and timing of any liquidation of Employer Stock and the designation of an alternate investment fund for the investment of the proceeds from the liquidation of the Employer Stock. The Trustee will exercise its authority under this Section 3.2 solely in the interest of Participants and without regard to any adverse effect liquidation of the Employer Stock may have on any Employer.</w:t>
      </w:r>
    </w:p>
    <w:p>
      <w:pPr>
        <w:spacing w:after="0" w:line="167" w:lineRule="exact"/>
        <w:rPr>
          <w:sz w:val="20"/>
          <w:szCs w:val="20"/>
          <w:color w:val="auto"/>
        </w:rPr>
      </w:pPr>
    </w:p>
    <w:p>
      <w:pPr>
        <w:jc w:val="both"/>
        <w:ind w:right="220" w:firstLine="1720"/>
        <w:spacing w:after="0" w:line="235" w:lineRule="auto"/>
        <w:rPr>
          <w:sz w:val="20"/>
          <w:szCs w:val="20"/>
          <w:color w:val="auto"/>
        </w:rPr>
      </w:pPr>
      <w:r>
        <w:rPr>
          <w:rFonts w:ascii="Arial" w:cs="Arial" w:eastAsia="Arial" w:hAnsi="Arial"/>
          <w:sz w:val="15"/>
          <w:szCs w:val="15"/>
          <w:color w:val="auto"/>
        </w:rPr>
        <w:t>(d) In the event the Trustee shall invest any Trust assets in any securities issued or guaranteed by the Sponsor or any subsidiary or affiliate of the Sponsor, and the Trustee thereafter disposes of such investment, or any part thereof, under circumstances which require registration of the securities under the Securities Act of 1933 and/or qualification of the securities under the Blue Sky laws of any state, then the Sponsor, at its own expense, will take or cause to be taken any and all such action as may be necessary or appropriate to effect such registration and/or qualification.</w:t>
      </w:r>
    </w:p>
    <w:p>
      <w:pPr>
        <w:spacing w:after="0" w:line="142" w:lineRule="exact"/>
        <w:rPr>
          <w:sz w:val="20"/>
          <w:szCs w:val="20"/>
          <w:color w:val="auto"/>
        </w:rPr>
      </w:pPr>
    </w:p>
    <w:tbl>
      <w:tblPr>
        <w:tblLayout w:type="fixed"/>
        <w:tblInd w:w="840" w:type="dxa"/>
        <w:tblCellMar>
          <w:top w:w="0" w:type="dxa"/>
          <w:left w:w="0" w:type="dxa"/>
          <w:bottom w:w="0" w:type="dxa"/>
          <w:right w:w="0" w:type="dxa"/>
        </w:tblCellMar>
      </w:tblPr>
      <w:tr>
        <w:trPr>
          <w:trHeight w:val="172"/>
        </w:trPr>
        <w:tc>
          <w:tcPr>
            <w:tcW w:w="800" w:type="dxa"/>
            <w:vAlign w:val="bottom"/>
          </w:tcPr>
          <w:p>
            <w:pPr>
              <w:spacing w:after="0"/>
              <w:rPr>
                <w:sz w:val="14"/>
                <w:szCs w:val="14"/>
                <w:color w:val="auto"/>
              </w:rPr>
            </w:pPr>
          </w:p>
        </w:tc>
        <w:tc>
          <w:tcPr>
            <w:tcW w:w="9160" w:type="dxa"/>
            <w:vAlign w:val="bottom"/>
          </w:tcPr>
          <w:p>
            <w:pPr>
              <w:jc w:val="center"/>
              <w:ind w:right="1446"/>
              <w:spacing w:after="0"/>
              <w:rPr>
                <w:sz w:val="20"/>
                <w:szCs w:val="20"/>
                <w:color w:val="auto"/>
              </w:rPr>
            </w:pPr>
            <w:r>
              <w:rPr>
                <w:rFonts w:ascii="Arial" w:cs="Arial" w:eastAsia="Arial" w:hAnsi="Arial"/>
                <w:sz w:val="15"/>
                <w:szCs w:val="15"/>
                <w:b w:val="1"/>
                <w:bCs w:val="1"/>
                <w:color w:val="auto"/>
                <w:w w:val="97"/>
              </w:rPr>
              <w:t>ARTICLE 4</w:t>
            </w:r>
          </w:p>
        </w:tc>
      </w:tr>
      <w:tr>
        <w:trPr>
          <w:trHeight w:val="196"/>
        </w:trPr>
        <w:tc>
          <w:tcPr>
            <w:tcW w:w="800" w:type="dxa"/>
            <w:vAlign w:val="bottom"/>
          </w:tcPr>
          <w:p>
            <w:pPr>
              <w:spacing w:after="0"/>
              <w:rPr>
                <w:sz w:val="17"/>
                <w:szCs w:val="17"/>
                <w:color w:val="auto"/>
              </w:rPr>
            </w:pPr>
          </w:p>
        </w:tc>
        <w:tc>
          <w:tcPr>
            <w:tcW w:w="9160" w:type="dxa"/>
            <w:vAlign w:val="bottom"/>
          </w:tcPr>
          <w:p>
            <w:pPr>
              <w:jc w:val="center"/>
              <w:ind w:right="1446"/>
              <w:spacing w:after="0"/>
              <w:rPr>
                <w:sz w:val="20"/>
                <w:szCs w:val="20"/>
                <w:color w:val="auto"/>
              </w:rPr>
            </w:pPr>
            <w:r>
              <w:rPr>
                <w:rFonts w:ascii="Arial" w:cs="Arial" w:eastAsia="Arial" w:hAnsi="Arial"/>
                <w:sz w:val="15"/>
                <w:szCs w:val="15"/>
                <w:b w:val="1"/>
                <w:bCs w:val="1"/>
                <w:color w:val="auto"/>
                <w:w w:val="97"/>
              </w:rPr>
              <w:t>POWERS OF THE TRUSTEE</w:t>
            </w:r>
          </w:p>
        </w:tc>
      </w:tr>
      <w:tr>
        <w:trPr>
          <w:trHeight w:val="310"/>
        </w:trPr>
        <w:tc>
          <w:tcPr>
            <w:tcW w:w="800" w:type="dxa"/>
            <w:vAlign w:val="bottom"/>
          </w:tcPr>
          <w:p>
            <w:pPr>
              <w:jc w:val="right"/>
              <w:ind w:right="506"/>
              <w:spacing w:after="0"/>
              <w:rPr>
                <w:sz w:val="20"/>
                <w:szCs w:val="20"/>
                <w:color w:val="auto"/>
              </w:rPr>
            </w:pPr>
            <w:r>
              <w:rPr>
                <w:rFonts w:ascii="Arial" w:cs="Arial" w:eastAsia="Arial" w:hAnsi="Arial"/>
                <w:sz w:val="15"/>
                <w:szCs w:val="15"/>
                <w:color w:val="auto"/>
                <w:w w:val="95"/>
              </w:rPr>
              <w:t>4.1</w:t>
            </w:r>
          </w:p>
        </w:tc>
        <w:tc>
          <w:tcPr>
            <w:tcW w:w="9160" w:type="dxa"/>
            <w:vAlign w:val="bottom"/>
          </w:tcPr>
          <w:p>
            <w:pPr>
              <w:ind w:left="580"/>
              <w:spacing w:after="0"/>
              <w:rPr>
                <w:sz w:val="20"/>
                <w:szCs w:val="20"/>
                <w:color w:val="auto"/>
              </w:rPr>
            </w:pPr>
            <w:r>
              <w:rPr>
                <w:rFonts w:ascii="Arial" w:cs="Arial" w:eastAsia="Arial" w:hAnsi="Arial"/>
                <w:sz w:val="15"/>
                <w:szCs w:val="15"/>
                <w:b w:val="1"/>
                <w:bCs w:val="1"/>
                <w:color w:val="auto"/>
              </w:rPr>
              <w:t xml:space="preserve">Scope of Powers. </w:t>
            </w:r>
            <w:r>
              <w:rPr>
                <w:rFonts w:ascii="Arial" w:cs="Arial" w:eastAsia="Arial" w:hAnsi="Arial"/>
                <w:sz w:val="15"/>
                <w:szCs w:val="15"/>
                <w:color w:val="auto"/>
              </w:rPr>
              <w:t>The Trustee has whatever powers are required to discharge its obligations and exercise its rights under this</w:t>
            </w:r>
          </w:p>
        </w:tc>
      </w:tr>
    </w:tbl>
    <w:p>
      <w:pPr>
        <w:jc w:val="both"/>
        <w:ind w:right="280"/>
        <w:spacing w:after="0" w:line="226" w:lineRule="auto"/>
        <w:rPr>
          <w:sz w:val="20"/>
          <w:szCs w:val="20"/>
          <w:color w:val="auto"/>
        </w:rPr>
      </w:pPr>
      <w:r>
        <w:rPr>
          <w:rFonts w:ascii="Arial" w:cs="Arial" w:eastAsia="Arial" w:hAnsi="Arial"/>
          <w:sz w:val="15"/>
          <w:szCs w:val="15"/>
          <w:color w:val="auto"/>
        </w:rPr>
        <w:t>Trust Agreement, without being limited by any state statute or rule of law regarding investments by trustees, including the powers specified in the following sections of this Article, and the powers and authority granted to the Trustee under other provisions of this Trust Agreement. The enumeration of any power herein will not be by way of limitation, but will be cumulative and construed as full and complete power in favor of the Trustee.</w:t>
      </w:r>
    </w:p>
    <w:p>
      <w:pPr>
        <w:sectPr>
          <w:pgSz w:w="11900" w:h="16838" w:orient="portrait"/>
          <w:cols w:equalWidth="0" w:num="1">
            <w:col w:w="11100"/>
          </w:cols>
          <w:pgMar w:left="480" w:top="664" w:right="319" w:bottom="1440" w:gutter="0" w:footer="0" w:header="0"/>
        </w:sectPr>
      </w:pPr>
    </w:p>
    <w:p>
      <w:pPr>
        <w:spacing w:after="0" w:line="138" w:lineRule="exact"/>
        <w:rPr>
          <w:sz w:val="20"/>
          <w:szCs w:val="20"/>
          <w:color w:val="auto"/>
        </w:rPr>
      </w:pPr>
    </w:p>
    <w:p>
      <w:pPr>
        <w:ind w:left="840"/>
        <w:spacing w:after="0"/>
        <w:rPr>
          <w:sz w:val="20"/>
          <w:szCs w:val="20"/>
          <w:color w:val="auto"/>
        </w:rPr>
      </w:pPr>
      <w:r>
        <w:rPr>
          <w:rFonts w:ascii="Arial" w:cs="Arial" w:eastAsia="Arial" w:hAnsi="Arial"/>
          <w:sz w:val="15"/>
          <w:szCs w:val="15"/>
          <w:color w:val="auto"/>
        </w:rPr>
        <w:t>4.2</w:t>
      </w:r>
    </w:p>
    <w:p>
      <w:pPr>
        <w:spacing w:after="0"/>
        <w:rPr>
          <w:sz w:val="20"/>
          <w:szCs w:val="20"/>
          <w:color w:val="auto"/>
        </w:rPr>
      </w:pPr>
      <w:r>
        <w:rPr>
          <w:rFonts w:ascii="Arial" w:cs="Arial" w:eastAsia="Arial" w:hAnsi="Arial"/>
          <w:sz w:val="14"/>
          <w:szCs w:val="14"/>
          <w:color w:val="auto"/>
        </w:rPr>
        <w:t>powers in its sole discretion: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Powers Exercised by the Trustee In Its Sole Discretion. </w:t>
      </w:r>
      <w:r>
        <w:rPr>
          <w:rFonts w:ascii="Arial" w:cs="Arial" w:eastAsia="Arial" w:hAnsi="Arial"/>
          <w:sz w:val="15"/>
          <w:szCs w:val="15"/>
          <w:color w:val="auto"/>
        </w:rPr>
        <w:t>The Trustee is authorized and empowered to exercise the following</w:t>
      </w:r>
    </w:p>
    <w:p>
      <w:pPr>
        <w:spacing w:after="0" w:line="337" w:lineRule="exact"/>
        <w:rPr>
          <w:sz w:val="20"/>
          <w:szCs w:val="20"/>
          <w:color w:val="auto"/>
        </w:rPr>
      </w:pPr>
    </w:p>
    <w:p>
      <w:pPr>
        <w:sectPr>
          <w:pgSz w:w="11900" w:h="16838" w:orient="portrait"/>
          <w:cols w:equalWidth="0" w:num="2">
            <w:col w:w="1800" w:space="440"/>
            <w:col w:w="8860"/>
          </w:cols>
          <w:pgMar w:left="480" w:top="664" w:right="319" w:bottom="1440" w:gutter="0" w:footer="0" w:header="0"/>
          <w:type w:val="continuous"/>
        </w:sectPr>
      </w:pPr>
    </w:p>
    <w:p>
      <w:pPr>
        <w:jc w:val="center"/>
        <w:ind w:right="1020"/>
        <w:spacing w:after="0"/>
        <w:rPr>
          <w:sz w:val="20"/>
          <w:szCs w:val="20"/>
          <w:color w:val="auto"/>
        </w:rPr>
      </w:pPr>
      <w:r>
        <w:rPr>
          <w:rFonts w:ascii="Arial" w:cs="Arial" w:eastAsia="Arial" w:hAnsi="Arial"/>
          <w:sz w:val="15"/>
          <w:szCs w:val="15"/>
          <w:color w:val="auto"/>
        </w:rPr>
        <w:t>(a)</w:t>
      </w:r>
    </w:p>
    <w:p>
      <w:pPr>
        <w:jc w:val="center"/>
        <w:ind w:right="940"/>
        <w:spacing w:after="0"/>
        <w:rPr>
          <w:sz w:val="20"/>
          <w:szCs w:val="20"/>
          <w:color w:val="auto"/>
        </w:rPr>
      </w:pPr>
      <w:r>
        <w:rPr>
          <w:rFonts w:ascii="Arial" w:cs="Arial" w:eastAsia="Arial" w:hAnsi="Arial"/>
          <w:sz w:val="14"/>
          <w:szCs w:val="14"/>
          <w:color w:val="auto"/>
        </w:rPr>
        <w:t>to sell, exchange, convey or transfer assets of the Trust.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To exercise the authority set forth in Section 3.2 and, subject to Section 5.4, otherwise</w:t>
      </w:r>
    </w:p>
    <w:p>
      <w:pPr>
        <w:spacing w:after="0" w:line="349" w:lineRule="exact"/>
        <w:rPr>
          <w:sz w:val="20"/>
          <w:szCs w:val="20"/>
          <w:color w:val="auto"/>
        </w:rPr>
      </w:pPr>
    </w:p>
    <w:p>
      <w:pPr>
        <w:sectPr>
          <w:pgSz w:w="11900" w:h="16838" w:orient="portrait"/>
          <w:cols w:equalWidth="0" w:num="2">
            <w:col w:w="4580" w:space="720"/>
            <w:col w:w="5800"/>
          </w:cols>
          <w:pgMar w:left="480" w:top="664" w:right="319" w:bottom="1440" w:gutter="0" w:footer="0" w:header="0"/>
          <w:type w:val="continuous"/>
        </w:sectPr>
      </w:pPr>
    </w:p>
    <w:p>
      <w:pPr>
        <w:ind w:left="1700"/>
        <w:spacing w:after="0"/>
        <w:tabs>
          <w:tab w:leader="none" w:pos="356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To register any investment held in the Trust Fund in its own name or in the name of a nominee, with or without</w:t>
      </w:r>
    </w:p>
    <w:p>
      <w:pPr>
        <w:sectPr>
          <w:pgSz w:w="11900" w:h="16838" w:orient="portrait"/>
          <w:cols w:equalWidth="0" w:num="1">
            <w:col w:w="11100"/>
          </w:cols>
          <w:pgMar w:left="480" w:top="664" w:right="319" w:bottom="1440" w:gutter="0" w:footer="0" w:header="0"/>
          <w:type w:val="continuous"/>
        </w:sectPr>
      </w:pPr>
    </w:p>
    <w:p>
      <w:pPr>
        <w:spacing w:after="0" w:line="17" w:lineRule="exact"/>
        <w:rPr>
          <w:sz w:val="20"/>
          <w:szCs w:val="20"/>
          <w:color w:val="auto"/>
        </w:rPr>
      </w:pPr>
    </w:p>
    <w:p>
      <w:pPr>
        <w:jc w:val="both"/>
        <w:ind w:right="220"/>
        <w:spacing w:after="0" w:line="231" w:lineRule="auto"/>
        <w:rPr>
          <w:sz w:val="20"/>
          <w:szCs w:val="20"/>
          <w:color w:val="auto"/>
        </w:rPr>
      </w:pPr>
      <w:r>
        <w:rPr>
          <w:rFonts w:ascii="Arial" w:cs="Arial" w:eastAsia="Arial" w:hAnsi="Arial"/>
          <w:sz w:val="15"/>
          <w:szCs w:val="15"/>
          <w:color w:val="auto"/>
        </w:rPr>
        <w:t>the addition of words indicating that such securities are held in a fiduciary capacity, and to hold any investment in bearer form, and to deposit any investment in a depositary or clearing corporation, but the books and records of the Trustee will show that all such investments are part of the Trust Fund.</w:t>
      </w:r>
    </w:p>
    <w:p>
      <w:pPr>
        <w:spacing w:after="0" w:line="166" w:lineRule="exact"/>
        <w:rPr>
          <w:sz w:val="20"/>
          <w:szCs w:val="20"/>
          <w:color w:val="auto"/>
        </w:rPr>
      </w:pPr>
    </w:p>
    <w:p>
      <w:pPr>
        <w:jc w:val="both"/>
        <w:ind w:right="220" w:firstLine="1720"/>
        <w:spacing w:after="0" w:line="236" w:lineRule="auto"/>
        <w:rPr>
          <w:sz w:val="20"/>
          <w:szCs w:val="20"/>
          <w:color w:val="auto"/>
        </w:rPr>
      </w:pPr>
      <w:r>
        <w:rPr>
          <w:rFonts w:ascii="Arial" w:cs="Arial" w:eastAsia="Arial" w:hAnsi="Arial"/>
          <w:sz w:val="15"/>
          <w:szCs w:val="15"/>
          <w:color w:val="auto"/>
        </w:rPr>
        <w:t>(c) Subject to Section 5.3, to vote upon any stocks (including Employer Stock), bonds, or other securities in the Trust Fund and to give general or special proxies or powers of attorney with or without power of substitution, to exercise any conversion privileges, subscription rights or other options and to make any payments incidental thereto, to consent to or otherwise participate in corporate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314960</wp:posOffset>
            </wp:positionV>
            <wp:extent cx="7171055" cy="139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00"/>
          </w:cols>
          <w:pgMar w:left="480" w:top="664" w:right="319" w:bottom="1440" w:gutter="0" w:footer="0" w:header="0"/>
          <w:type w:val="continuous"/>
        </w:sectPr>
      </w:pPr>
    </w:p>
    <w:bookmarkStart w:id="220" w:name="page221"/>
    <w:bookmarkEnd w:id="220"/>
    <w:p>
      <w:pPr>
        <w:jc w:val="both"/>
        <w:ind w:left="20" w:right="220"/>
        <w:spacing w:after="0" w:line="234" w:lineRule="auto"/>
        <w:rPr>
          <w:sz w:val="20"/>
          <w:szCs w:val="20"/>
          <w:color w:val="auto"/>
        </w:rPr>
      </w:pPr>
      <w:r>
        <w:rPr>
          <w:rFonts w:ascii="Arial" w:cs="Arial" w:eastAsia="Arial" w:hAnsi="Arial"/>
          <w:sz w:val="15"/>
          <w:szCs w:val="15"/>
          <w:color w:val="auto"/>
        </w:rPr>
        <w:t>reorganizations or other changes affecting corporate securities in the Trust Fund and to exercise rights of appraisal and similar rights and make decisions with respect to choice of consideration relating thereto. To employ suitable agents (who may be agents or employees of the Company), including such public accountants, brokers, custodians, ancillary trustees, and appraisers as will be necessary and appropriate, and to employ counsel (which may be counsel for the Company), whose reasonable expenses and compensation will be paid by the Company, and if the Company fails to pay, by the Trust Fund. The Trustee will advise the Company prior to employing any agent pursuant to this Section 4.2(c).</w:t>
      </w:r>
    </w:p>
    <w:p>
      <w:pPr>
        <w:spacing w:after="0" w:line="168" w:lineRule="exact"/>
        <w:rPr>
          <w:sz w:val="20"/>
          <w:szCs w:val="20"/>
          <w:color w:val="auto"/>
        </w:rPr>
      </w:pPr>
    </w:p>
    <w:p>
      <w:pPr>
        <w:jc w:val="both"/>
        <w:ind w:left="20" w:right="220" w:firstLine="1711"/>
        <w:spacing w:after="0" w:line="235" w:lineRule="auto"/>
        <w:rPr>
          <w:sz w:val="20"/>
          <w:szCs w:val="20"/>
          <w:color w:val="auto"/>
        </w:rPr>
      </w:pPr>
      <w:r>
        <w:rPr>
          <w:rFonts w:ascii="Arial" w:cs="Arial" w:eastAsia="Arial" w:hAnsi="Arial"/>
          <w:sz w:val="15"/>
          <w:szCs w:val="15"/>
          <w:color w:val="auto"/>
        </w:rPr>
        <w:t>(d) To determine the market value of any securities or other property held by the Trustee in the Trust and, where any securities or other property are determined by the Trustee not to be publicly traded, to determine their value in accordance with sound practice and standards for evaluating such property; subject, however, in the case of Employer Stock held in the Trust that is not publicly traded within the meaning of Code Section 401(a)(28), to any valuation of such Employer Stock provided by an independent appraiser selected solely by the Trustee.</w:t>
      </w:r>
    </w:p>
    <w:p>
      <w:pPr>
        <w:spacing w:after="0" w:line="131" w:lineRule="exact"/>
        <w:rPr>
          <w:sz w:val="20"/>
          <w:szCs w:val="20"/>
          <w:color w:val="auto"/>
        </w:rPr>
      </w:pPr>
    </w:p>
    <w:p>
      <w:pPr>
        <w:ind w:left="860"/>
        <w:spacing w:after="0"/>
        <w:tabs>
          <w:tab w:leader="none" w:pos="222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5"/>
          <w:szCs w:val="15"/>
          <w:b w:val="1"/>
          <w:bCs w:val="1"/>
          <w:color w:val="auto"/>
        </w:rPr>
        <w:t xml:space="preserve">Powers Exercisable by the Trustee Only upon the Direction of the Administrative Committee. </w:t>
      </w:r>
      <w:r>
        <w:rPr>
          <w:rFonts w:ascii="Arial" w:cs="Arial" w:eastAsia="Arial" w:hAnsi="Arial"/>
          <w:sz w:val="15"/>
          <w:szCs w:val="15"/>
          <w:color w:val="auto"/>
        </w:rPr>
        <w:t>The Trustee is authorized and</w:t>
      </w:r>
    </w:p>
    <w:p>
      <w:pPr>
        <w:spacing w:after="0" w:line="12" w:lineRule="exact"/>
        <w:rPr>
          <w:sz w:val="20"/>
          <w:szCs w:val="20"/>
          <w:color w:val="auto"/>
        </w:rPr>
      </w:pPr>
    </w:p>
    <w:p>
      <w:pPr>
        <w:jc w:val="both"/>
        <w:ind w:left="20" w:right="200"/>
        <w:spacing w:after="0" w:line="235" w:lineRule="auto"/>
        <w:rPr>
          <w:sz w:val="20"/>
          <w:szCs w:val="20"/>
          <w:color w:val="auto"/>
        </w:rPr>
      </w:pPr>
      <w:r>
        <w:rPr>
          <w:rFonts w:ascii="Arial" w:cs="Arial" w:eastAsia="Arial" w:hAnsi="Arial"/>
          <w:sz w:val="15"/>
          <w:szCs w:val="15"/>
          <w:color w:val="auto"/>
        </w:rPr>
        <w:t>empowered (i) to accept, compromise or otherwise settle any obligations or liability due to or from it as Trustee hereunder, including any claim that may be asserted for taxes under present or future laws, or to enforce or contest the same by appropriate legal proceedings, but only upon the direction of the Administrative Committee; and (ii) to make distributions to Participants, and alternate payees under Qualified Domestic Relations Orders, but only upon the direction of the Administrative Committee.</w:t>
      </w:r>
    </w:p>
    <w:p>
      <w:pPr>
        <w:spacing w:after="0" w:line="145" w:lineRule="exact"/>
        <w:rPr>
          <w:sz w:val="20"/>
          <w:szCs w:val="20"/>
          <w:color w:val="auto"/>
        </w:rPr>
      </w:pPr>
    </w:p>
    <w:p>
      <w:pPr>
        <w:jc w:val="both"/>
        <w:ind w:left="20" w:right="200" w:firstLine="847"/>
        <w:spacing w:after="0" w:line="254" w:lineRule="auto"/>
        <w:rPr>
          <w:sz w:val="20"/>
          <w:szCs w:val="20"/>
          <w:color w:val="auto"/>
        </w:rPr>
      </w:pPr>
      <w:r>
        <w:rPr>
          <w:rFonts w:ascii="Arial" w:cs="Arial" w:eastAsia="Arial" w:hAnsi="Arial"/>
          <w:sz w:val="14"/>
          <w:szCs w:val="14"/>
          <w:color w:val="auto"/>
        </w:rPr>
        <w:t>To the extent that the Administrative Committee directs the Trustee to take any actions pursuant to its directions, the Trustee will be protected in relying on such directions (other than directions to the Trustee to act in its own discretion) and will not be liable in any way for following such direction. Moreover, if the Administrative Committee does not direct the Trustee pursuant to this Section 4.3 and does not authorize the Trustee in writing to exercise its independent powers with respect to such matters without need for Administrative Committee direction, then with respect to matters for which Administrative Committee direction is called for hereunder, the Trustee will not be liable, and will be indemnified and held harmless by the Company, for any failure to act hereunder, to the extent permitted by ERISA.</w:t>
      </w:r>
    </w:p>
    <w:p>
      <w:pPr>
        <w:sectPr>
          <w:pgSz w:w="11900" w:h="16838" w:orient="portrait"/>
          <w:cols w:equalWidth="0" w:num="1">
            <w:col w:w="11120"/>
          </w:cols>
          <w:pgMar w:left="460" w:top="328" w:right="319" w:bottom="1440" w:gutter="0" w:footer="0" w:header="0"/>
        </w:sectPr>
      </w:pPr>
    </w:p>
    <w:p>
      <w:pPr>
        <w:spacing w:after="0" w:line="157" w:lineRule="exact"/>
        <w:rPr>
          <w:sz w:val="20"/>
          <w:szCs w:val="20"/>
          <w:color w:val="auto"/>
        </w:rPr>
      </w:pPr>
    </w:p>
    <w:p>
      <w:pPr>
        <w:ind w:left="90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Documents, Instruments and Facilities.</w:t>
      </w:r>
    </w:p>
    <w:p>
      <w:pPr>
        <w:spacing w:after="0" w:line="189" w:lineRule="exact"/>
        <w:rPr>
          <w:sz w:val="20"/>
          <w:szCs w:val="20"/>
          <w:color w:val="auto"/>
        </w:rPr>
      </w:pPr>
    </w:p>
    <w:p>
      <w:pPr>
        <w:sectPr>
          <w:pgSz w:w="11900" w:h="16838" w:orient="portrait"/>
          <w:cols w:equalWidth="0" w:num="2">
            <w:col w:w="1100" w:space="660"/>
            <w:col w:w="9360"/>
          </w:cols>
          <w:pgMar w:left="460" w:top="328" w:right="319" w:bottom="1440" w:gutter="0" w:footer="0" w:header="0"/>
          <w:type w:val="continuous"/>
        </w:sectPr>
      </w:pPr>
    </w:p>
    <w:p>
      <w:pPr>
        <w:ind w:left="20" w:right="320" w:firstLine="1696"/>
        <w:spacing w:after="0" w:line="239" w:lineRule="auto"/>
        <w:rPr>
          <w:sz w:val="20"/>
          <w:szCs w:val="20"/>
          <w:color w:val="auto"/>
        </w:rPr>
      </w:pPr>
      <w:r>
        <w:rPr>
          <w:rFonts w:ascii="Arial" w:cs="Arial" w:eastAsia="Arial" w:hAnsi="Arial"/>
          <w:sz w:val="15"/>
          <w:szCs w:val="15"/>
          <w:color w:val="auto"/>
        </w:rPr>
        <w:t>(a) In order to effectuate the specific powers and authority granted to the Trustee, the Trustee may make, execute, acknowledge and deliver any and all documents of transfer and conveyance and any and all other instruments that may be necessary or appropriate.</w:t>
      </w:r>
    </w:p>
    <w:p>
      <w:pPr>
        <w:spacing w:after="0" w:line="166" w:lineRule="exact"/>
        <w:rPr>
          <w:sz w:val="20"/>
          <w:szCs w:val="20"/>
          <w:color w:val="auto"/>
        </w:rPr>
      </w:pPr>
    </w:p>
    <w:p>
      <w:pPr>
        <w:ind w:left="40" w:right="580" w:firstLine="1641"/>
        <w:spacing w:after="0" w:line="239" w:lineRule="auto"/>
        <w:rPr>
          <w:sz w:val="20"/>
          <w:szCs w:val="20"/>
          <w:color w:val="auto"/>
        </w:rPr>
      </w:pPr>
      <w:r>
        <w:rPr>
          <w:rFonts w:ascii="Arial" w:cs="Arial" w:eastAsia="Arial" w:hAnsi="Arial"/>
          <w:sz w:val="15"/>
          <w:szCs w:val="15"/>
          <w:color w:val="auto"/>
        </w:rPr>
        <w:t>(b) The Trustee may use its own facilities in effecting any transaction involving assets of the Trust Fund, upon prior notice to the Administrative Committee, unless such use is prohibited by ERISA Section 406.</w:t>
      </w:r>
    </w:p>
    <w:p>
      <w:pPr>
        <w:spacing w:after="0" w:line="148"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ARTICLE 5</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5"/>
          <w:szCs w:val="15"/>
          <w:b w:val="1"/>
          <w:bCs w:val="1"/>
          <w:color w:val="auto"/>
        </w:rPr>
        <w:t>DUTIES AND OBLIGATIONS OF THE TRUSTEE</w:t>
      </w:r>
    </w:p>
    <w:p>
      <w:pPr>
        <w:spacing w:after="0" w:line="171" w:lineRule="exact"/>
        <w:rPr>
          <w:sz w:val="20"/>
          <w:szCs w:val="20"/>
          <w:color w:val="auto"/>
        </w:rPr>
      </w:pPr>
    </w:p>
    <w:p>
      <w:pPr>
        <w:ind w:left="840"/>
        <w:spacing w:after="0"/>
        <w:tabs>
          <w:tab w:leader="none" w:pos="216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5"/>
          <w:szCs w:val="15"/>
          <w:b w:val="1"/>
          <w:bCs w:val="1"/>
          <w:color w:val="auto"/>
        </w:rPr>
        <w:t xml:space="preserve">Scope of Duties and Obligations. </w:t>
      </w:r>
      <w:r>
        <w:rPr>
          <w:rFonts w:ascii="Arial" w:cs="Arial" w:eastAsia="Arial" w:hAnsi="Arial"/>
          <w:sz w:val="15"/>
          <w:szCs w:val="15"/>
          <w:color w:val="auto"/>
        </w:rPr>
        <w:t>The Trustee agrees to perform the duties and obligations imposed by this Trust Agreement. No</w:t>
      </w:r>
    </w:p>
    <w:p>
      <w:pPr>
        <w:sectPr>
          <w:pgSz w:w="11900" w:h="16838" w:orient="portrait"/>
          <w:cols w:equalWidth="0" w:num="1">
            <w:col w:w="11120"/>
          </w:cols>
          <w:pgMar w:left="460" w:top="328" w:right="319" w:bottom="1440" w:gutter="0" w:footer="0" w:header="0"/>
          <w:type w:val="continuous"/>
        </w:sectPr>
      </w:pPr>
    </w:p>
    <w:p>
      <w:pPr>
        <w:spacing w:after="0" w:line="23" w:lineRule="exact"/>
        <w:rPr>
          <w:sz w:val="20"/>
          <w:szCs w:val="20"/>
          <w:color w:val="auto"/>
        </w:rPr>
      </w:pPr>
    </w:p>
    <w:p>
      <w:pPr>
        <w:jc w:val="both"/>
        <w:ind w:right="260"/>
        <w:spacing w:after="0" w:line="231" w:lineRule="auto"/>
        <w:rPr>
          <w:sz w:val="20"/>
          <w:szCs w:val="20"/>
          <w:color w:val="auto"/>
        </w:rPr>
      </w:pPr>
      <w:r>
        <w:rPr>
          <w:rFonts w:ascii="Arial" w:cs="Arial" w:eastAsia="Arial" w:hAnsi="Arial"/>
          <w:sz w:val="15"/>
          <w:szCs w:val="15"/>
          <w:color w:val="auto"/>
        </w:rPr>
        <w:t>duties or obligations will be imposed upon the Trustee with respect to the Trust Fund unless undertaken by the Trustee under the express terms of this Trust Agreement or unless imposed upon the Trustee by statute or at common law. The Trustee will have no duty or obligation to advise Participants as to the effect of federal or state securities laws on the Plan, the Trust Fund or any distributions therefrom.</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328" w:right="319" w:bottom="1440" w:gutter="0" w:footer="0" w:header="0"/>
          <w:type w:val="continuous"/>
        </w:sectPr>
      </w:pPr>
    </w:p>
    <w:bookmarkStart w:id="221" w:name="page222"/>
    <w:bookmarkEnd w:id="221"/>
    <w:p>
      <w:pPr>
        <w:spacing w:after="0" w:line="1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General Duties and Obligations.</w:t>
      </w:r>
    </w:p>
    <w:p>
      <w:pPr>
        <w:spacing w:after="0" w:line="201" w:lineRule="exact"/>
        <w:rPr>
          <w:sz w:val="20"/>
          <w:szCs w:val="20"/>
          <w:color w:val="auto"/>
        </w:rPr>
      </w:pPr>
    </w:p>
    <w:p>
      <w:pPr>
        <w:sectPr>
          <w:pgSz w:w="11900" w:h="16838" w:orient="portrait"/>
          <w:cols w:equalWidth="0" w:num="2">
            <w:col w:w="1080" w:space="680"/>
            <w:col w:w="9380"/>
          </w:cols>
          <w:pgMar w:left="440" w:top="487" w:right="319" w:bottom="1440" w:gutter="0" w:footer="0" w:header="0"/>
        </w:sectPr>
      </w:pPr>
    </w:p>
    <w:p>
      <w:pPr>
        <w:ind w:left="20" w:right="860" w:firstLine="1639"/>
        <w:spacing w:after="0" w:line="239" w:lineRule="auto"/>
        <w:rPr>
          <w:sz w:val="20"/>
          <w:szCs w:val="20"/>
          <w:color w:val="auto"/>
        </w:rPr>
      </w:pPr>
      <w:r>
        <w:rPr>
          <w:rFonts w:ascii="Arial" w:cs="Arial" w:eastAsia="Arial" w:hAnsi="Arial"/>
          <w:sz w:val="15"/>
          <w:szCs w:val="15"/>
          <w:color w:val="auto"/>
        </w:rPr>
        <w:t>(a) Subject to Section 2.8, the Trustee has the duty to hold all property received by it and any income and gains thereupon, to manage, invest and reinvest the Trust Fund, to collect the income therefrom, and to make payments as provided in this Trust Agreement.</w:t>
      </w:r>
    </w:p>
    <w:p>
      <w:pPr>
        <w:spacing w:after="0" w:line="166" w:lineRule="exact"/>
        <w:rPr>
          <w:sz w:val="20"/>
          <w:szCs w:val="20"/>
          <w:color w:val="auto"/>
        </w:rPr>
      </w:pPr>
    </w:p>
    <w:p>
      <w:pPr>
        <w:ind w:left="1680"/>
        <w:spacing w:after="0"/>
        <w:tabs>
          <w:tab w:leader="none" w:pos="354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The Trustee is responsible only for money or assets that it actually receives. The Trustee has no duty to</w:t>
      </w:r>
    </w:p>
    <w:p>
      <w:pPr>
        <w:sectPr>
          <w:pgSz w:w="11900" w:h="16838" w:orient="portrait"/>
          <w:cols w:equalWidth="0" w:num="1">
            <w:col w:w="11140"/>
          </w:cols>
          <w:pgMar w:left="440" w:top="487" w:right="319" w:bottom="1440" w:gutter="0" w:footer="0" w:header="0"/>
          <w:type w:val="continuous"/>
        </w:sectPr>
      </w:pPr>
    </w:p>
    <w:p>
      <w:pPr>
        <w:spacing w:after="0" w:line="5" w:lineRule="exact"/>
        <w:rPr>
          <w:sz w:val="20"/>
          <w:szCs w:val="20"/>
          <w:color w:val="auto"/>
        </w:rPr>
      </w:pPr>
    </w:p>
    <w:p>
      <w:pPr>
        <w:jc w:val="both"/>
        <w:ind w:left="20" w:right="400"/>
        <w:spacing w:after="0" w:line="231" w:lineRule="auto"/>
        <w:rPr>
          <w:sz w:val="20"/>
          <w:szCs w:val="20"/>
          <w:color w:val="auto"/>
        </w:rPr>
      </w:pPr>
      <w:r>
        <w:rPr>
          <w:rFonts w:ascii="Arial" w:cs="Arial" w:eastAsia="Arial" w:hAnsi="Arial"/>
          <w:sz w:val="15"/>
          <w:szCs w:val="15"/>
          <w:color w:val="auto"/>
        </w:rPr>
        <w:t>compute amounts to be paid to it by the Company or to enforce collection of any contribution due from the Company. The Trustee will not be responsible for the correctness of the computation of the amount of any contribution made or to be made by the Company.</w:t>
      </w:r>
    </w:p>
    <w:p>
      <w:pPr>
        <w:spacing w:after="0" w:line="166" w:lineRule="exact"/>
        <w:rPr>
          <w:sz w:val="20"/>
          <w:szCs w:val="20"/>
          <w:color w:val="auto"/>
        </w:rPr>
      </w:pPr>
    </w:p>
    <w:p>
      <w:pPr>
        <w:jc w:val="both"/>
        <w:ind w:left="40" w:right="400" w:firstLine="1651"/>
        <w:spacing w:after="0" w:line="236" w:lineRule="auto"/>
        <w:rPr>
          <w:sz w:val="20"/>
          <w:szCs w:val="20"/>
          <w:color w:val="auto"/>
        </w:rPr>
      </w:pPr>
      <w:r>
        <w:rPr>
          <w:rFonts w:ascii="Arial" w:cs="Arial" w:eastAsia="Arial" w:hAnsi="Arial"/>
          <w:sz w:val="15"/>
          <w:szCs w:val="15"/>
          <w:color w:val="auto"/>
        </w:rPr>
        <w:t>(c) The Trustee will make payments and disbursements from the Trust Fund to or on the order of the Administrative Committee. Orders of the Administrative Committee with respect to disbursements from the Trust Fund will specify the application to be made of such funds, and the Trustee may rely on the Administrative Committee's instructions regarding disbursements from the Trust Fund.</w:t>
      </w:r>
    </w:p>
    <w:p>
      <w:pPr>
        <w:spacing w:after="0" w:line="167" w:lineRule="exact"/>
        <w:rPr>
          <w:sz w:val="20"/>
          <w:szCs w:val="20"/>
          <w:color w:val="auto"/>
        </w:rPr>
      </w:pPr>
    </w:p>
    <w:p>
      <w:pPr>
        <w:ind w:left="40" w:right="380" w:firstLine="1655"/>
        <w:spacing w:after="0" w:line="239" w:lineRule="auto"/>
        <w:rPr>
          <w:sz w:val="20"/>
          <w:szCs w:val="20"/>
          <w:color w:val="auto"/>
        </w:rPr>
      </w:pPr>
      <w:r>
        <w:rPr>
          <w:rFonts w:ascii="Arial" w:cs="Arial" w:eastAsia="Arial" w:hAnsi="Arial"/>
          <w:sz w:val="15"/>
          <w:szCs w:val="15"/>
          <w:color w:val="auto"/>
        </w:rPr>
        <w:t>(d) Subject to the provisions of Section 4.2(b), the Trustee has the duty to comply with any directive issued by the Administrative Committee to withdraw and transfer all or any part of the Trust Fund to another trustee or another successor funding agent.</w:t>
      </w:r>
    </w:p>
    <w:p>
      <w:pPr>
        <w:spacing w:after="0" w:line="211" w:lineRule="exact"/>
        <w:rPr>
          <w:sz w:val="20"/>
          <w:szCs w:val="20"/>
          <w:color w:val="auto"/>
        </w:rPr>
      </w:pPr>
    </w:p>
    <w:p>
      <w:pPr>
        <w:ind w:left="1760"/>
        <w:spacing w:after="0"/>
        <w:tabs>
          <w:tab w:leader="none" w:pos="3620" w:val="left"/>
        </w:tabs>
        <w:rPr>
          <w:sz w:val="20"/>
          <w:szCs w:val="20"/>
          <w:color w:val="auto"/>
        </w:rPr>
      </w:pPr>
      <w:r>
        <w:rPr>
          <w:rFonts w:ascii="Arial" w:cs="Arial" w:eastAsia="Arial" w:hAnsi="Arial"/>
          <w:sz w:val="14"/>
          <w:szCs w:val="14"/>
          <w:color w:val="auto"/>
        </w:rPr>
        <w:t>(e)</w:t>
      </w:r>
      <w:r>
        <w:rPr>
          <w:sz w:val="20"/>
          <w:szCs w:val="20"/>
          <w:color w:val="auto"/>
        </w:rPr>
        <w:tab/>
      </w:r>
      <w:r>
        <w:rPr>
          <w:rFonts w:ascii="Arial" w:cs="Arial" w:eastAsia="Arial" w:hAnsi="Arial"/>
          <w:sz w:val="14"/>
          <w:szCs w:val="14"/>
          <w:color w:val="auto"/>
        </w:rPr>
        <w:t>With respect to all Employer Stock held in the Trust Fund, the Trustee has the duty to (i) vote such shares on any</w:t>
      </w:r>
    </w:p>
    <w:p>
      <w:pPr>
        <w:spacing w:after="0" w:line="5" w:lineRule="exact"/>
        <w:rPr>
          <w:sz w:val="20"/>
          <w:szCs w:val="20"/>
          <w:color w:val="auto"/>
        </w:rPr>
      </w:pPr>
    </w:p>
    <w:p>
      <w:pPr>
        <w:jc w:val="both"/>
        <w:ind w:right="200"/>
        <w:spacing w:after="0" w:line="233" w:lineRule="auto"/>
        <w:rPr>
          <w:sz w:val="20"/>
          <w:szCs w:val="20"/>
          <w:color w:val="auto"/>
        </w:rPr>
      </w:pPr>
      <w:r>
        <w:rPr>
          <w:rFonts w:ascii="Arial" w:cs="Arial" w:eastAsia="Arial" w:hAnsi="Arial"/>
          <w:sz w:val="15"/>
          <w:szCs w:val="15"/>
          <w:color w:val="auto"/>
        </w:rPr>
        <w:t>matter presented to stockholders for a vote in accordance with the provisions of Section 5.3; (ii) decide whether to give general or special proxies or powers of attorney with or without power of substitution with respect to such shares; (iii) decide whether to exercise any conversion privileges, subscription rights or other options and to make any payments incidental thereto; (iv) decide whether to consent to or otherwise participate in corporate reorganizations or other changes affecting such shares that are not presented to stockholders for a vote; (v) decide whether to exercise rights of appraisal and similar rights and make decisions with respect to choice of consideration relating thereto and to pay any assessments or charges in connection therewith; (vi) decide whether to tender such shares in the event of a tender offer in accordance with the provisions of Section 5.4; and (vii) maintain the confidentiality of information with respect to the exercise by Participants of voting, tender and similar rights with respect to the Employer Stock pursuant to procedures that comply with 29 C.F.R. §2550.404c-1(d)(4)(vii).</w:t>
      </w:r>
    </w:p>
    <w:p>
      <w:pPr>
        <w:spacing w:after="0" w:line="169" w:lineRule="exact"/>
        <w:rPr>
          <w:sz w:val="20"/>
          <w:szCs w:val="20"/>
          <w:color w:val="auto"/>
        </w:rPr>
      </w:pPr>
    </w:p>
    <w:p>
      <w:pPr>
        <w:jc w:val="both"/>
        <w:ind w:right="560" w:firstLine="1661"/>
        <w:spacing w:after="0" w:line="236" w:lineRule="auto"/>
        <w:rPr>
          <w:sz w:val="20"/>
          <w:szCs w:val="20"/>
          <w:color w:val="auto"/>
        </w:rPr>
      </w:pPr>
      <w:r>
        <w:rPr>
          <w:rFonts w:ascii="Arial" w:cs="Arial" w:eastAsia="Arial" w:hAnsi="Arial"/>
          <w:sz w:val="15"/>
          <w:szCs w:val="15"/>
          <w:color w:val="auto"/>
        </w:rPr>
        <w:t>(f) The Trustee, after consultation with the Administrative Committee, will prepare the necessary documents associated with the voting and tendering of Employer Stock. The Company will pay for all printing, mailing, tabulation and other costs associated with the voting and tendering of Employer Stock.</w:t>
      </w:r>
    </w:p>
    <w:p>
      <w:pPr>
        <w:sectPr>
          <w:pgSz w:w="11900" w:h="16838" w:orient="portrait"/>
          <w:cols w:equalWidth="0" w:num="1">
            <w:col w:w="11140"/>
          </w:cols>
          <w:pgMar w:left="440" w:top="487" w:right="319" w:bottom="1440" w:gutter="0" w:footer="0" w:header="0"/>
          <w:type w:val="continuous"/>
        </w:sectPr>
      </w:pPr>
    </w:p>
    <w:p>
      <w:pPr>
        <w:spacing w:after="0" w:line="167" w:lineRule="exact"/>
        <w:rPr>
          <w:sz w:val="20"/>
          <w:szCs w:val="20"/>
          <w:color w:val="auto"/>
        </w:rPr>
      </w:pPr>
    </w:p>
    <w:p>
      <w:pPr>
        <w:ind w:left="820"/>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of Employer Stock. </w:t>
      </w:r>
      <w:r>
        <w:rPr>
          <w:rFonts w:ascii="Arial" w:cs="Arial" w:eastAsia="Arial" w:hAnsi="Arial"/>
          <w:sz w:val="14"/>
          <w:szCs w:val="14"/>
          <w:color w:val="auto"/>
        </w:rPr>
        <w:t>The provisions of this Section 5.3 will govern the voting of Employer Stock.</w:t>
      </w:r>
    </w:p>
    <w:p>
      <w:pPr>
        <w:spacing w:after="0" w:line="200" w:lineRule="exact"/>
        <w:rPr>
          <w:sz w:val="20"/>
          <w:szCs w:val="20"/>
          <w:color w:val="auto"/>
        </w:rPr>
      </w:pPr>
    </w:p>
    <w:p>
      <w:pPr>
        <w:sectPr>
          <w:pgSz w:w="11900" w:h="16838" w:orient="portrait"/>
          <w:cols w:equalWidth="0" w:num="2">
            <w:col w:w="1460" w:space="720"/>
            <w:col w:w="8960"/>
          </w:cols>
          <w:pgMar w:left="440" w:top="487" w:right="319" w:bottom="1440" w:gutter="0" w:footer="0" w:header="0"/>
          <w:type w:val="continuous"/>
        </w:sectPr>
      </w:pPr>
    </w:p>
    <w:p>
      <w:pPr>
        <w:ind w:left="1700"/>
        <w:spacing w:after="0"/>
        <w:tabs>
          <w:tab w:leader="none" w:pos="35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When the Company prepares for any annual or special meeting of stockholders, the Administrative Committee</w:t>
      </w:r>
    </w:p>
    <w:p>
      <w:pPr>
        <w:sectPr>
          <w:pgSz w:w="11900" w:h="16838" w:orient="portrait"/>
          <w:cols w:equalWidth="0" w:num="1">
            <w:col w:w="11140"/>
          </w:cols>
          <w:pgMar w:left="440" w:top="487" w:right="319" w:bottom="1440" w:gutter="0" w:footer="0" w:header="0"/>
          <w:type w:val="continuous"/>
        </w:sectPr>
      </w:pPr>
    </w:p>
    <w:p>
      <w:pPr>
        <w:spacing w:after="0" w:line="5" w:lineRule="exact"/>
        <w:rPr>
          <w:sz w:val="20"/>
          <w:szCs w:val="20"/>
          <w:color w:val="auto"/>
        </w:rPr>
      </w:pPr>
    </w:p>
    <w:p>
      <w:pPr>
        <w:jc w:val="both"/>
        <w:ind w:right="240"/>
        <w:spacing w:after="0" w:line="231" w:lineRule="auto"/>
        <w:rPr>
          <w:sz w:val="20"/>
          <w:szCs w:val="20"/>
          <w:color w:val="auto"/>
        </w:rPr>
      </w:pPr>
      <w:r>
        <w:rPr>
          <w:rFonts w:ascii="Arial" w:cs="Arial" w:eastAsia="Arial" w:hAnsi="Arial"/>
          <w:sz w:val="15"/>
          <w:szCs w:val="15"/>
          <w:color w:val="auto"/>
        </w:rPr>
        <w:t>will notify the Trustee in a timely manner and in advance of the intended record date for such meeting and will cause a copy of all proxy solicitation materials to be sent to the Trustee. Based on these materials, the Trustee will prepare a voting instruction form and will cause a copy of all proxy solicitation materials to be sent to each Participant with an interest in Employer Stock held in the Trust, together with the voting instruction form to be returned to the Trustee or its designee. The voting instruction form will show the number of full and fractional shares of Employer Stock credited to the Participant's accounts (both vested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314960</wp:posOffset>
            </wp:positionV>
            <wp:extent cx="7171055" cy="139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40"/>
          </w:cols>
          <w:pgMar w:left="440" w:top="487" w:right="319" w:bottom="1440" w:gutter="0" w:footer="0" w:header="0"/>
          <w:type w:val="continuous"/>
        </w:sectPr>
      </w:pPr>
    </w:p>
    <w:bookmarkStart w:id="222" w:name="page223"/>
    <w:bookmarkEnd w:id="222"/>
    <w:p>
      <w:pPr>
        <w:spacing w:after="0"/>
        <w:rPr>
          <w:sz w:val="20"/>
          <w:szCs w:val="20"/>
          <w:color w:val="auto"/>
        </w:rPr>
      </w:pPr>
      <w:r>
        <w:rPr>
          <w:rFonts w:ascii="Arial" w:cs="Arial" w:eastAsia="Arial" w:hAnsi="Arial"/>
          <w:sz w:val="15"/>
          <w:szCs w:val="15"/>
          <w:color w:val="auto"/>
        </w:rPr>
        <w:t>unvested).</w:t>
      </w:r>
    </w:p>
    <w:p>
      <w:pPr>
        <w:spacing w:after="0" w:line="165" w:lineRule="exact"/>
        <w:rPr>
          <w:sz w:val="20"/>
          <w:szCs w:val="20"/>
          <w:color w:val="auto"/>
        </w:rPr>
      </w:pPr>
    </w:p>
    <w:p>
      <w:pPr>
        <w:ind w:left="1700"/>
        <w:spacing w:after="0"/>
        <w:tabs>
          <w:tab w:leader="none" w:pos="3560" w:val="left"/>
        </w:tabs>
        <w:rPr>
          <w:sz w:val="20"/>
          <w:szCs w:val="20"/>
          <w:color w:val="auto"/>
        </w:rPr>
      </w:pPr>
      <w:r>
        <w:rPr>
          <w:rFonts w:ascii="Arial" w:cs="Arial" w:eastAsia="Arial" w:hAnsi="Arial"/>
          <w:sz w:val="15"/>
          <w:szCs w:val="15"/>
          <w:color w:val="auto"/>
        </w:rPr>
        <w:t>(b)</w:t>
      </w:r>
      <w:r>
        <w:rPr>
          <w:sz w:val="20"/>
          <w:szCs w:val="20"/>
          <w:color w:val="auto"/>
        </w:rPr>
        <w:tab/>
      </w:r>
      <w:r>
        <w:rPr>
          <w:rFonts w:ascii="Arial" w:cs="Arial" w:eastAsia="Arial" w:hAnsi="Arial"/>
          <w:sz w:val="15"/>
          <w:szCs w:val="15"/>
          <w:color w:val="auto"/>
        </w:rPr>
        <w:t>Except as provided in ERISA Section 404(c), a Participant will be a "named fiduciary" of the Plan under ERISA</w:t>
      </w:r>
    </w:p>
    <w:p>
      <w:pPr>
        <w:ind w:right="340"/>
        <w:spacing w:after="0" w:line="239" w:lineRule="auto"/>
        <w:rPr>
          <w:sz w:val="20"/>
          <w:szCs w:val="20"/>
          <w:color w:val="auto"/>
        </w:rPr>
      </w:pPr>
      <w:r>
        <w:rPr>
          <w:rFonts w:ascii="Arial" w:cs="Arial" w:eastAsia="Arial" w:hAnsi="Arial"/>
          <w:sz w:val="15"/>
          <w:szCs w:val="15"/>
          <w:color w:val="auto"/>
        </w:rPr>
        <w:t>to the extent of the Participant's authority to direct the voting of Employer Stock allocated to his or her account. All voting rights of Company Stock held by the Trust fund, shall be exercised by the Trustees as directed by the Administrative Committee in accordance with the following provisions of this Section 5.3.</w:t>
      </w:r>
    </w:p>
    <w:p>
      <w:pPr>
        <w:spacing w:after="0" w:line="166" w:lineRule="exact"/>
        <w:rPr>
          <w:sz w:val="20"/>
          <w:szCs w:val="20"/>
          <w:color w:val="auto"/>
        </w:rPr>
      </w:pPr>
    </w:p>
    <w:p>
      <w:pPr>
        <w:ind w:right="640" w:firstLine="1634"/>
        <w:spacing w:after="0" w:line="239" w:lineRule="auto"/>
        <w:rPr>
          <w:sz w:val="20"/>
          <w:szCs w:val="20"/>
          <w:color w:val="auto"/>
        </w:rPr>
      </w:pPr>
      <w:r>
        <w:rPr>
          <w:rFonts w:ascii="Arial" w:cs="Arial" w:eastAsia="Arial" w:hAnsi="Arial"/>
          <w:sz w:val="15"/>
          <w:szCs w:val="15"/>
          <w:color w:val="auto"/>
        </w:rPr>
        <w:t>(c) All Company Stock held in the ESOP Suspense Subfund and any other Company Stock not yet allocated to Participants’ respective Accounts shall be voted by the Trustee in its absolute discretion.</w:t>
      </w:r>
    </w:p>
    <w:p>
      <w:pPr>
        <w:spacing w:after="0" w:line="166" w:lineRule="exact"/>
        <w:rPr>
          <w:sz w:val="20"/>
          <w:szCs w:val="20"/>
          <w:color w:val="auto"/>
        </w:rPr>
      </w:pPr>
    </w:p>
    <w:p>
      <w:pPr>
        <w:ind w:left="1700"/>
        <w:spacing w:after="0"/>
        <w:tabs>
          <w:tab w:leader="none" w:pos="356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4"/>
          <w:szCs w:val="14"/>
          <w:color w:val="auto"/>
        </w:rPr>
        <w:t>All Company Stock that has been allocated and credited to the respective Accounts of Participants shall be voted</w:t>
      </w:r>
    </w:p>
    <w:p>
      <w:pPr>
        <w:spacing w:after="0" w:line="5" w:lineRule="exact"/>
        <w:rPr>
          <w:sz w:val="20"/>
          <w:szCs w:val="20"/>
          <w:color w:val="auto"/>
        </w:rPr>
      </w:pPr>
    </w:p>
    <w:p>
      <w:pPr>
        <w:jc w:val="both"/>
        <w:ind w:right="220"/>
        <w:spacing w:after="0" w:line="233" w:lineRule="auto"/>
        <w:rPr>
          <w:sz w:val="20"/>
          <w:szCs w:val="20"/>
          <w:color w:val="auto"/>
        </w:rPr>
      </w:pPr>
      <w:r>
        <w:rPr>
          <w:rFonts w:ascii="Arial" w:cs="Arial" w:eastAsia="Arial" w:hAnsi="Arial"/>
          <w:sz w:val="15"/>
          <w:szCs w:val="15"/>
          <w:color w:val="auto"/>
        </w:rPr>
        <w:t>on all matters in accordance with the respective written directions of Participants as given to the Trustee pursuant to such reasonable rules and procedures as the Trustee may prescribe, unless the Trustee concludes that the directions are not proper or are contrary to the terms of the Plan, the Trustee’s fiduciary duties or ERISA. To the extent that a Participant fails to direct the Trustee as to the exercise of voting rights arising under any Company Stock credited to his or her Accounts or the Trustee concludes that the directions are not proper or are contrary to the terms of the Plan, the Trustee’s fiduciary duties or ERISA, such voting rights shall be exercised as directed by the Trustee, in its sole discretion. All Participants shall be notified by the Trustee or the Sponsor of each occasion for the exercise of such voting rights within a reasonable time before such rights are to be exercised. Such notification shall include all information distributed to stockholders by the Sponsor regarding the exercise of such rights.</w:t>
      </w:r>
    </w:p>
    <w:p>
      <w:pPr>
        <w:spacing w:after="0" w:line="169" w:lineRule="exact"/>
        <w:rPr>
          <w:sz w:val="20"/>
          <w:szCs w:val="20"/>
          <w:color w:val="auto"/>
        </w:rPr>
      </w:pPr>
    </w:p>
    <w:p>
      <w:pPr>
        <w:jc w:val="both"/>
        <w:ind w:right="320" w:firstLine="1693"/>
        <w:spacing w:after="0" w:line="234" w:lineRule="auto"/>
        <w:rPr>
          <w:sz w:val="20"/>
          <w:szCs w:val="20"/>
          <w:color w:val="auto"/>
        </w:rPr>
      </w:pPr>
      <w:r>
        <w:rPr>
          <w:rFonts w:ascii="Arial" w:cs="Arial" w:eastAsia="Arial" w:hAnsi="Arial"/>
          <w:sz w:val="15"/>
          <w:szCs w:val="15"/>
          <w:color w:val="auto"/>
        </w:rPr>
        <w:t>(e) The foregoing provisions of this Section 5.3 shall apply with the same force and effect to fractional shares (or fractional interests in shares) of Company Stock now or hereafter allocated to Participants' respective Accounts as to whole shares of Company Stock so allocated, provided, however, that the Trustees may, to the extent practicable, aggregate voting directions received from individual Participants with respect to fractional shares (or fractional interests in shares) of Company Stock allocated to their respective Accounts and treat them as a single combined voting instruction reflecting such aggregate voting directions.</w:t>
      </w:r>
    </w:p>
    <w:p>
      <w:pPr>
        <w:spacing w:after="0" w:line="168" w:lineRule="exact"/>
        <w:rPr>
          <w:sz w:val="20"/>
          <w:szCs w:val="20"/>
          <w:color w:val="auto"/>
        </w:rPr>
      </w:pPr>
    </w:p>
    <w:p>
      <w:pPr>
        <w:jc w:val="both"/>
        <w:ind w:right="280" w:firstLine="1701"/>
        <w:spacing w:after="0" w:line="236" w:lineRule="auto"/>
        <w:rPr>
          <w:sz w:val="20"/>
          <w:szCs w:val="20"/>
          <w:color w:val="auto"/>
        </w:rPr>
      </w:pPr>
      <w:r>
        <w:rPr>
          <w:rFonts w:ascii="Arial" w:cs="Arial" w:eastAsia="Arial" w:hAnsi="Arial"/>
          <w:sz w:val="15"/>
          <w:szCs w:val="15"/>
          <w:color w:val="auto"/>
        </w:rPr>
        <w:t>(f) With respect to Accounts of deceased Participants, Beneficiaries of such Participants shall be entitled to direct the voting of Company Stock allocated and credited to the accounts of such Participants under the rules provided in subsection (d), and the provisions of subsection (d) relating to notification of voting rights and failure to vote such rights shall apply to such Beneficiaries.</w:t>
      </w:r>
    </w:p>
    <w:p>
      <w:pPr>
        <w:sectPr>
          <w:pgSz w:w="11900" w:h="16838" w:orient="portrait"/>
          <w:cols w:equalWidth="0" w:num="1">
            <w:col w:w="11140"/>
          </w:cols>
          <w:pgMar w:left="440" w:top="327" w:right="319" w:bottom="1440" w:gutter="0" w:footer="0" w:header="0"/>
        </w:sectPr>
      </w:pPr>
    </w:p>
    <w:p>
      <w:pPr>
        <w:spacing w:after="0" w:line="167" w:lineRule="exact"/>
        <w:rPr>
          <w:sz w:val="20"/>
          <w:szCs w:val="20"/>
          <w:color w:val="auto"/>
        </w:rPr>
      </w:pPr>
    </w:p>
    <w:p>
      <w:pPr>
        <w:ind w:left="840"/>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Tender of Employer Stock. </w:t>
      </w:r>
      <w:r>
        <w:rPr>
          <w:rFonts w:ascii="Arial" w:cs="Arial" w:eastAsia="Arial" w:hAnsi="Arial"/>
          <w:sz w:val="14"/>
          <w:szCs w:val="14"/>
          <w:color w:val="auto"/>
        </w:rPr>
        <w:t>The provisions of this Section 5.4 will govern the tender of Employer Stock.</w:t>
      </w:r>
    </w:p>
    <w:p>
      <w:pPr>
        <w:spacing w:after="0" w:line="201" w:lineRule="exact"/>
        <w:rPr>
          <w:sz w:val="20"/>
          <w:szCs w:val="20"/>
          <w:color w:val="auto"/>
        </w:rPr>
      </w:pPr>
    </w:p>
    <w:p>
      <w:pPr>
        <w:sectPr>
          <w:pgSz w:w="11900" w:h="16838" w:orient="portrait"/>
          <w:cols w:equalWidth="0" w:num="2">
            <w:col w:w="1480" w:space="720"/>
            <w:col w:w="8940"/>
          </w:cols>
          <w:pgMar w:left="440" w:top="327" w:right="319" w:bottom="1440" w:gutter="0" w:footer="0" w:header="0"/>
          <w:type w:val="continuous"/>
        </w:sectPr>
      </w:pPr>
    </w:p>
    <w:p>
      <w:pPr>
        <w:ind w:left="1720"/>
        <w:spacing w:after="0"/>
        <w:tabs>
          <w:tab w:leader="none" w:pos="35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Upon commencement of a tender offer for Employer Stock held in the Trust, the Trustee will prepare a tender</w:t>
      </w:r>
    </w:p>
    <w:p>
      <w:pPr>
        <w:sectPr>
          <w:pgSz w:w="11900" w:h="16838" w:orient="portrait"/>
          <w:cols w:equalWidth="0" w:num="1">
            <w:col w:w="11140"/>
          </w:cols>
          <w:pgMar w:left="440" w:top="327" w:right="319" w:bottom="1440" w:gutter="0" w:footer="0" w:header="0"/>
          <w:type w:val="continuous"/>
        </w:sectPr>
      </w:pPr>
    </w:p>
    <w:p>
      <w:pPr>
        <w:spacing w:after="0" w:line="5" w:lineRule="exact"/>
        <w:rPr>
          <w:sz w:val="20"/>
          <w:szCs w:val="20"/>
          <w:color w:val="auto"/>
        </w:rPr>
      </w:pPr>
    </w:p>
    <w:p>
      <w:pPr>
        <w:jc w:val="both"/>
        <w:ind w:left="20" w:right="160"/>
        <w:spacing w:after="0" w:line="231" w:lineRule="auto"/>
        <w:rPr>
          <w:sz w:val="20"/>
          <w:szCs w:val="20"/>
          <w:color w:val="auto"/>
        </w:rPr>
      </w:pPr>
      <w:r>
        <w:rPr>
          <w:rFonts w:ascii="Arial" w:cs="Arial" w:eastAsia="Arial" w:hAnsi="Arial"/>
          <w:sz w:val="15"/>
          <w:szCs w:val="15"/>
          <w:color w:val="auto"/>
        </w:rPr>
        <w:t>instruction form and will cause a copy of all tender materials to be sent to each plan Participant with an interest in such Employer Stock together with the tender instruction form to be returned to the Trustee or its designee. The tender instruction form will show the number of full and fractional shares of Employer Stock credited to the Participant's accounts (both vested and unvested).</w:t>
      </w:r>
    </w:p>
    <w:p>
      <w:pPr>
        <w:spacing w:after="0" w:line="167" w:lineRule="exact"/>
        <w:rPr>
          <w:sz w:val="20"/>
          <w:szCs w:val="20"/>
          <w:color w:val="auto"/>
        </w:rPr>
      </w:pPr>
    </w:p>
    <w:p>
      <w:pPr>
        <w:jc w:val="both"/>
        <w:ind w:left="20" w:right="200" w:firstLine="1706"/>
        <w:spacing w:after="0" w:line="235" w:lineRule="auto"/>
        <w:rPr>
          <w:sz w:val="20"/>
          <w:szCs w:val="20"/>
          <w:color w:val="auto"/>
        </w:rPr>
      </w:pPr>
      <w:r>
        <w:rPr>
          <w:rFonts w:ascii="Arial" w:cs="Arial" w:eastAsia="Arial" w:hAnsi="Arial"/>
          <w:sz w:val="15"/>
          <w:szCs w:val="15"/>
          <w:color w:val="auto"/>
        </w:rPr>
        <w:t>(b) Each Participant will have the right to direct the Trustee to tender or not to tender some or all of the shares of Employer Stock credited to the Participant's accounts (both vested and unvested). Directions from a Participant to the Trustee concerning the tender of Employer Stock will be communicated in writing, or such other means acceptable to the Trustee. These directions will be held in confidence by the Trustee and, except as required by applicable law, will not be divulged to the Company or any Affiliate, or to any officer or employee of the</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314960</wp:posOffset>
            </wp:positionV>
            <wp:extent cx="7171055" cy="13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8">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40"/>
          </w:cols>
          <w:pgMar w:left="440" w:top="327" w:right="319" w:bottom="1440" w:gutter="0" w:footer="0" w:header="0"/>
          <w:type w:val="continuous"/>
        </w:sectPr>
      </w:pPr>
    </w:p>
    <w:bookmarkStart w:id="223" w:name="page224"/>
    <w:bookmarkEnd w:id="223"/>
    <w:p>
      <w:pPr>
        <w:jc w:val="both"/>
        <w:ind w:left="20" w:right="200"/>
        <w:spacing w:after="0" w:line="235" w:lineRule="auto"/>
        <w:rPr>
          <w:sz w:val="20"/>
          <w:szCs w:val="20"/>
          <w:color w:val="auto"/>
        </w:rPr>
      </w:pPr>
      <w:r>
        <w:rPr>
          <w:rFonts w:ascii="Arial" w:cs="Arial" w:eastAsia="Arial" w:hAnsi="Arial"/>
          <w:sz w:val="15"/>
          <w:szCs w:val="15"/>
          <w:color w:val="auto"/>
        </w:rPr>
        <w:t>Company or any Affiliate, or to any other person. Except as otherwise required by applicable law, the Trustee will tender or not tender shares of Employer Stock credited to a Participant's account as directed by the Participant, and the Trustee will not tender shares of Employer Stock credited to a Participant's accounts for which it has received no directions from the Participant. Except as provided in ERISA Section 404(c), a Participant will be a "named fiduciary" of the Plan under ERISA to the extent of the Participant's authority to direct the tender of Employer Stock allocated to his or her account.</w:t>
      </w:r>
    </w:p>
    <w:p>
      <w:pPr>
        <w:spacing w:after="0" w:line="167" w:lineRule="exact"/>
        <w:rPr>
          <w:sz w:val="20"/>
          <w:szCs w:val="20"/>
          <w:color w:val="auto"/>
        </w:rPr>
      </w:pPr>
    </w:p>
    <w:p>
      <w:pPr>
        <w:jc w:val="both"/>
        <w:ind w:left="20" w:right="200" w:firstLine="1705"/>
        <w:spacing w:after="0" w:line="233" w:lineRule="auto"/>
        <w:rPr>
          <w:sz w:val="20"/>
          <w:szCs w:val="20"/>
          <w:color w:val="auto"/>
        </w:rPr>
      </w:pPr>
      <w:r>
        <w:rPr>
          <w:rFonts w:ascii="Arial" w:cs="Arial" w:eastAsia="Arial" w:hAnsi="Arial"/>
          <w:sz w:val="15"/>
          <w:szCs w:val="15"/>
          <w:color w:val="auto"/>
        </w:rPr>
        <w:t>(c) A Participant who has directed the Trustee to tender some or all of the shares of Employer Stock credited to the Participant's accounts may, at any time prior to the tender offer withdrawal date, direct the Trustee to withdraw some or all of the tendered shares, and the Trustee will withdraw the directed number of shares from the tender offer prior to the tender offer withdrawal deadline. Prior to the withdrawal deadline, if any shares of Employer Stock not credited to Participants' accounts have been tendered, the Trustee will re-determine the number of shares of Employer Stock that would be tendered if the date of the foregoing withdrawal were the date of determination, and withdraw from the tender offer the number of shares of Employer Stock not credited to Participants' accounts necessary to reduce the amount of tendered Employer Stock not credited to Participants' accounts to the amount so re-determined. A Participant will not be limited as to the number of directions to tender or withdraw that the Participant may give to the Trustee.</w:t>
      </w:r>
    </w:p>
    <w:p>
      <w:pPr>
        <w:spacing w:after="0" w:line="169" w:lineRule="exact"/>
        <w:rPr>
          <w:sz w:val="20"/>
          <w:szCs w:val="20"/>
          <w:color w:val="auto"/>
        </w:rPr>
      </w:pPr>
    </w:p>
    <w:p>
      <w:pPr>
        <w:jc w:val="both"/>
        <w:ind w:left="40" w:right="220" w:firstLine="1696"/>
        <w:spacing w:after="0" w:line="234" w:lineRule="auto"/>
        <w:rPr>
          <w:sz w:val="20"/>
          <w:szCs w:val="20"/>
          <w:color w:val="auto"/>
        </w:rPr>
      </w:pPr>
      <w:r>
        <w:rPr>
          <w:rFonts w:ascii="Arial" w:cs="Arial" w:eastAsia="Arial" w:hAnsi="Arial"/>
          <w:sz w:val="15"/>
          <w:szCs w:val="15"/>
          <w:color w:val="auto"/>
        </w:rPr>
        <w:t>(d) A direction by a Participant to the Trustee to tender shares of Employer Stock credited to the Participant's accounts will not be considered a written election under the Plan by the Participant to withdraw, or have distributed, any or all of his or her withdrawable shares. The Trustee will advise the Administrative Committee to credit to each account of the Participant from which the tendered shares were taken, the proceeds received by the Trustee in exchange for the shares of Employer Stock tendered from that account. Pending receipt of directions from the Participant as to the investment of the tender proceeds, the Trustee will cause the proceeds to be invested in an interest income fund established under the Plan.</w:t>
      </w:r>
    </w:p>
    <w:p>
      <w:pPr>
        <w:spacing w:after="0" w:line="168" w:lineRule="exact"/>
        <w:rPr>
          <w:sz w:val="20"/>
          <w:szCs w:val="20"/>
          <w:color w:val="auto"/>
        </w:rPr>
      </w:pPr>
    </w:p>
    <w:p>
      <w:pPr>
        <w:jc w:val="both"/>
        <w:ind w:left="40" w:right="300" w:firstLine="1687"/>
        <w:spacing w:after="0" w:line="235" w:lineRule="auto"/>
        <w:rPr>
          <w:sz w:val="20"/>
          <w:szCs w:val="20"/>
          <w:color w:val="auto"/>
        </w:rPr>
      </w:pPr>
      <w:r>
        <w:rPr>
          <w:rFonts w:ascii="Arial" w:cs="Arial" w:eastAsia="Arial" w:hAnsi="Arial"/>
          <w:sz w:val="15"/>
          <w:szCs w:val="15"/>
          <w:color w:val="auto"/>
        </w:rPr>
        <w:t>(e) The Trustee will tender that number of shares of Employer Stock not credited to Participants' accounts which is determined by multiplying the total number of shares of Employer Stock not credited to Participants' accounts by a fraction of which the numerator is the number of shares of Employer Stock credited to Participants' accounts for which the Trustee has received instructions from Participants to tender (and such instructions have not been withdrawn as of the date of determination) and the denominator is the total number of shares of Employer Stock credited to Participants' accounts.</w:t>
      </w:r>
    </w:p>
    <w:p>
      <w:pPr>
        <w:sectPr>
          <w:pgSz w:w="11900" w:h="16838" w:orient="portrait"/>
          <w:cols w:equalWidth="0" w:num="1">
            <w:col w:w="11140"/>
          </w:cols>
          <w:pgMar w:left="440" w:top="328" w:right="319" w:bottom="1440" w:gutter="0" w:footer="0" w:header="0"/>
        </w:sectPr>
      </w:pPr>
    </w:p>
    <w:p>
      <w:pPr>
        <w:spacing w:after="0" w:line="1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w:t>
      </w:r>
    </w:p>
    <w:p>
      <w:pPr>
        <w:spacing w:after="0" w:line="194" w:lineRule="exact"/>
        <w:rPr>
          <w:sz w:val="20"/>
          <w:szCs w:val="20"/>
          <w:color w:val="auto"/>
        </w:rPr>
      </w:pPr>
    </w:p>
    <w:p>
      <w:pPr>
        <w:sectPr>
          <w:pgSz w:w="11900" w:h="16838" w:orient="portrait"/>
          <w:cols w:equalWidth="0" w:num="2">
            <w:col w:w="1120" w:space="660"/>
            <w:col w:w="9360"/>
          </w:cols>
          <w:pgMar w:left="440" w:top="328" w:right="319" w:bottom="1440" w:gutter="0" w:footer="0" w:header="0"/>
          <w:type w:val="continuous"/>
        </w:sectPr>
      </w:pPr>
    </w:p>
    <w:p>
      <w:pPr>
        <w:ind w:left="1680"/>
        <w:spacing w:after="0"/>
        <w:rPr>
          <w:sz w:val="20"/>
          <w:szCs w:val="20"/>
          <w:color w:val="auto"/>
        </w:rPr>
      </w:pPr>
      <w:r>
        <w:rPr>
          <w:rFonts w:ascii="Arial" w:cs="Arial" w:eastAsia="Arial" w:hAnsi="Arial"/>
          <w:sz w:val="15"/>
          <w:szCs w:val="15"/>
          <w:color w:val="auto"/>
        </w:rPr>
        <w:t>(a)</w:t>
      </w:r>
    </w:p>
    <w:p>
      <w:pPr>
        <w:ind w:left="40"/>
        <w:spacing w:after="0"/>
        <w:rPr>
          <w:sz w:val="20"/>
          <w:szCs w:val="20"/>
          <w:color w:val="auto"/>
        </w:rPr>
      </w:pPr>
      <w:r>
        <w:rPr>
          <w:rFonts w:ascii="Arial" w:cs="Arial" w:eastAsia="Arial" w:hAnsi="Arial"/>
          <w:sz w:val="14"/>
          <w:szCs w:val="14"/>
          <w:color w:val="auto"/>
        </w:rPr>
        <w:t>the Trust Fund as of each Valuation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The Trustee will determine, and report to the Company, the fair market value of the assets and liabilities of</w:t>
      </w:r>
    </w:p>
    <w:p>
      <w:pPr>
        <w:spacing w:after="0" w:line="366" w:lineRule="exact"/>
        <w:rPr>
          <w:sz w:val="20"/>
          <w:szCs w:val="20"/>
          <w:color w:val="auto"/>
        </w:rPr>
      </w:pPr>
    </w:p>
    <w:p>
      <w:pPr>
        <w:sectPr>
          <w:pgSz w:w="11900" w:h="16838" w:orient="portrait"/>
          <w:cols w:equalWidth="0" w:num="2">
            <w:col w:w="2820" w:space="720"/>
            <w:col w:w="7600"/>
          </w:cols>
          <w:pgMar w:left="440" w:top="328" w:right="319" w:bottom="1440" w:gutter="0" w:footer="0" w:header="0"/>
          <w:type w:val="continuous"/>
        </w:sectPr>
      </w:pPr>
    </w:p>
    <w:p>
      <w:pPr>
        <w:spacing w:after="0" w:line="27" w:lineRule="exact"/>
        <w:rPr>
          <w:sz w:val="20"/>
          <w:szCs w:val="20"/>
          <w:color w:val="auto"/>
        </w:rPr>
      </w:pPr>
    </w:p>
    <w:p>
      <w:pPr>
        <w:ind w:left="1760"/>
        <w:spacing w:after="0"/>
        <w:tabs>
          <w:tab w:leader="none" w:pos="3620" w:val="left"/>
        </w:tabs>
        <w:rPr>
          <w:sz w:val="20"/>
          <w:szCs w:val="20"/>
          <w:color w:val="auto"/>
        </w:rPr>
      </w:pPr>
      <w:r>
        <w:rPr>
          <w:rFonts w:ascii="Arial" w:cs="Arial" w:eastAsia="Arial" w:hAnsi="Arial"/>
          <w:sz w:val="14"/>
          <w:szCs w:val="14"/>
          <w:color w:val="auto"/>
        </w:rPr>
        <w:t>(b)</w:t>
      </w:r>
      <w:r>
        <w:rPr>
          <w:sz w:val="20"/>
          <w:szCs w:val="20"/>
          <w:color w:val="auto"/>
        </w:rPr>
        <w:tab/>
      </w:r>
      <w:r>
        <w:rPr>
          <w:rFonts w:ascii="Arial" w:cs="Arial" w:eastAsia="Arial" w:hAnsi="Arial"/>
          <w:sz w:val="14"/>
          <w:szCs w:val="14"/>
          <w:color w:val="auto"/>
        </w:rPr>
        <w:t>In valuing the assets of the Trust Fund, the Trustee may rely on the determination of an independent appraiser</w:t>
      </w:r>
    </w:p>
    <w:p>
      <w:pPr>
        <w:sectPr>
          <w:pgSz w:w="11900" w:h="16838" w:orient="portrait"/>
          <w:cols w:equalWidth="0" w:num="1">
            <w:col w:w="11140"/>
          </w:cols>
          <w:pgMar w:left="440" w:top="328" w:right="319" w:bottom="1440" w:gutter="0" w:footer="0" w:header="0"/>
          <w:type w:val="continuous"/>
        </w:sectPr>
      </w:pPr>
    </w:p>
    <w:p>
      <w:pPr>
        <w:spacing w:after="0" w:line="17" w:lineRule="exact"/>
        <w:rPr>
          <w:sz w:val="20"/>
          <w:szCs w:val="20"/>
          <w:color w:val="auto"/>
        </w:rPr>
      </w:pPr>
    </w:p>
    <w:p>
      <w:pPr>
        <w:jc w:val="both"/>
        <w:ind w:right="200"/>
        <w:spacing w:after="0" w:line="231" w:lineRule="auto"/>
        <w:rPr>
          <w:sz w:val="20"/>
          <w:szCs w:val="20"/>
          <w:color w:val="auto"/>
        </w:rPr>
      </w:pPr>
      <w:r>
        <w:rPr>
          <w:rFonts w:ascii="Arial" w:cs="Arial" w:eastAsia="Arial" w:hAnsi="Arial"/>
          <w:sz w:val="15"/>
          <w:szCs w:val="15"/>
          <w:color w:val="auto"/>
        </w:rPr>
        <w:t>and will not be liable for an inaccurate valuation based in good faith on such information. Notwithstanding the foregoing, the fair market value of shares of Employer Stock will be (i) if the Employer Stock is readily tradable on an established securities market, the fair market value of the Employer Stock on such market on the Valuation Date or (ii) if the Employer Stock is not readily tradable on an established securities market, the fair market value determined in good faith by the Trustee in accordance with the requirements of ERISA.</w:t>
      </w:r>
    </w:p>
    <w:p>
      <w:pPr>
        <w:sectPr>
          <w:pgSz w:w="11900" w:h="16838" w:orient="portrait"/>
          <w:cols w:equalWidth="0" w:num="1">
            <w:col w:w="11140"/>
          </w:cols>
          <w:pgMar w:left="440" w:top="328" w:right="319" w:bottom="1440" w:gutter="0" w:footer="0" w:header="0"/>
          <w:type w:val="continuous"/>
        </w:sectPr>
      </w:pPr>
    </w:p>
    <w:p>
      <w:pPr>
        <w:spacing w:after="0" w:line="160" w:lineRule="exact"/>
        <w:rPr>
          <w:sz w:val="20"/>
          <w:szCs w:val="20"/>
          <w:color w:val="auto"/>
        </w:rPr>
      </w:pPr>
    </w:p>
    <w:p>
      <w:pPr>
        <w:ind w:left="1640"/>
        <w:spacing w:after="0"/>
        <w:rPr>
          <w:sz w:val="20"/>
          <w:szCs w:val="20"/>
          <w:color w:val="auto"/>
        </w:rPr>
      </w:pPr>
      <w:r>
        <w:rPr>
          <w:rFonts w:ascii="Arial" w:cs="Arial" w:eastAsia="Arial" w:hAnsi="Arial"/>
          <w:sz w:val="15"/>
          <w:szCs w:val="15"/>
          <w:color w:val="auto"/>
        </w:rPr>
        <w:t>(c)</w:t>
      </w:r>
    </w:p>
    <w:p>
      <w:pPr>
        <w:ind w:left="20"/>
        <w:spacing w:after="0"/>
        <w:rPr>
          <w:sz w:val="20"/>
          <w:szCs w:val="20"/>
          <w:color w:val="auto"/>
        </w:rPr>
      </w:pPr>
      <w:r>
        <w:rPr>
          <w:rFonts w:ascii="Arial" w:cs="Arial" w:eastAsia="Arial" w:hAnsi="Arial"/>
          <w:sz w:val="14"/>
          <w:szCs w:val="14"/>
          <w:color w:val="auto"/>
        </w:rPr>
        <w:t>extent not paid by the Company.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Reasonable costs incurred in valuing the Trust Fund will be a charge against the Trust Fund, to the</w:t>
      </w:r>
    </w:p>
    <w:p>
      <w:pPr>
        <w:spacing w:after="0" w:line="319" w:lineRule="exact"/>
        <w:rPr>
          <w:sz w:val="20"/>
          <w:szCs w:val="20"/>
          <w:color w:val="auto"/>
        </w:rPr>
      </w:pPr>
    </w:p>
    <w:p>
      <w:pPr>
        <w:sectPr>
          <w:pgSz w:w="11900" w:h="16838" w:orient="portrait"/>
          <w:cols w:equalWidth="0" w:num="2">
            <w:col w:w="2780" w:space="720"/>
            <w:col w:w="7640"/>
          </w:cols>
          <w:pgMar w:left="440" w:top="328" w:right="319"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Records. </w:t>
      </w:r>
      <w:r>
        <w:rPr>
          <w:rFonts w:ascii="Arial" w:cs="Arial" w:eastAsia="Arial" w:hAnsi="Arial"/>
          <w:sz w:val="14"/>
          <w:szCs w:val="14"/>
          <w:color w:val="auto"/>
        </w:rPr>
        <w:t>The Trustee will keep or have access to complete accounts of all</w:t>
      </w:r>
    </w:p>
    <w:p>
      <w:pPr>
        <w:spacing w:after="0" w:line="186" w:lineRule="exact"/>
        <w:rPr>
          <w:sz w:val="20"/>
          <w:szCs w:val="20"/>
          <w:color w:val="auto"/>
        </w:rPr>
      </w:pPr>
    </w:p>
    <w:p>
      <w:pPr>
        <w:sectPr>
          <w:pgSz w:w="11900" w:h="16838" w:orient="portrait"/>
          <w:cols w:equalWidth="0" w:num="2">
            <w:col w:w="1500" w:space="720"/>
            <w:col w:w="8920"/>
          </w:cols>
          <w:pgMar w:left="440" w:top="328" w:right="319" w:bottom="1440" w:gutter="0" w:footer="0" w:header="0"/>
          <w:type w:val="continuous"/>
        </w:sect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329565</wp:posOffset>
            </wp:positionV>
            <wp:extent cx="7171055" cy="1397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40"/>
          </w:cols>
          <w:pgMar w:left="440" w:top="328" w:right="319" w:bottom="1440" w:gutter="0" w:footer="0" w:header="0"/>
          <w:type w:val="continuous"/>
        </w:sectPr>
      </w:pPr>
    </w:p>
    <w:bookmarkStart w:id="224" w:name="page225"/>
    <w:bookmarkEnd w:id="224"/>
    <w:p>
      <w:pPr>
        <w:jc w:val="both"/>
        <w:ind w:left="160" w:right="200"/>
        <w:spacing w:after="0" w:line="235" w:lineRule="auto"/>
        <w:rPr>
          <w:sz w:val="20"/>
          <w:szCs w:val="20"/>
          <w:color w:val="auto"/>
        </w:rPr>
      </w:pPr>
      <w:r>
        <w:rPr>
          <w:rFonts w:ascii="Arial" w:cs="Arial" w:eastAsia="Arial" w:hAnsi="Arial"/>
          <w:sz w:val="15"/>
          <w:szCs w:val="15"/>
          <w:color w:val="auto"/>
        </w:rPr>
        <w:t>investments, receipts and disbursements, and other transactions with respect to the Trust Fund, and gains and losses resulting from same. Such accounts will be sufficiently detailed to meet the Trustee's duties of reporting and disclosure required under applicable law. All accounts, books, contracts and records relating to the Trust Fund win be open to inspection and audit at all reasonable times by any person designated by the Company. The Trustee shall not be required to perform ministerial acts other than those set forth in this Agreement.</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196"/>
        </w:trPr>
        <w:tc>
          <w:tcPr>
            <w:tcW w:w="520" w:type="dxa"/>
            <w:vAlign w:val="bottom"/>
          </w:tcPr>
          <w:p>
            <w:pPr>
              <w:jc w:val="right"/>
              <w:ind w:right="226"/>
              <w:spacing w:after="0"/>
              <w:rPr>
                <w:sz w:val="20"/>
                <w:szCs w:val="20"/>
                <w:color w:val="auto"/>
              </w:rPr>
            </w:pPr>
            <w:r>
              <w:rPr>
                <w:rFonts w:ascii="Arial" w:cs="Arial" w:eastAsia="Arial" w:hAnsi="Arial"/>
                <w:sz w:val="15"/>
                <w:szCs w:val="15"/>
                <w:color w:val="auto"/>
                <w:w w:val="95"/>
              </w:rPr>
              <w:t>5.7</w:t>
            </w:r>
          </w:p>
        </w:tc>
        <w:tc>
          <w:tcPr>
            <w:tcW w:w="1560" w:type="dxa"/>
            <w:vAlign w:val="bottom"/>
          </w:tcPr>
          <w:p>
            <w:pPr>
              <w:ind w:left="340"/>
              <w:spacing w:after="0"/>
              <w:rPr>
                <w:sz w:val="20"/>
                <w:szCs w:val="20"/>
                <w:color w:val="auto"/>
              </w:rPr>
            </w:pPr>
            <w:r>
              <w:rPr>
                <w:rFonts w:ascii="Arial" w:cs="Arial" w:eastAsia="Arial" w:hAnsi="Arial"/>
                <w:sz w:val="15"/>
                <w:szCs w:val="15"/>
                <w:b w:val="1"/>
                <w:bCs w:val="1"/>
                <w:color w:val="auto"/>
              </w:rPr>
              <w:t>Reports.</w:t>
            </w:r>
          </w:p>
        </w:tc>
        <w:tc>
          <w:tcPr>
            <w:tcW w:w="7960" w:type="dxa"/>
            <w:vAlign w:val="bottom"/>
          </w:tcPr>
          <w:p>
            <w:pPr>
              <w:spacing w:after="0"/>
              <w:rPr>
                <w:sz w:val="17"/>
                <w:szCs w:val="17"/>
                <w:color w:val="auto"/>
              </w:rPr>
            </w:pPr>
          </w:p>
        </w:tc>
      </w:tr>
      <w:tr>
        <w:trPr>
          <w:trHeight w:val="332"/>
        </w:trPr>
        <w:tc>
          <w:tcPr>
            <w:tcW w:w="520" w:type="dxa"/>
            <w:vAlign w:val="bottom"/>
          </w:tcPr>
          <w:p>
            <w:pPr>
              <w:spacing w:after="0"/>
              <w:rPr>
                <w:sz w:val="24"/>
                <w:szCs w:val="24"/>
                <w:color w:val="auto"/>
              </w:rPr>
            </w:pPr>
          </w:p>
        </w:tc>
        <w:tc>
          <w:tcPr>
            <w:tcW w:w="1560" w:type="dxa"/>
            <w:vAlign w:val="bottom"/>
          </w:tcPr>
          <w:p>
            <w:pPr>
              <w:ind w:left="300"/>
              <w:spacing w:after="0"/>
              <w:rPr>
                <w:sz w:val="20"/>
                <w:szCs w:val="20"/>
                <w:color w:val="auto"/>
              </w:rPr>
            </w:pPr>
            <w:r>
              <w:rPr>
                <w:rFonts w:ascii="Arial" w:cs="Arial" w:eastAsia="Arial" w:hAnsi="Arial"/>
                <w:sz w:val="15"/>
                <w:szCs w:val="15"/>
                <w:color w:val="auto"/>
              </w:rPr>
              <w:t>(a)</w:t>
            </w:r>
          </w:p>
        </w:tc>
        <w:tc>
          <w:tcPr>
            <w:tcW w:w="7960" w:type="dxa"/>
            <w:vAlign w:val="bottom"/>
          </w:tcPr>
          <w:p>
            <w:pPr>
              <w:ind w:left="600"/>
              <w:spacing w:after="0"/>
              <w:rPr>
                <w:sz w:val="20"/>
                <w:szCs w:val="20"/>
                <w:color w:val="auto"/>
              </w:rPr>
            </w:pPr>
            <w:r>
              <w:rPr>
                <w:rFonts w:ascii="Arial" w:cs="Arial" w:eastAsia="Arial" w:hAnsi="Arial"/>
                <w:sz w:val="15"/>
                <w:szCs w:val="15"/>
                <w:color w:val="auto"/>
                <w:w w:val="97"/>
              </w:rPr>
              <w:t>On a quarterly basis, and within 90 days following the Trustee's resignation or removal under Article 5 of this Trust</w:t>
            </w:r>
          </w:p>
        </w:tc>
      </w:tr>
    </w:tbl>
    <w:p>
      <w:pPr>
        <w:jc w:val="both"/>
        <w:ind w:left="160" w:right="220"/>
        <w:spacing w:after="0" w:line="233" w:lineRule="auto"/>
        <w:rPr>
          <w:sz w:val="20"/>
          <w:szCs w:val="20"/>
          <w:color w:val="auto"/>
        </w:rPr>
      </w:pPr>
      <w:r>
        <w:rPr>
          <w:rFonts w:ascii="Arial" w:cs="Arial" w:eastAsia="Arial" w:hAnsi="Arial"/>
          <w:sz w:val="15"/>
          <w:szCs w:val="15"/>
          <w:color w:val="auto"/>
        </w:rPr>
        <w:t>Agreement, and at such other times as agreed to by the Trustee and the Company, the Trustee will furnish the Company with a written report setting forth the transactions effected by the Trustee during the period since it last furnished such a report and any gains or losses resulting from same, any payments or disbursements made by the Trustee during such period, the assets of the Trust Fund as of the last day of such period (at cost and at fair market value as of the most recent Valuation Date), and any other information about the Trust Fund that the Company may reasonably request. The Trustee will certify the accuracy of the report if such certification is requested by the Company or is required by applicable law. For purposes of this Section 5.7, the Trustee may rely on a determination, if any, by an independent appraiser of the fair market value of any Trust assets.</w:t>
      </w:r>
    </w:p>
    <w:p>
      <w:pPr>
        <w:spacing w:after="0" w:line="170" w:lineRule="exact"/>
        <w:rPr>
          <w:sz w:val="20"/>
          <w:szCs w:val="20"/>
          <w:color w:val="auto"/>
        </w:rPr>
      </w:pPr>
    </w:p>
    <w:p>
      <w:pPr>
        <w:jc w:val="both"/>
        <w:ind w:left="160" w:right="320" w:firstLine="1664"/>
        <w:spacing w:after="0" w:line="236" w:lineRule="auto"/>
        <w:rPr>
          <w:sz w:val="20"/>
          <w:szCs w:val="20"/>
          <w:color w:val="auto"/>
        </w:rPr>
      </w:pPr>
      <w:r>
        <w:rPr>
          <w:rFonts w:ascii="Arial" w:cs="Arial" w:eastAsia="Arial" w:hAnsi="Arial"/>
          <w:sz w:val="15"/>
          <w:szCs w:val="15"/>
          <w:color w:val="auto"/>
        </w:rPr>
        <w:t>(b) The Company may approve any report furnished by the Trustee under Section 5.7(a) by written statement of approval furnished to the Trustee or will be deemed to have approved of any such report by failure to file a written objection to the report with the Trustee within 90 days of the date on which the Administrative Committee receives such report.</w:t>
      </w:r>
    </w:p>
    <w:p>
      <w:pPr>
        <w:spacing w:after="0" w:line="167" w:lineRule="exact"/>
        <w:rPr>
          <w:sz w:val="20"/>
          <w:szCs w:val="20"/>
          <w:color w:val="auto"/>
        </w:rPr>
      </w:pPr>
    </w:p>
    <w:p>
      <w:pPr>
        <w:ind w:left="160" w:right="540" w:firstLine="1680"/>
        <w:spacing w:after="0" w:line="239" w:lineRule="auto"/>
        <w:rPr>
          <w:sz w:val="20"/>
          <w:szCs w:val="20"/>
          <w:color w:val="auto"/>
        </w:rPr>
      </w:pPr>
      <w:r>
        <w:rPr>
          <w:rFonts w:ascii="Arial" w:cs="Arial" w:eastAsia="Arial" w:hAnsi="Arial"/>
          <w:sz w:val="15"/>
          <w:szCs w:val="15"/>
          <w:color w:val="auto"/>
        </w:rPr>
        <w:t>(c) Notwithstanding anything in this Section 5.7 to the contrary, nothing in this Section 5.7 will be construed to limit Trustee's liability to any party for the Trustee's own negligence or willful misconduct.</w:t>
      </w:r>
    </w:p>
    <w:p>
      <w:pPr>
        <w:spacing w:after="0" w:line="148" w:lineRule="exact"/>
        <w:rPr>
          <w:sz w:val="20"/>
          <w:szCs w:val="20"/>
          <w:color w:val="auto"/>
        </w:rPr>
      </w:pPr>
    </w:p>
    <w:p>
      <w:pPr>
        <w:ind w:right="540" w:firstLine="918"/>
        <w:spacing w:after="0" w:line="263"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b w:val="1"/>
          <w:bCs w:val="1"/>
          <w:color w:val="auto"/>
        </w:rPr>
        <w:t>Participant Distribution Procedures.</w:t>
      </w:r>
      <w:r>
        <w:rPr>
          <w:rFonts w:ascii="Arial" w:cs="Arial" w:eastAsia="Arial" w:hAnsi="Arial"/>
          <w:sz w:val="15"/>
          <w:szCs w:val="15"/>
          <w:color w:val="auto"/>
        </w:rPr>
        <w:t xml:space="preserve"> The Trustee shall process participant distributions in accordance with the procedures as set forth in </w:t>
      </w:r>
      <w:r>
        <w:rPr>
          <w:rFonts w:ascii="Arial" w:cs="Arial" w:eastAsia="Arial" w:hAnsi="Arial"/>
          <w:sz w:val="15"/>
          <w:szCs w:val="15"/>
          <w:b w:val="1"/>
          <w:bCs w:val="1"/>
          <w:color w:val="auto"/>
        </w:rPr>
        <w:t>Exhibit A</w:t>
      </w:r>
      <w:r>
        <w:rPr>
          <w:rFonts w:ascii="Arial" w:cs="Arial" w:eastAsia="Arial" w:hAnsi="Arial"/>
          <w:sz w:val="15"/>
          <w:szCs w:val="15"/>
          <w:color w:val="auto"/>
        </w:rPr>
        <w:t>, attached hereto.</w:t>
      </w:r>
    </w:p>
    <w:p>
      <w:pPr>
        <w:sectPr>
          <w:pgSz w:w="11900" w:h="16838" w:orient="portrait"/>
          <w:cols w:equalWidth="0" w:num="1">
            <w:col w:w="11280"/>
          </w:cols>
          <w:pgMar w:left="300" w:top="32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2860"/>
        <w:spacing w:after="0"/>
        <w:rPr>
          <w:sz w:val="20"/>
          <w:szCs w:val="20"/>
          <w:color w:val="auto"/>
        </w:rPr>
      </w:pPr>
      <w:r>
        <w:rPr>
          <w:rFonts w:ascii="Arial" w:cs="Arial" w:eastAsia="Arial" w:hAnsi="Arial"/>
          <w:sz w:val="15"/>
          <w:szCs w:val="15"/>
          <w:b w:val="1"/>
          <w:bCs w:val="1"/>
          <w:color w:val="auto"/>
        </w:rPr>
        <w:t>ARTICLE 6</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COMPENSATION, RIGHTS AND INDEMNITIES OF THE TRUSTEE</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Compensation and Reimbursement.</w:t>
      </w:r>
    </w:p>
    <w:p>
      <w:pPr>
        <w:spacing w:after="0" w:line="206" w:lineRule="exact"/>
        <w:rPr>
          <w:sz w:val="20"/>
          <w:szCs w:val="20"/>
          <w:color w:val="auto"/>
        </w:rPr>
      </w:pPr>
    </w:p>
    <w:p>
      <w:pPr>
        <w:sectPr>
          <w:pgSz w:w="11900" w:h="16838" w:orient="portrait"/>
          <w:cols w:equalWidth="0" w:num="2">
            <w:col w:w="1680" w:space="720"/>
            <w:col w:w="8880"/>
          </w:cols>
          <w:pgMar w:left="300" w:top="328" w:right="319" w:bottom="1440" w:gutter="0" w:footer="0" w:header="0"/>
          <w:type w:val="continuous"/>
        </w:sectPr>
      </w:pPr>
    </w:p>
    <w:p>
      <w:pPr>
        <w:spacing w:after="0" w:line="27" w:lineRule="exact"/>
        <w:rPr>
          <w:sz w:val="20"/>
          <w:szCs w:val="20"/>
          <w:color w:val="auto"/>
        </w:rPr>
      </w:pPr>
    </w:p>
    <w:p>
      <w:pPr>
        <w:ind w:left="1900"/>
        <w:spacing w:after="0"/>
        <w:tabs>
          <w:tab w:leader="none" w:pos="376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The Trustee will receive for its services reasonable compensation as agreed upon in writing from time to time</w:t>
      </w:r>
    </w:p>
    <w:p>
      <w:pPr>
        <w:sectPr>
          <w:pgSz w:w="11900" w:h="16838" w:orient="portrait"/>
          <w:cols w:equalWidth="0" w:num="1">
            <w:col w:w="11280"/>
          </w:cols>
          <w:pgMar w:left="300" w:top="328" w:right="319" w:bottom="1440" w:gutter="0" w:footer="0" w:header="0"/>
          <w:type w:val="continuous"/>
        </w:sectPr>
      </w:pPr>
    </w:p>
    <w:p>
      <w:pPr>
        <w:spacing w:after="0" w:line="5" w:lineRule="exact"/>
        <w:rPr>
          <w:sz w:val="20"/>
          <w:szCs w:val="20"/>
          <w:color w:val="auto"/>
        </w:rPr>
      </w:pPr>
    </w:p>
    <w:p>
      <w:pPr>
        <w:jc w:val="both"/>
        <w:ind w:left="140" w:right="260"/>
        <w:spacing w:after="0" w:line="231" w:lineRule="auto"/>
        <w:rPr>
          <w:sz w:val="20"/>
          <w:szCs w:val="20"/>
          <w:color w:val="auto"/>
        </w:rPr>
      </w:pPr>
      <w:r>
        <w:rPr>
          <w:rFonts w:ascii="Arial" w:cs="Arial" w:eastAsia="Arial" w:hAnsi="Arial"/>
          <w:sz w:val="15"/>
          <w:szCs w:val="15"/>
          <w:color w:val="auto"/>
        </w:rPr>
        <w:t>between the Company and the Trustee. The Trustee will be reimbursed within 60 days of billing for all reasonable out-of-pocket expenses it incurs in the performance of its duties under this Trust Agreement. In this regard, reasonable expenses include (but are not limited to) accounting, consulting, appraisal, brokerage, custodial, actuarial and legal fees for professional services related to the establishment and administration of this Trust Agreement and reasonable and out-of-pocket expenses incurred by officers or employees of the Trustee, such as charges for travel and lodging, and charges for private express mail deliveries.</w:t>
      </w:r>
    </w:p>
    <w:p>
      <w:pPr>
        <w:spacing w:after="0" w:line="167" w:lineRule="exact"/>
        <w:rPr>
          <w:sz w:val="20"/>
          <w:szCs w:val="20"/>
          <w:color w:val="auto"/>
        </w:rPr>
      </w:pPr>
    </w:p>
    <w:p>
      <w:pPr>
        <w:jc w:val="both"/>
        <w:ind w:left="140" w:right="220" w:firstLine="1696"/>
        <w:spacing w:after="0" w:line="235" w:lineRule="auto"/>
        <w:rPr>
          <w:sz w:val="20"/>
          <w:szCs w:val="20"/>
          <w:color w:val="auto"/>
        </w:rPr>
      </w:pPr>
      <w:r>
        <w:rPr>
          <w:rFonts w:ascii="Arial" w:cs="Arial" w:eastAsia="Arial" w:hAnsi="Arial"/>
          <w:sz w:val="15"/>
          <w:szCs w:val="15"/>
          <w:color w:val="auto"/>
        </w:rPr>
        <w:t>(b) Compensation and expenses payable under this Section 6.1 will be paid by the Trust Fund (and may be charged, if applicable, to an appropriate subaccount or subtrust) to the extent not paid by the Company. The Company may reimburse the Trust Fund for any such compensation and expenses paid from the Trust Fund. If there is not sufficient cash in the Trust to pay the amounts due to the Trustee and to reimburse the Trustee for its reasonable expenses, the Trustee shall have the right to offset the amount due to it against the assets of the Trust, and the Trustee shall be authorized to sell</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7171055" cy="1397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0">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328" w:right="319" w:bottom="1440" w:gutter="0" w:footer="0" w:header="0"/>
          <w:type w:val="continuous"/>
        </w:sectPr>
      </w:pPr>
    </w:p>
    <w:bookmarkStart w:id="225" w:name="page226"/>
    <w:bookmarkEnd w:id="225"/>
    <w:p>
      <w:pPr>
        <w:ind w:left="20"/>
        <w:spacing w:after="0"/>
        <w:rPr>
          <w:sz w:val="20"/>
          <w:szCs w:val="20"/>
          <w:color w:val="auto"/>
        </w:rPr>
      </w:pPr>
      <w:r>
        <w:rPr>
          <w:rFonts w:ascii="Arial" w:cs="Arial" w:eastAsia="Arial" w:hAnsi="Arial"/>
          <w:sz w:val="15"/>
          <w:szCs w:val="15"/>
          <w:color w:val="auto"/>
        </w:rPr>
        <w:t>assets of the Trust to the extent necessary to obtain sufficient cash to pay the amounts due to the Trustee.</w:t>
      </w:r>
    </w:p>
    <w:p>
      <w:pPr>
        <w:spacing w:after="0" w:line="171" w:lineRule="exact"/>
        <w:rPr>
          <w:sz w:val="20"/>
          <w:szCs w:val="20"/>
          <w:color w:val="auto"/>
        </w:rPr>
      </w:pPr>
    </w:p>
    <w:p>
      <w:pPr>
        <w:ind w:left="40" w:right="240" w:firstLine="1686"/>
        <w:spacing w:after="0" w:line="239" w:lineRule="auto"/>
        <w:rPr>
          <w:sz w:val="20"/>
          <w:szCs w:val="20"/>
          <w:color w:val="auto"/>
        </w:rPr>
      </w:pPr>
      <w:r>
        <w:rPr>
          <w:rFonts w:ascii="Arial" w:cs="Arial" w:eastAsia="Arial" w:hAnsi="Arial"/>
          <w:sz w:val="15"/>
          <w:szCs w:val="15"/>
          <w:color w:val="auto"/>
        </w:rPr>
        <w:t>(c) Normal brokerage charges, commissions, taxes and other costs incident to the purchase and sale of securities which are included in the cost of securities purchased, or charged against the proceeds in the case of sales, shall be charged to and paid out of Trust assets.</w:t>
      </w:r>
    </w:p>
    <w:p>
      <w:pPr>
        <w:sectPr>
          <w:pgSz w:w="11900" w:h="16838" w:orient="portrait"/>
          <w:cols w:equalWidth="0" w:num="1">
            <w:col w:w="11160"/>
          </w:cols>
          <w:pgMar w:left="420" w:top="328" w:right="319" w:bottom="1440" w:gutter="0" w:footer="0" w:header="0"/>
        </w:sectPr>
      </w:pPr>
    </w:p>
    <w:p>
      <w:pPr>
        <w:spacing w:after="0" w:line="166" w:lineRule="exact"/>
        <w:rPr>
          <w:sz w:val="20"/>
          <w:szCs w:val="20"/>
          <w:color w:val="auto"/>
        </w:rPr>
      </w:pPr>
    </w:p>
    <w:p>
      <w:pPr>
        <w:ind w:left="900"/>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the Trustee.</w:t>
      </w:r>
    </w:p>
    <w:p>
      <w:pPr>
        <w:spacing w:after="0" w:line="200" w:lineRule="exact"/>
        <w:rPr>
          <w:sz w:val="20"/>
          <w:szCs w:val="20"/>
          <w:color w:val="auto"/>
        </w:rPr>
      </w:pPr>
    </w:p>
    <w:p>
      <w:pPr>
        <w:sectPr>
          <w:pgSz w:w="11900" w:h="16838" w:orient="portrait"/>
          <w:cols w:equalWidth="0" w:num="2">
            <w:col w:w="1120" w:space="660"/>
            <w:col w:w="9380"/>
          </w:cols>
          <w:pgMar w:left="420" w:top="328" w:right="319" w:bottom="1440" w:gutter="0" w:footer="0" w:header="0"/>
          <w:type w:val="continuous"/>
        </w:sectPr>
      </w:pPr>
    </w:p>
    <w:p>
      <w:pPr>
        <w:ind w:left="1700"/>
        <w:spacing w:after="0"/>
        <w:tabs>
          <w:tab w:leader="none" w:pos="35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The Trustee may consult with legal counsel (who may be counsel for the Company) with respect to the</w:t>
      </w:r>
    </w:p>
    <w:p>
      <w:pPr>
        <w:sectPr>
          <w:pgSz w:w="11900" w:h="16838" w:orient="portrait"/>
          <w:cols w:equalWidth="0" w:num="1">
            <w:col w:w="11160"/>
          </w:cols>
          <w:pgMar w:left="420" w:top="328" w:right="319" w:bottom="1440" w:gutter="0" w:footer="0" w:header="0"/>
          <w:type w:val="continuous"/>
        </w:sectPr>
      </w:pPr>
    </w:p>
    <w:p>
      <w:pPr>
        <w:spacing w:after="0" w:line="5" w:lineRule="exact"/>
        <w:rPr>
          <w:sz w:val="20"/>
          <w:szCs w:val="20"/>
          <w:color w:val="auto"/>
        </w:rPr>
      </w:pPr>
    </w:p>
    <w:p>
      <w:pPr>
        <w:ind w:left="40" w:right="440"/>
        <w:spacing w:after="0" w:line="231" w:lineRule="auto"/>
        <w:rPr>
          <w:sz w:val="20"/>
          <w:szCs w:val="20"/>
          <w:color w:val="auto"/>
        </w:rPr>
      </w:pPr>
      <w:r>
        <w:rPr>
          <w:rFonts w:ascii="Arial" w:cs="Arial" w:eastAsia="Arial" w:hAnsi="Arial"/>
          <w:sz w:val="15"/>
          <w:szCs w:val="15"/>
          <w:color w:val="auto"/>
        </w:rPr>
        <w:t>construction of this Trust Agreement or its duties thereunder, or with respect to any legal proceeding or any question of law, and will be fully protected to the extent permitted by ERISA with respect to any action it takes or omits in good faith upon the advice of such counsel.</w:t>
      </w:r>
    </w:p>
    <w:p>
      <w:pPr>
        <w:spacing w:after="0" w:line="166" w:lineRule="exact"/>
        <w:rPr>
          <w:sz w:val="20"/>
          <w:szCs w:val="20"/>
          <w:color w:val="auto"/>
        </w:rPr>
      </w:pPr>
    </w:p>
    <w:p>
      <w:pPr>
        <w:jc w:val="both"/>
        <w:ind w:left="40" w:right="220" w:firstLine="1730"/>
        <w:spacing w:after="0" w:line="233" w:lineRule="auto"/>
        <w:rPr>
          <w:sz w:val="20"/>
          <w:szCs w:val="20"/>
          <w:color w:val="auto"/>
        </w:rPr>
      </w:pPr>
      <w:r>
        <w:rPr>
          <w:rFonts w:ascii="Arial" w:cs="Arial" w:eastAsia="Arial" w:hAnsi="Arial"/>
          <w:sz w:val="15"/>
          <w:szCs w:val="15"/>
          <w:color w:val="auto"/>
        </w:rPr>
        <w:t>(b) Until advised to the contrary by the Company, the Trustee will assume that the Trust is exempt from all federal, state, and local income taxes, and may act in accordance with that assumption. If the whole or any part of the Trust Fund, or the proceeds thereof, becomes liable for the payment of any estate, inheritance, income or other tax, charge or assessment which the Trustee is required to pay, the Trustee will have full power and authority to pay such tax, charge or assessment out of any money or other property in its hand for the account of the person whose interests hereunder are so liable, but at least 10 days prior to the making of any such payment the Trustee must mail notice to the Company of its intention to make such payment. Prior to making any transfers or distributions of any of the proceeds of the Trust Fund, the Trustee may require such releases or other documents from any lawful taxing authority and may require such indemnity from any payee or distributee, as it deems necessary.</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196"/>
        </w:trPr>
        <w:tc>
          <w:tcPr>
            <w:tcW w:w="520" w:type="dxa"/>
            <w:vAlign w:val="bottom"/>
          </w:tcPr>
          <w:p>
            <w:pPr>
              <w:jc w:val="right"/>
              <w:ind w:right="246"/>
              <w:spacing w:after="0"/>
              <w:rPr>
                <w:sz w:val="20"/>
                <w:szCs w:val="20"/>
                <w:color w:val="auto"/>
              </w:rPr>
            </w:pPr>
            <w:r>
              <w:rPr>
                <w:rFonts w:ascii="Arial" w:cs="Arial" w:eastAsia="Arial" w:hAnsi="Arial"/>
                <w:sz w:val="15"/>
                <w:szCs w:val="15"/>
                <w:color w:val="auto"/>
                <w:w w:val="86"/>
              </w:rPr>
              <w:t>6.3</w:t>
            </w:r>
          </w:p>
        </w:tc>
        <w:tc>
          <w:tcPr>
            <w:tcW w:w="1840" w:type="dxa"/>
            <w:vAlign w:val="bottom"/>
          </w:tcPr>
          <w:p>
            <w:pPr>
              <w:ind w:left="360"/>
              <w:spacing w:after="0"/>
              <w:rPr>
                <w:sz w:val="20"/>
                <w:szCs w:val="20"/>
                <w:color w:val="auto"/>
              </w:rPr>
            </w:pPr>
            <w:r>
              <w:rPr>
                <w:rFonts w:ascii="Arial" w:cs="Arial" w:eastAsia="Arial" w:hAnsi="Arial"/>
                <w:sz w:val="15"/>
                <w:szCs w:val="15"/>
                <w:b w:val="1"/>
                <w:bCs w:val="1"/>
                <w:color w:val="auto"/>
              </w:rPr>
              <w:t>Indemnification.</w:t>
            </w:r>
          </w:p>
        </w:tc>
        <w:tc>
          <w:tcPr>
            <w:tcW w:w="7560" w:type="dxa"/>
            <w:vAlign w:val="bottom"/>
          </w:tcPr>
          <w:p>
            <w:pPr>
              <w:spacing w:after="0"/>
              <w:rPr>
                <w:sz w:val="17"/>
                <w:szCs w:val="17"/>
                <w:color w:val="auto"/>
              </w:rPr>
            </w:pPr>
          </w:p>
        </w:tc>
      </w:tr>
      <w:tr>
        <w:trPr>
          <w:trHeight w:val="332"/>
        </w:trPr>
        <w:tc>
          <w:tcPr>
            <w:tcW w:w="520" w:type="dxa"/>
            <w:vAlign w:val="bottom"/>
          </w:tcPr>
          <w:p>
            <w:pPr>
              <w:spacing w:after="0"/>
              <w:rPr>
                <w:sz w:val="24"/>
                <w:szCs w:val="24"/>
                <w:color w:val="auto"/>
              </w:rPr>
            </w:pPr>
          </w:p>
        </w:tc>
        <w:tc>
          <w:tcPr>
            <w:tcW w:w="1840" w:type="dxa"/>
            <w:vAlign w:val="bottom"/>
          </w:tcPr>
          <w:p>
            <w:pPr>
              <w:ind w:left="340"/>
              <w:spacing w:after="0"/>
              <w:rPr>
                <w:sz w:val="20"/>
                <w:szCs w:val="20"/>
                <w:color w:val="auto"/>
              </w:rPr>
            </w:pPr>
            <w:r>
              <w:rPr>
                <w:rFonts w:ascii="Arial" w:cs="Arial" w:eastAsia="Arial" w:hAnsi="Arial"/>
                <w:sz w:val="15"/>
                <w:szCs w:val="15"/>
                <w:color w:val="auto"/>
              </w:rPr>
              <w:t>(a)</w:t>
            </w:r>
          </w:p>
        </w:tc>
        <w:tc>
          <w:tcPr>
            <w:tcW w:w="7560" w:type="dxa"/>
            <w:vAlign w:val="bottom"/>
          </w:tcPr>
          <w:p>
            <w:pPr>
              <w:ind w:left="360"/>
              <w:spacing w:after="0"/>
              <w:rPr>
                <w:sz w:val="20"/>
                <w:szCs w:val="20"/>
                <w:color w:val="auto"/>
              </w:rPr>
            </w:pPr>
            <w:r>
              <w:rPr>
                <w:rFonts w:ascii="Arial" w:cs="Arial" w:eastAsia="Arial" w:hAnsi="Arial"/>
                <w:sz w:val="15"/>
                <w:szCs w:val="15"/>
                <w:color w:val="auto"/>
                <w:w w:val="99"/>
              </w:rPr>
              <w:t>The Company, to the extent permitted by applicable law, will indemnify the Trustee and hold it and each of its</w:t>
            </w:r>
          </w:p>
        </w:tc>
      </w:tr>
    </w:tbl>
    <w:p>
      <w:pPr>
        <w:jc w:val="both"/>
        <w:ind w:right="320"/>
        <w:spacing w:after="0" w:line="232" w:lineRule="auto"/>
        <w:rPr>
          <w:sz w:val="20"/>
          <w:szCs w:val="20"/>
          <w:color w:val="auto"/>
        </w:rPr>
      </w:pPr>
      <w:r>
        <w:rPr>
          <w:rFonts w:ascii="Arial" w:cs="Arial" w:eastAsia="Arial" w:hAnsi="Arial"/>
          <w:sz w:val="15"/>
          <w:szCs w:val="15"/>
          <w:color w:val="auto"/>
        </w:rPr>
        <w:t>officers, directors, principals, shareholders, employees, and attorneys (individually an "Indemnified Party") harmless against any and all losses, claims, damages or liabilities, including reasonable legal fees and expenses, to which any Indemnified Party may become subject arising in any manner out of or in connection with the performance of the services of the Trustee under this Trust Agreement or in any other fiduciary capacity with respect to the Plan, except that such Indemnified Party will not be so indemnified if such losses, claims, damages or liabilities are finally adjudged by a court of competent jurisdiction, or are determined by any other proceeding mutually agreeable to the Company and the Indemnified Parties, to have resulted from the negligence or willful misconduct of such Indemnified Party. For purposes of this Trust Agreement, any act or omission of an Indemnified Party will be negligent only if such act or omission represents a material departure from standards of ordinary care. Except as provided below, the Company will, upon notice, advance or pay promptly to or on behalf of any Indemnified Party, all reasonable attorneys' fees and other expenses and disbursements as they are incurred; provided, however, that the Trustee will promptly reimburse to the Company all amounts paid to an Indemnified Party pursuant to this Section 6.3 in the event that the Indemnified Party is finally adjudged to have acted with negligence or willful misconduct with respect to the services performed pursuant to this Trust Agreement.</w:t>
      </w:r>
    </w:p>
    <w:p>
      <w:pPr>
        <w:spacing w:after="0" w:line="172" w:lineRule="exact"/>
        <w:rPr>
          <w:sz w:val="20"/>
          <w:szCs w:val="20"/>
          <w:color w:val="auto"/>
        </w:rPr>
      </w:pPr>
    </w:p>
    <w:p>
      <w:pPr>
        <w:jc w:val="both"/>
        <w:ind w:left="40" w:right="420" w:firstLine="1671"/>
        <w:spacing w:after="0"/>
        <w:rPr>
          <w:sz w:val="20"/>
          <w:szCs w:val="20"/>
          <w:color w:val="auto"/>
        </w:rPr>
      </w:pPr>
      <w:r>
        <w:rPr>
          <w:rFonts w:ascii="Arial" w:cs="Arial" w:eastAsia="Arial" w:hAnsi="Arial"/>
          <w:sz w:val="15"/>
          <w:szCs w:val="15"/>
          <w:color w:val="auto"/>
        </w:rPr>
        <w:t>(b) If the Company is financially unable to satisfy the foregoing indemnification obligation, the Company will take whatever steps are necessary to cause such obligation to be paid from the assets of the Plan, to the extent such obligation may be paid from Plan assets under applicable law.</w:t>
      </w:r>
    </w:p>
    <w:p>
      <w:pPr>
        <w:spacing w:after="0" w:line="320" w:lineRule="exact"/>
        <w:rPr>
          <w:sz w:val="20"/>
          <w:szCs w:val="20"/>
          <w:color w:val="auto"/>
        </w:rPr>
      </w:pPr>
    </w:p>
    <w:p>
      <w:pPr>
        <w:ind w:left="40" w:right="220" w:firstLine="1699"/>
        <w:spacing w:after="0" w:line="239" w:lineRule="auto"/>
        <w:rPr>
          <w:sz w:val="20"/>
          <w:szCs w:val="20"/>
          <w:color w:val="auto"/>
        </w:rPr>
      </w:pPr>
      <w:r>
        <w:rPr>
          <w:rFonts w:ascii="Arial" w:cs="Arial" w:eastAsia="Arial" w:hAnsi="Arial"/>
          <w:sz w:val="15"/>
          <w:szCs w:val="15"/>
          <w:color w:val="auto"/>
        </w:rPr>
        <w:t>(c) For purposes of the foregoing indemnification, the Company acknowledges that, until the Trustee is notified by the Company that the Plan does not satisfy the requirements</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314960</wp:posOffset>
            </wp:positionV>
            <wp:extent cx="7171055" cy="139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1">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60"/>
          </w:cols>
          <w:pgMar w:left="420" w:top="328" w:right="319" w:bottom="1440" w:gutter="0" w:footer="0" w:header="0"/>
          <w:type w:val="continuous"/>
        </w:sectPr>
      </w:pPr>
    </w:p>
    <w:bookmarkStart w:id="226" w:name="page227"/>
    <w:bookmarkEnd w:id="226"/>
    <w:p>
      <w:pPr>
        <w:jc w:val="both"/>
        <w:ind w:right="220"/>
        <w:spacing w:after="0" w:line="235" w:lineRule="auto"/>
        <w:rPr>
          <w:sz w:val="20"/>
          <w:szCs w:val="20"/>
          <w:color w:val="auto"/>
        </w:rPr>
      </w:pPr>
      <w:r>
        <w:rPr>
          <w:rFonts w:ascii="Arial" w:cs="Arial" w:eastAsia="Arial" w:hAnsi="Arial"/>
          <w:sz w:val="15"/>
          <w:szCs w:val="15"/>
          <w:color w:val="auto"/>
        </w:rPr>
        <w:t>of ERISA Section 404(c) and the regulations thereunder, the Trustee will be performing services and discharging its duties under this Trust Agreement with the understanding that the Plan satisfies such requirements. The Company agrees that in the event the Trustee incurs any loss, claim, damage or liability solely as a result of acting in reliance on such understanding, such loss, claim, damage or liability will not be considered to have resulted from the negligence or willful misconduct of any Indemnified Party for purposes of applying the provisions of the foregoing indemnification.</w:t>
      </w:r>
    </w:p>
    <w:p>
      <w:pPr>
        <w:spacing w:after="0" w:line="167" w:lineRule="exact"/>
        <w:rPr>
          <w:sz w:val="20"/>
          <w:szCs w:val="20"/>
          <w:color w:val="auto"/>
        </w:rPr>
      </w:pPr>
    </w:p>
    <w:p>
      <w:pPr>
        <w:jc w:val="both"/>
        <w:ind w:right="220" w:firstLine="1693"/>
        <w:spacing w:after="0" w:line="233" w:lineRule="auto"/>
        <w:rPr>
          <w:sz w:val="20"/>
          <w:szCs w:val="20"/>
          <w:color w:val="auto"/>
        </w:rPr>
      </w:pPr>
      <w:r>
        <w:rPr>
          <w:rFonts w:ascii="Arial" w:cs="Arial" w:eastAsia="Arial" w:hAnsi="Arial"/>
          <w:sz w:val="15"/>
          <w:szCs w:val="15"/>
          <w:color w:val="auto"/>
        </w:rPr>
        <w:t>(d) If for any reason the foregoing indemnification is determined to be unavailable to any Indemnified Party or insufficient to fully indemnify an Indemnified Party, the Company will contribute to the amount paid or payable by such Indemnified Party as a result of any such losses, claims, damages or liabilities in such proportion as is appropriate to reflect (i) the relationship between the Trustee's fee, on the one hand, and the highest aggregate value of the assets held in the Employer Stock Fund at any time, on the other hand, or (ii) if the allocation provided by clause (i) is not permitted by applicable law, not only such relative benefit but also the relative fault of any other participants in the matter that results in such losses, claims, damages or liabilities, on the one hand, and of the Trustee and the Indemnified Parties, on the other hand, and any other relevant equitable considerations in connection with the maters as to which such losses, claims, damages or liabilities relate.</w:t>
      </w:r>
    </w:p>
    <w:p>
      <w:pPr>
        <w:spacing w:after="0" w:line="213" w:lineRule="exact"/>
        <w:rPr>
          <w:sz w:val="20"/>
          <w:szCs w:val="20"/>
          <w:color w:val="auto"/>
        </w:rPr>
      </w:pPr>
    </w:p>
    <w:p>
      <w:pPr>
        <w:jc w:val="both"/>
        <w:ind w:right="200" w:firstLine="1704"/>
        <w:spacing w:after="0" w:line="232" w:lineRule="auto"/>
        <w:rPr>
          <w:sz w:val="20"/>
          <w:szCs w:val="20"/>
          <w:color w:val="auto"/>
        </w:rPr>
      </w:pPr>
      <w:r>
        <w:rPr>
          <w:rFonts w:ascii="Arial" w:cs="Arial" w:eastAsia="Arial" w:hAnsi="Arial"/>
          <w:sz w:val="15"/>
          <w:szCs w:val="15"/>
          <w:color w:val="auto"/>
        </w:rPr>
        <w:t>(e) If any Indemnified Party receives notice of the assertion of any claim or of the commencement of any action or proceeding involving the Indemnified Party, in any capacity, that arises in any manner out of or in connection with the performance of the services of the Trustee under this Trust Agreement (a "Claim"), the Indemnified Party will give the Company reasonably prompt written notice thereof, although failure to do so will not relieve the Company from any liability hereunder or otherwise unless such failure materially prejudices the Company's rights. The Company may, at its expense, defend any Claim by counsel of its choice reasonably satisfactory to the Indemnified Party, and if the Company elects to do so, it will not be liable to such Indemnified Party for any expense incurred by the Indemnified Party in defense of the Claim after the Company notifies the Indemnified Party of its election and, if the Indemnified Party has appointed counsel, after a reasonable time required to substitute counsel. The Indemnified Party may monitor any defense assumed by the Company at the Indemnified Party's expense. Notwithstanding the foregoing, an Indemnified Party will have the right to employ separate counsel in the defense of a Claim, and the Company will bear the reasonable fees, costs and expenses of such separate counsel, if (i) the use of counsel chosen by the Company to represent the Indemnified Party would present such counsel with a conflict of interest; (ii) the defendants in, or targets of, any such Claim include both the Indemnified Party and another party or parties (including without limitation the Company, its officers, directors or employees), and the Indemnified Party has concluded, not unreasonably, that representation of both the Indemnified Party and such other party or parties by the same counsel would be inappropriate due to actual or potential differing interests between the Indemnified Party and such other party or parties; or (iii) the Company has not employed counsel satisfactory to the Indemnified Party in the exercise of the Indemnified Party's reasonable judgment to represent the Indemnified Party, within a reasonable period of time after notice of the institution of the Claim.</w:t>
      </w:r>
    </w:p>
    <w:p>
      <w:pPr>
        <w:spacing w:after="0" w:line="170" w:lineRule="exact"/>
        <w:rPr>
          <w:sz w:val="20"/>
          <w:szCs w:val="20"/>
          <w:color w:val="auto"/>
        </w:rPr>
      </w:pPr>
    </w:p>
    <w:p>
      <w:pPr>
        <w:jc w:val="both"/>
        <w:ind w:right="340" w:firstLine="1674"/>
        <w:spacing w:after="0" w:line="235" w:lineRule="auto"/>
        <w:rPr>
          <w:sz w:val="20"/>
          <w:szCs w:val="20"/>
          <w:color w:val="auto"/>
        </w:rPr>
      </w:pPr>
      <w:r>
        <w:rPr>
          <w:rFonts w:ascii="Arial" w:cs="Arial" w:eastAsia="Arial" w:hAnsi="Arial"/>
          <w:sz w:val="15"/>
          <w:szCs w:val="15"/>
          <w:color w:val="auto"/>
        </w:rPr>
        <w:t>(f) Without the prior written consent of the Company, an Indemnified Party will not enter into any settlement relating to any Claim which would lead to liability or create any financial or other obligation on the part of the Company under this Trust Agreement. Without the prior written consent of the Indemnified Party, the Company will not enter into any settlement relating to any Claim which would lead to liability or create any financial or other obligation on the part of the Indemnified Party.</w:t>
      </w:r>
    </w:p>
    <w:p>
      <w:pPr>
        <w:spacing w:after="0" w:line="145" w:lineRule="exact"/>
        <w:rPr>
          <w:sz w:val="20"/>
          <w:szCs w:val="20"/>
          <w:color w:val="auto"/>
        </w:rPr>
      </w:pPr>
    </w:p>
    <w:p>
      <w:pPr>
        <w:ind w:left="20" w:right="280" w:firstLine="1690"/>
        <w:spacing w:after="0" w:line="239" w:lineRule="auto"/>
        <w:rPr>
          <w:sz w:val="20"/>
          <w:szCs w:val="20"/>
          <w:color w:val="auto"/>
        </w:rPr>
      </w:pPr>
      <w:r>
        <w:rPr>
          <w:rFonts w:ascii="Arial" w:cs="Arial" w:eastAsia="Arial" w:hAnsi="Arial"/>
          <w:sz w:val="15"/>
          <w:szCs w:val="15"/>
          <w:color w:val="auto"/>
        </w:rPr>
        <w:t>(g) If during the period of, or subsequent to the termination of, this Trust Agreement, any Indemnified Party is required to participate in any legal or other proceeding (other</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2">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494" w:right="319" w:bottom="1440" w:gutter="0" w:footer="0" w:header="0"/>
        </w:sectPr>
      </w:pPr>
    </w:p>
    <w:bookmarkStart w:id="227" w:name="page228"/>
    <w:bookmarkEnd w:id="227"/>
    <w:p>
      <w:pPr>
        <w:jc w:val="both"/>
        <w:ind w:left="20" w:right="280"/>
        <w:spacing w:after="0" w:line="236" w:lineRule="auto"/>
        <w:rPr>
          <w:sz w:val="20"/>
          <w:szCs w:val="20"/>
          <w:color w:val="auto"/>
        </w:rPr>
      </w:pPr>
      <w:r>
        <w:rPr>
          <w:rFonts w:ascii="Arial" w:cs="Arial" w:eastAsia="Arial" w:hAnsi="Arial"/>
          <w:sz w:val="15"/>
          <w:szCs w:val="15"/>
          <w:color w:val="auto"/>
        </w:rPr>
        <w:t>than as a named party to such proceeding) in connection with any matter relating to the services of the Trustee under this Trust Agreement, the Company will compensate the Indemnified Party for such services or time required at the Indemnified Party's hourly rates then in effect, plus any reasonable legal fees and out-of-pocket expenses incurred to the same extent and in the same manner as specified in this Section 6.3.</w:t>
      </w:r>
    </w:p>
    <w:p>
      <w:pPr>
        <w:spacing w:after="0" w:line="167" w:lineRule="exact"/>
        <w:rPr>
          <w:sz w:val="20"/>
          <w:szCs w:val="20"/>
          <w:color w:val="auto"/>
        </w:rPr>
      </w:pPr>
    </w:p>
    <w:p>
      <w:pPr>
        <w:ind w:left="20" w:right="800" w:firstLine="1606"/>
        <w:spacing w:after="0" w:line="239" w:lineRule="auto"/>
        <w:rPr>
          <w:sz w:val="20"/>
          <w:szCs w:val="20"/>
          <w:color w:val="auto"/>
        </w:rPr>
      </w:pPr>
      <w:r>
        <w:rPr>
          <w:rFonts w:ascii="Arial" w:cs="Arial" w:eastAsia="Arial" w:hAnsi="Arial"/>
          <w:sz w:val="15"/>
          <w:szCs w:val="15"/>
          <w:color w:val="auto"/>
        </w:rPr>
        <w:t>(h) It is understood by the parties that the foregoing indemnification agreement will survive the termination of this Trust Agreement and the termination, for any reason, of the services of the Trustee under this Trust Agreement.</w:t>
      </w:r>
    </w:p>
    <w:p>
      <w:pPr>
        <w:sectPr>
          <w:pgSz w:w="11900" w:h="16838" w:orient="portrait"/>
          <w:cols w:equalWidth="0" w:num="1">
            <w:col w:w="11120"/>
          </w:cols>
          <w:pgMar w:left="460" w:top="494" w:right="319" w:bottom="1440" w:gutter="0" w:footer="0" w:header="0"/>
        </w:sectPr>
      </w:pPr>
    </w:p>
    <w:p>
      <w:pPr>
        <w:spacing w:after="0" w:line="166" w:lineRule="exact"/>
        <w:rPr>
          <w:sz w:val="20"/>
          <w:szCs w:val="20"/>
          <w:color w:val="auto"/>
        </w:rPr>
      </w:pPr>
    </w:p>
    <w:p>
      <w:pPr>
        <w:ind w:left="90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of Trustee.</w:t>
      </w:r>
    </w:p>
    <w:p>
      <w:pPr>
        <w:spacing w:after="0" w:line="218" w:lineRule="exact"/>
        <w:rPr>
          <w:sz w:val="20"/>
          <w:szCs w:val="20"/>
          <w:color w:val="auto"/>
        </w:rPr>
      </w:pPr>
    </w:p>
    <w:p>
      <w:pPr>
        <w:sectPr>
          <w:pgSz w:w="11900" w:h="16838" w:orient="portrait"/>
          <w:cols w:equalWidth="0" w:num="2">
            <w:col w:w="1100" w:space="660"/>
            <w:col w:w="9360"/>
          </w:cols>
          <w:pgMar w:left="460" w:top="494" w:right="319" w:bottom="1440" w:gutter="0" w:footer="0" w:header="0"/>
          <w:type w:val="continuous"/>
        </w:sectPr>
      </w:pPr>
    </w:p>
    <w:p>
      <w:pPr>
        <w:spacing w:after="0" w:line="27" w:lineRule="exact"/>
        <w:rPr>
          <w:sz w:val="20"/>
          <w:szCs w:val="20"/>
          <w:color w:val="auto"/>
        </w:rPr>
      </w:pPr>
    </w:p>
    <w:p>
      <w:pPr>
        <w:ind w:left="1740"/>
        <w:spacing w:after="0"/>
        <w:tabs>
          <w:tab w:leader="none" w:pos="362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The Trustee will not be liable for any action taken or omitted upon direction of the Administrative Committee</w:t>
      </w:r>
    </w:p>
    <w:p>
      <w:pPr>
        <w:sectPr>
          <w:pgSz w:w="11900" w:h="16838" w:orient="portrait"/>
          <w:cols w:equalWidth="0" w:num="1">
            <w:col w:w="11120"/>
          </w:cols>
          <w:pgMar w:left="460" w:top="494" w:right="319" w:bottom="1440" w:gutter="0" w:footer="0" w:header="0"/>
          <w:type w:val="continuous"/>
        </w:sectPr>
      </w:pPr>
    </w:p>
    <w:p>
      <w:pPr>
        <w:spacing w:after="0" w:line="5" w:lineRule="exact"/>
        <w:rPr>
          <w:sz w:val="20"/>
          <w:szCs w:val="20"/>
          <w:color w:val="auto"/>
        </w:rPr>
      </w:pPr>
    </w:p>
    <w:p>
      <w:pPr>
        <w:jc w:val="both"/>
        <w:ind w:right="180"/>
        <w:spacing w:after="0" w:line="231" w:lineRule="auto"/>
        <w:rPr>
          <w:sz w:val="20"/>
          <w:szCs w:val="20"/>
          <w:color w:val="auto"/>
        </w:rPr>
      </w:pPr>
      <w:r>
        <w:rPr>
          <w:rFonts w:ascii="Arial" w:cs="Arial" w:eastAsia="Arial" w:hAnsi="Arial"/>
          <w:sz w:val="15"/>
          <w:szCs w:val="15"/>
          <w:color w:val="auto"/>
        </w:rPr>
        <w:t>pursuant to Section 4.3 or of a Participant pursuant to Section 5.3 or Section 5.4. If at any given time the Administrative Committee should fail to give directions or instructions to the Trustee as provided in this Trust Agreement, the Trustee will act or refrain from acting without such directions or instructions and may exercise its own discretion and judgment as seems appropriate and advisable under the circumstances in carrying out the purposes of this Trust Agreement.</w:t>
      </w:r>
    </w:p>
    <w:p>
      <w:pPr>
        <w:sectPr>
          <w:pgSz w:w="11900" w:h="16838" w:orient="portrait"/>
          <w:cols w:equalWidth="0" w:num="1">
            <w:col w:w="11120"/>
          </w:cols>
          <w:pgMar w:left="460" w:top="494" w:right="319" w:bottom="1440" w:gutter="0" w:footer="0" w:header="0"/>
          <w:type w:val="continuous"/>
        </w:sectPr>
      </w:pPr>
    </w:p>
    <w:p>
      <w:pPr>
        <w:spacing w:after="0" w:line="167" w:lineRule="exact"/>
        <w:rPr>
          <w:sz w:val="20"/>
          <w:szCs w:val="20"/>
          <w:color w:val="auto"/>
        </w:rPr>
      </w:pPr>
    </w:p>
    <w:p>
      <w:pPr>
        <w:jc w:val="center"/>
        <w:ind w:left="680"/>
        <w:spacing w:after="0"/>
        <w:rPr>
          <w:sz w:val="20"/>
          <w:szCs w:val="20"/>
          <w:color w:val="auto"/>
        </w:rPr>
      </w:pPr>
      <w:r>
        <w:rPr>
          <w:rFonts w:ascii="Arial" w:cs="Arial" w:eastAsia="Arial" w:hAnsi="Arial"/>
          <w:sz w:val="14"/>
          <w:szCs w:val="14"/>
          <w:color w:val="auto"/>
        </w:rPr>
        <w:t>(b)</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The Trustee will not be liable to any person for any distribution made at the direction of the Administrative</w:t>
      </w:r>
    </w:p>
    <w:p>
      <w:pPr>
        <w:spacing w:after="0" w:line="5" w:lineRule="exact"/>
        <w:rPr>
          <w:sz w:val="20"/>
          <w:szCs w:val="20"/>
          <w:color w:val="auto"/>
        </w:rPr>
      </w:pPr>
    </w:p>
    <w:p>
      <w:pPr>
        <w:sectPr>
          <w:pgSz w:w="11900" w:h="16838" w:orient="portrait"/>
          <w:cols w:equalWidth="0" w:num="2">
            <w:col w:w="2780" w:space="720"/>
            <w:col w:w="7620"/>
          </w:cols>
          <w:pgMar w:left="460" w:top="494" w:right="319" w:bottom="1440" w:gutter="0" w:footer="0" w:header="0"/>
          <w:type w:val="continuous"/>
        </w:sectPr>
      </w:pPr>
    </w:p>
    <w:p>
      <w:pPr>
        <w:spacing w:after="0"/>
        <w:rPr>
          <w:sz w:val="20"/>
          <w:szCs w:val="20"/>
          <w:color w:val="auto"/>
        </w:rPr>
      </w:pPr>
      <w:r>
        <w:rPr>
          <w:rFonts w:ascii="Arial" w:cs="Arial" w:eastAsia="Arial" w:hAnsi="Arial"/>
          <w:sz w:val="14"/>
          <w:szCs w:val="14"/>
          <w:color w:val="auto"/>
        </w:rPr>
        <w:t>Committee.</w:t>
      </w:r>
    </w:p>
    <w:p>
      <w:pPr>
        <w:sectPr>
          <w:pgSz w:w="11900" w:h="16838" w:orient="portrait"/>
          <w:cols w:equalWidth="0" w:num="1">
            <w:col w:w="11120"/>
          </w:cols>
          <w:pgMar w:left="460" w:top="494" w:right="319" w:bottom="1440" w:gutter="0" w:footer="0" w:header="0"/>
          <w:type w:val="continuous"/>
        </w:sectPr>
      </w:pPr>
    </w:p>
    <w:p>
      <w:pPr>
        <w:spacing w:after="0" w:line="171" w:lineRule="exact"/>
        <w:rPr>
          <w:sz w:val="20"/>
          <w:szCs w:val="20"/>
          <w:color w:val="auto"/>
        </w:rPr>
      </w:pPr>
    </w:p>
    <w:p>
      <w:pPr>
        <w:jc w:val="center"/>
        <w:ind w:left="660"/>
        <w:spacing w:after="0"/>
        <w:rPr>
          <w:sz w:val="20"/>
          <w:szCs w:val="20"/>
          <w:color w:val="auto"/>
        </w:rPr>
      </w:pPr>
      <w:r>
        <w:rPr>
          <w:rFonts w:ascii="Arial" w:cs="Arial" w:eastAsia="Arial" w:hAnsi="Arial"/>
          <w:sz w:val="15"/>
          <w:szCs w:val="15"/>
          <w:color w:val="auto"/>
        </w:rPr>
        <w:t>(c)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The Trustee will not be responsible for determining the adequacy of the Trust Fund to meet liabilities under</w:t>
      </w:r>
    </w:p>
    <w:p>
      <w:pPr>
        <w:spacing w:after="0" w:line="12" w:lineRule="exact"/>
        <w:rPr>
          <w:sz w:val="20"/>
          <w:szCs w:val="20"/>
          <w:color w:val="auto"/>
        </w:rPr>
      </w:pPr>
    </w:p>
    <w:p>
      <w:pPr>
        <w:sectPr>
          <w:pgSz w:w="11900" w:h="16838" w:orient="portrait"/>
          <w:cols w:equalWidth="0" w:num="2">
            <w:col w:w="2800" w:space="720"/>
            <w:col w:w="7600"/>
          </w:cols>
          <w:pgMar w:left="460" w:top="494" w:right="319" w:bottom="1440" w:gutter="0" w:footer="0" w:header="0"/>
          <w:type w:val="continuous"/>
        </w:sectPr>
      </w:pPr>
    </w:p>
    <w:p>
      <w:pPr>
        <w:spacing w:after="0" w:line="238" w:lineRule="auto"/>
        <w:rPr>
          <w:sz w:val="20"/>
          <w:szCs w:val="20"/>
          <w:color w:val="auto"/>
        </w:rPr>
      </w:pPr>
      <w:r>
        <w:rPr>
          <w:rFonts w:ascii="Arial" w:cs="Arial" w:eastAsia="Arial" w:hAnsi="Arial"/>
          <w:sz w:val="15"/>
          <w:szCs w:val="15"/>
          <w:color w:val="auto"/>
        </w:rPr>
        <w:t>the Plan.</w:t>
      </w:r>
    </w:p>
    <w:p>
      <w:pPr>
        <w:spacing w:after="0" w:line="166" w:lineRule="exact"/>
        <w:rPr>
          <w:sz w:val="20"/>
          <w:szCs w:val="20"/>
          <w:color w:val="auto"/>
        </w:rPr>
      </w:pPr>
    </w:p>
    <w:p>
      <w:pPr>
        <w:ind w:left="1680"/>
        <w:spacing w:after="0"/>
        <w:tabs>
          <w:tab w:leader="none" w:pos="3540" w:val="left"/>
        </w:tabs>
        <w:rPr>
          <w:sz w:val="20"/>
          <w:szCs w:val="20"/>
          <w:color w:val="auto"/>
        </w:rPr>
      </w:pPr>
      <w:r>
        <w:rPr>
          <w:rFonts w:ascii="Arial" w:cs="Arial" w:eastAsia="Arial" w:hAnsi="Arial"/>
          <w:sz w:val="14"/>
          <w:szCs w:val="14"/>
          <w:color w:val="auto"/>
        </w:rPr>
        <w:t>(d)</w:t>
      </w:r>
      <w:r>
        <w:rPr>
          <w:sz w:val="20"/>
          <w:szCs w:val="20"/>
          <w:color w:val="auto"/>
        </w:rPr>
        <w:tab/>
      </w:r>
      <w:r>
        <w:rPr>
          <w:rFonts w:ascii="Arial" w:cs="Arial" w:eastAsia="Arial" w:hAnsi="Arial"/>
          <w:sz w:val="14"/>
          <w:szCs w:val="14"/>
          <w:color w:val="auto"/>
        </w:rPr>
        <w:t>The Trustee will not be liable for the acts or omissions of any other fiduciary or person with respect to the Plan</w:t>
      </w:r>
    </w:p>
    <w:p>
      <w:pPr>
        <w:sectPr>
          <w:pgSz w:w="11900" w:h="16838" w:orient="portrait"/>
          <w:cols w:equalWidth="0" w:num="1">
            <w:col w:w="11120"/>
          </w:cols>
          <w:pgMar w:left="460" w:top="494" w:right="319" w:bottom="1440" w:gutter="0" w:footer="0" w:header="0"/>
          <w:type w:val="continuous"/>
        </w:sectPr>
      </w:pPr>
    </w:p>
    <w:p>
      <w:pPr>
        <w:spacing w:after="0" w:line="17" w:lineRule="exact"/>
        <w:rPr>
          <w:sz w:val="20"/>
          <w:szCs w:val="20"/>
          <w:color w:val="auto"/>
        </w:rPr>
      </w:pPr>
    </w:p>
    <w:p>
      <w:pPr>
        <w:ind w:right="320"/>
        <w:spacing w:after="0" w:line="231" w:lineRule="auto"/>
        <w:rPr>
          <w:sz w:val="20"/>
          <w:szCs w:val="20"/>
          <w:color w:val="auto"/>
        </w:rPr>
      </w:pPr>
      <w:r>
        <w:rPr>
          <w:rFonts w:ascii="Arial" w:cs="Arial" w:eastAsia="Arial" w:hAnsi="Arial"/>
          <w:sz w:val="15"/>
          <w:szCs w:val="15"/>
          <w:color w:val="auto"/>
        </w:rPr>
        <w:t>or the Trust Fund. In addition, the Trustee will have no duty or responsibility to investigate the acts or omissions of any predecessor trustee or fiduciary with respect to the assets of the Trust Fund to determine whether any such acts or omissions violated any provision of ERISA or other applicable law.</w:t>
      </w:r>
    </w:p>
    <w:p>
      <w:pPr>
        <w:spacing w:after="0" w:line="166" w:lineRule="exact"/>
        <w:rPr>
          <w:sz w:val="20"/>
          <w:szCs w:val="20"/>
          <w:color w:val="auto"/>
        </w:rPr>
      </w:pPr>
    </w:p>
    <w:p>
      <w:pPr>
        <w:jc w:val="both"/>
        <w:ind w:right="240" w:firstLine="1685"/>
        <w:spacing w:after="0" w:line="236" w:lineRule="auto"/>
        <w:rPr>
          <w:sz w:val="20"/>
          <w:szCs w:val="20"/>
          <w:color w:val="auto"/>
        </w:rPr>
      </w:pPr>
      <w:r>
        <w:rPr>
          <w:rFonts w:ascii="Arial" w:cs="Arial" w:eastAsia="Arial" w:hAnsi="Arial"/>
          <w:sz w:val="15"/>
          <w:szCs w:val="15"/>
          <w:color w:val="auto"/>
        </w:rPr>
        <w:t>(e) The Trustee will not be responsible for maintaining any records of Participants' benefits under the Plan or for any other matter affecting the administration of the Plan by the Administrative Committee or any other person or persons to whom responsibility for administration of the Plan is delegated pursuant to the terms of the Plan.</w:t>
      </w:r>
    </w:p>
    <w:p>
      <w:pPr>
        <w:spacing w:after="0" w:line="149" w:lineRule="exact"/>
        <w:rPr>
          <w:sz w:val="20"/>
          <w:szCs w:val="20"/>
          <w:color w:val="auto"/>
        </w:rPr>
      </w:pPr>
    </w:p>
    <w:p>
      <w:pPr>
        <w:jc w:val="both"/>
        <w:ind w:right="260" w:firstLine="843"/>
        <w:spacing w:after="0" w:line="236" w:lineRule="auto"/>
        <w:rPr>
          <w:sz w:val="20"/>
          <w:szCs w:val="20"/>
          <w:color w:val="auto"/>
        </w:rPr>
      </w:pPr>
      <w:r>
        <w:rPr>
          <w:rFonts w:ascii="Arial" w:cs="Arial" w:eastAsia="Arial" w:hAnsi="Arial"/>
          <w:sz w:val="15"/>
          <w:szCs w:val="15"/>
          <w:color w:val="auto"/>
        </w:rPr>
        <w:t xml:space="preserve">6.5 </w:t>
      </w:r>
      <w:r>
        <w:rPr>
          <w:rFonts w:ascii="Arial" w:cs="Arial" w:eastAsia="Arial" w:hAnsi="Arial"/>
          <w:sz w:val="15"/>
          <w:szCs w:val="15"/>
          <w:b w:val="1"/>
          <w:bCs w:val="1"/>
          <w:color w:val="auto"/>
        </w:rPr>
        <w:t>Court Proceedings and Necessary Parties to Legal Actions.</w:t>
      </w:r>
      <w:r>
        <w:rPr>
          <w:rFonts w:ascii="Arial" w:cs="Arial" w:eastAsia="Arial" w:hAnsi="Arial"/>
          <w:sz w:val="15"/>
          <w:szCs w:val="15"/>
          <w:color w:val="auto"/>
        </w:rPr>
        <w:t xml:space="preserve"> The Trustee may institute, maintain or defend any litigation necessary to protect the rights of the Trust Fund, provided that the Trustee will be under no duty or obligation to do so unless it will have been indemnified to its satisfaction against all expenses and liabilities which it may sustain or reasonably anticipate by reason thereof. All costs and expenses of litigation for which the Trustee would be liable will be paid by the Trust Fund to the extent not paid by the Company. Except as required by BRISA Section 502(h), only the Company, the Administrative Committee and the Trustee will be considered necessary parties in any legal action or proceeding with respect to the Trust Fund, and no Participant or other person having an interest in the Trust Fund will be entitled to notice. Any judgment entered on any such action or proceeding will be binding on the Company, the Administrative Committee, the Trustee and all persons claiming under the Trust. Nothing in this Section 6.5 is intended to preclude a Participant from enforcing his or her legal rights.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00" w:type="dxa"/>
            <w:vAlign w:val="bottom"/>
          </w:tcPr>
          <w:p>
            <w:pPr>
              <w:jc w:val="right"/>
              <w:ind w:right="466"/>
              <w:spacing w:after="0"/>
              <w:rPr>
                <w:sz w:val="20"/>
                <w:szCs w:val="20"/>
                <w:color w:val="auto"/>
              </w:rPr>
            </w:pPr>
            <w:r>
              <w:rPr>
                <w:rFonts w:ascii="Arial" w:cs="Arial" w:eastAsia="Arial" w:hAnsi="Arial"/>
                <w:sz w:val="15"/>
                <w:szCs w:val="15"/>
                <w:color w:val="auto"/>
              </w:rPr>
              <w:t>6.6</w:t>
            </w:r>
          </w:p>
        </w:tc>
        <w:tc>
          <w:tcPr>
            <w:tcW w:w="9320" w:type="dxa"/>
            <w:vAlign w:val="bottom"/>
          </w:tcPr>
          <w:p>
            <w:pPr>
              <w:ind w:left="620"/>
              <w:spacing w:after="0"/>
              <w:rPr>
                <w:sz w:val="20"/>
                <w:szCs w:val="20"/>
                <w:color w:val="auto"/>
              </w:rPr>
            </w:pPr>
            <w:r>
              <w:rPr>
                <w:rFonts w:ascii="Arial" w:cs="Arial" w:eastAsia="Arial" w:hAnsi="Arial"/>
                <w:sz w:val="15"/>
                <w:szCs w:val="15"/>
                <w:b w:val="1"/>
                <w:bCs w:val="1"/>
                <w:color w:val="auto"/>
              </w:rPr>
              <w:t xml:space="preserve">Bonding of Trustee. </w:t>
            </w:r>
            <w:r>
              <w:rPr>
                <w:rFonts w:ascii="Arial" w:cs="Arial" w:eastAsia="Arial" w:hAnsi="Arial"/>
                <w:sz w:val="15"/>
                <w:szCs w:val="15"/>
                <w:color w:val="auto"/>
              </w:rPr>
              <w:t>The Trustee will not be required to furnish any bond or security for the performance of its powers and duties</w:t>
            </w:r>
          </w:p>
        </w:tc>
      </w:tr>
      <w:tr>
        <w:trPr>
          <w:trHeight w:val="178"/>
        </w:trPr>
        <w:tc>
          <w:tcPr>
            <w:tcW w:w="10920" w:type="dxa"/>
            <w:vAlign w:val="bottom"/>
            <w:gridSpan w:val="2"/>
          </w:tcPr>
          <w:p>
            <w:pPr>
              <w:spacing w:after="0"/>
              <w:rPr>
                <w:sz w:val="20"/>
                <w:szCs w:val="20"/>
                <w:color w:val="auto"/>
              </w:rPr>
            </w:pPr>
            <w:r>
              <w:rPr>
                <w:rFonts w:ascii="Arial" w:cs="Arial" w:eastAsia="Arial" w:hAnsi="Arial"/>
                <w:sz w:val="15"/>
                <w:szCs w:val="15"/>
                <w:color w:val="auto"/>
              </w:rPr>
              <w:t>under this Trust Agreement, unless required to do so by applicable law.</w:t>
            </w:r>
          </w:p>
        </w:tc>
      </w:tr>
      <w:tr>
        <w:trPr>
          <w:trHeight w:val="388"/>
        </w:trPr>
        <w:tc>
          <w:tcPr>
            <w:tcW w:w="1600" w:type="dxa"/>
            <w:vAlign w:val="bottom"/>
          </w:tcPr>
          <w:p>
            <w:pPr>
              <w:jc w:val="right"/>
              <w:ind w:right="526"/>
              <w:spacing w:after="0"/>
              <w:rPr>
                <w:sz w:val="20"/>
                <w:szCs w:val="20"/>
                <w:color w:val="auto"/>
              </w:rPr>
            </w:pPr>
            <w:r>
              <w:rPr>
                <w:rFonts w:ascii="Arial" w:cs="Arial" w:eastAsia="Arial" w:hAnsi="Arial"/>
                <w:sz w:val="15"/>
                <w:szCs w:val="15"/>
                <w:color w:val="auto"/>
              </w:rPr>
              <w:t>6.7</w:t>
            </w:r>
          </w:p>
        </w:tc>
        <w:tc>
          <w:tcPr>
            <w:tcW w:w="9320" w:type="dxa"/>
            <w:vAlign w:val="bottom"/>
          </w:tcPr>
          <w:p>
            <w:pPr>
              <w:ind w:left="560"/>
              <w:spacing w:after="0"/>
              <w:rPr>
                <w:sz w:val="20"/>
                <w:szCs w:val="20"/>
                <w:color w:val="auto"/>
              </w:rPr>
            </w:pPr>
            <w:r>
              <w:rPr>
                <w:rFonts w:ascii="Arial" w:cs="Arial" w:eastAsia="Arial" w:hAnsi="Arial"/>
                <w:sz w:val="15"/>
                <w:szCs w:val="15"/>
                <w:b w:val="1"/>
                <w:bCs w:val="1"/>
                <w:color w:val="auto"/>
              </w:rPr>
              <w:t xml:space="preserve">Third Party. </w:t>
            </w:r>
            <w:r>
              <w:rPr>
                <w:rFonts w:ascii="Arial" w:cs="Arial" w:eastAsia="Arial" w:hAnsi="Arial"/>
                <w:sz w:val="15"/>
                <w:szCs w:val="15"/>
                <w:color w:val="auto"/>
              </w:rPr>
              <w:t>No person dealing with the Trustee will be obligated to see to the proper</w:t>
            </w:r>
          </w:p>
        </w:tc>
      </w:tr>
    </w:tbl>
    <w:p>
      <w:pPr>
        <w:spacing w:after="0" w:line="15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3">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494" w:right="319" w:bottom="1440" w:gutter="0" w:footer="0" w:header="0"/>
          <w:type w:val="continuous"/>
        </w:sectPr>
      </w:pPr>
    </w:p>
    <w:bookmarkStart w:id="228" w:name="page229"/>
    <w:bookmarkEnd w:id="228"/>
    <w:p>
      <w:pPr>
        <w:jc w:val="both"/>
        <w:ind w:left="20" w:right="460"/>
        <w:spacing w:after="0" w:line="235" w:lineRule="auto"/>
        <w:rPr>
          <w:sz w:val="20"/>
          <w:szCs w:val="20"/>
          <w:color w:val="auto"/>
        </w:rPr>
      </w:pPr>
      <w:r>
        <w:rPr>
          <w:rFonts w:ascii="Arial" w:cs="Arial" w:eastAsia="Arial" w:hAnsi="Arial"/>
          <w:sz w:val="15"/>
          <w:szCs w:val="15"/>
          <w:color w:val="auto"/>
        </w:rPr>
        <w:t>application of any money paid or property delivered to the Trustee, or to inquire whether the Trustee has acted pursuant to any of the terms of the Trust Agreement. Each person dealing with the Trustee may act upon any notice, request, or representation in writing by the Trustee, or by the Trustee's duly authorized agent, and will not be liable to any person in so doing. The certificate of the Trustee that it is acting in accordance with the Trust Agreement will be conclusive in favor of any person relying on the certificate.</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620" w:type="dxa"/>
            <w:vAlign w:val="bottom"/>
          </w:tcPr>
          <w:p>
            <w:pPr>
              <w:jc w:val="right"/>
              <w:ind w:right="526"/>
              <w:spacing w:after="0"/>
              <w:rPr>
                <w:sz w:val="20"/>
                <w:szCs w:val="20"/>
                <w:color w:val="auto"/>
              </w:rPr>
            </w:pPr>
            <w:r>
              <w:rPr>
                <w:rFonts w:ascii="Arial" w:cs="Arial" w:eastAsia="Arial" w:hAnsi="Arial"/>
                <w:sz w:val="15"/>
                <w:szCs w:val="15"/>
                <w:color w:val="auto"/>
              </w:rPr>
              <w:t>6.8</w:t>
            </w:r>
          </w:p>
        </w:tc>
        <w:tc>
          <w:tcPr>
            <w:tcW w:w="9300" w:type="dxa"/>
            <w:vAlign w:val="bottom"/>
          </w:tcPr>
          <w:p>
            <w:pPr>
              <w:ind w:left="560"/>
              <w:spacing w:after="0"/>
              <w:rPr>
                <w:sz w:val="20"/>
                <w:szCs w:val="20"/>
                <w:color w:val="auto"/>
              </w:rPr>
            </w:pPr>
            <w:r>
              <w:rPr>
                <w:rFonts w:ascii="Arial" w:cs="Arial" w:eastAsia="Arial" w:hAnsi="Arial"/>
                <w:sz w:val="15"/>
                <w:szCs w:val="15"/>
                <w:b w:val="1"/>
                <w:bCs w:val="1"/>
                <w:color w:val="auto"/>
              </w:rPr>
              <w:t xml:space="preserve">Tax and Information Returns. </w:t>
            </w:r>
            <w:r>
              <w:rPr>
                <w:rFonts w:ascii="Arial" w:cs="Arial" w:eastAsia="Arial" w:hAnsi="Arial"/>
                <w:sz w:val="15"/>
                <w:szCs w:val="15"/>
                <w:color w:val="auto"/>
              </w:rPr>
              <w:t>The Administrative Committee will be responsible for timely filing all tax and information returns,</w:t>
            </w:r>
          </w:p>
        </w:tc>
      </w:tr>
      <w:tr>
        <w:trPr>
          <w:trHeight w:val="178"/>
        </w:trPr>
        <w:tc>
          <w:tcPr>
            <w:tcW w:w="10920" w:type="dxa"/>
            <w:vAlign w:val="bottom"/>
            <w:gridSpan w:val="2"/>
          </w:tcPr>
          <w:p>
            <w:pPr>
              <w:spacing w:after="0"/>
              <w:rPr>
                <w:sz w:val="20"/>
                <w:szCs w:val="20"/>
                <w:color w:val="auto"/>
              </w:rPr>
            </w:pPr>
            <w:r>
              <w:rPr>
                <w:rFonts w:ascii="Arial" w:cs="Arial" w:eastAsia="Arial" w:hAnsi="Arial"/>
                <w:sz w:val="15"/>
                <w:szCs w:val="15"/>
                <w:color w:val="auto"/>
              </w:rPr>
              <w:t>as well as all required descriptions, reports, and disclosures, relating to the Trust.</w:t>
            </w:r>
          </w:p>
        </w:tc>
      </w:tr>
      <w:tr>
        <w:trPr>
          <w:trHeight w:val="344"/>
        </w:trPr>
        <w:tc>
          <w:tcPr>
            <w:tcW w:w="1620" w:type="dxa"/>
            <w:vAlign w:val="bottom"/>
          </w:tcPr>
          <w:p>
            <w:pPr>
              <w:spacing w:after="0"/>
              <w:rPr>
                <w:sz w:val="24"/>
                <w:szCs w:val="24"/>
                <w:color w:val="auto"/>
              </w:rPr>
            </w:pPr>
          </w:p>
        </w:tc>
        <w:tc>
          <w:tcPr>
            <w:tcW w:w="9300" w:type="dxa"/>
            <w:vAlign w:val="bottom"/>
          </w:tcPr>
          <w:p>
            <w:pPr>
              <w:jc w:val="center"/>
              <w:ind w:right="1506"/>
              <w:spacing w:after="0"/>
              <w:rPr>
                <w:sz w:val="20"/>
                <w:szCs w:val="20"/>
                <w:color w:val="auto"/>
              </w:rPr>
            </w:pPr>
            <w:r>
              <w:rPr>
                <w:rFonts w:ascii="Arial" w:cs="Arial" w:eastAsia="Arial" w:hAnsi="Arial"/>
                <w:sz w:val="15"/>
                <w:szCs w:val="15"/>
                <w:b w:val="1"/>
                <w:bCs w:val="1"/>
                <w:color w:val="auto"/>
                <w:w w:val="97"/>
              </w:rPr>
              <w:t>ARTICLE 7</w:t>
            </w:r>
          </w:p>
        </w:tc>
      </w:tr>
      <w:tr>
        <w:trPr>
          <w:trHeight w:val="344"/>
        </w:trPr>
        <w:tc>
          <w:tcPr>
            <w:tcW w:w="1620" w:type="dxa"/>
            <w:vAlign w:val="bottom"/>
          </w:tcPr>
          <w:p>
            <w:pPr>
              <w:spacing w:after="0"/>
              <w:rPr>
                <w:sz w:val="24"/>
                <w:szCs w:val="24"/>
                <w:color w:val="auto"/>
              </w:rPr>
            </w:pPr>
          </w:p>
        </w:tc>
        <w:tc>
          <w:tcPr>
            <w:tcW w:w="9300" w:type="dxa"/>
            <w:vAlign w:val="bottom"/>
          </w:tcPr>
          <w:p>
            <w:pPr>
              <w:jc w:val="center"/>
              <w:ind w:right="1506"/>
              <w:spacing w:after="0"/>
              <w:rPr>
                <w:sz w:val="20"/>
                <w:szCs w:val="20"/>
                <w:color w:val="auto"/>
              </w:rPr>
            </w:pPr>
            <w:r>
              <w:rPr>
                <w:rFonts w:ascii="Arial" w:cs="Arial" w:eastAsia="Arial" w:hAnsi="Arial"/>
                <w:sz w:val="15"/>
                <w:szCs w:val="15"/>
                <w:b w:val="1"/>
                <w:bCs w:val="1"/>
                <w:color w:val="auto"/>
                <w:w w:val="97"/>
              </w:rPr>
              <w:t>RESIGNATION OR REMOVAL OF THE TRUSTEE</w:t>
            </w:r>
          </w:p>
        </w:tc>
      </w:tr>
      <w:tr>
        <w:trPr>
          <w:trHeight w:val="332"/>
        </w:trPr>
        <w:tc>
          <w:tcPr>
            <w:tcW w:w="1620" w:type="dxa"/>
            <w:vAlign w:val="bottom"/>
          </w:tcPr>
          <w:p>
            <w:pPr>
              <w:jc w:val="right"/>
              <w:ind w:right="486"/>
              <w:spacing w:after="0"/>
              <w:rPr>
                <w:sz w:val="20"/>
                <w:szCs w:val="20"/>
                <w:color w:val="auto"/>
              </w:rPr>
            </w:pPr>
            <w:r>
              <w:rPr>
                <w:rFonts w:ascii="Arial" w:cs="Arial" w:eastAsia="Arial" w:hAnsi="Arial"/>
                <w:sz w:val="15"/>
                <w:szCs w:val="15"/>
                <w:color w:val="auto"/>
              </w:rPr>
              <w:t>7.1</w:t>
            </w:r>
          </w:p>
        </w:tc>
        <w:tc>
          <w:tcPr>
            <w:tcW w:w="9300" w:type="dxa"/>
            <w:vAlign w:val="bottom"/>
          </w:tcPr>
          <w:p>
            <w:pPr>
              <w:ind w:left="580"/>
              <w:spacing w:after="0"/>
              <w:rPr>
                <w:sz w:val="20"/>
                <w:szCs w:val="20"/>
                <w:color w:val="auto"/>
              </w:rPr>
            </w:pPr>
            <w:r>
              <w:rPr>
                <w:rFonts w:ascii="Arial" w:cs="Arial" w:eastAsia="Arial" w:hAnsi="Arial"/>
                <w:sz w:val="15"/>
                <w:szCs w:val="15"/>
                <w:b w:val="1"/>
                <w:bCs w:val="1"/>
                <w:color w:val="auto"/>
                <w:w w:val="99"/>
              </w:rPr>
              <w:t xml:space="preserve">Resignation. </w:t>
            </w:r>
            <w:r>
              <w:rPr>
                <w:rFonts w:ascii="Arial" w:cs="Arial" w:eastAsia="Arial" w:hAnsi="Arial"/>
                <w:sz w:val="15"/>
                <w:szCs w:val="15"/>
                <w:color w:val="auto"/>
                <w:w w:val="99"/>
              </w:rPr>
              <w:t>The Trustee may resign at any time by delivering to the Company a written notice of resignation, to take effect not less</w:t>
            </w:r>
          </w:p>
        </w:tc>
      </w:tr>
      <w:tr>
        <w:trPr>
          <w:trHeight w:val="178"/>
        </w:trPr>
        <w:tc>
          <w:tcPr>
            <w:tcW w:w="10920" w:type="dxa"/>
            <w:vAlign w:val="bottom"/>
            <w:gridSpan w:val="2"/>
          </w:tcPr>
          <w:p>
            <w:pPr>
              <w:spacing w:after="0"/>
              <w:rPr>
                <w:sz w:val="20"/>
                <w:szCs w:val="20"/>
                <w:color w:val="auto"/>
              </w:rPr>
            </w:pPr>
            <w:r>
              <w:rPr>
                <w:rFonts w:ascii="Arial" w:cs="Arial" w:eastAsia="Arial" w:hAnsi="Arial"/>
                <w:sz w:val="15"/>
                <w:szCs w:val="15"/>
                <w:color w:val="auto"/>
              </w:rPr>
              <w:t>than 30 days after delivery, unless such notice is waived by the Company.</w:t>
            </w:r>
          </w:p>
        </w:tc>
      </w:tr>
      <w:tr>
        <w:trPr>
          <w:trHeight w:val="332"/>
        </w:trPr>
        <w:tc>
          <w:tcPr>
            <w:tcW w:w="1620" w:type="dxa"/>
            <w:vAlign w:val="bottom"/>
          </w:tcPr>
          <w:p>
            <w:pPr>
              <w:jc w:val="right"/>
              <w:ind w:right="486"/>
              <w:spacing w:after="0"/>
              <w:rPr>
                <w:sz w:val="20"/>
                <w:szCs w:val="20"/>
                <w:color w:val="auto"/>
              </w:rPr>
            </w:pPr>
            <w:r>
              <w:rPr>
                <w:rFonts w:ascii="Arial" w:cs="Arial" w:eastAsia="Arial" w:hAnsi="Arial"/>
                <w:sz w:val="15"/>
                <w:szCs w:val="15"/>
                <w:color w:val="auto"/>
              </w:rPr>
              <w:t>7.2</w:t>
            </w:r>
          </w:p>
        </w:tc>
        <w:tc>
          <w:tcPr>
            <w:tcW w:w="9300" w:type="dxa"/>
            <w:vAlign w:val="bottom"/>
          </w:tcPr>
          <w:p>
            <w:pPr>
              <w:ind w:left="580"/>
              <w:spacing w:after="0"/>
              <w:rPr>
                <w:sz w:val="20"/>
                <w:szCs w:val="20"/>
                <w:color w:val="auto"/>
              </w:rPr>
            </w:pPr>
            <w:r>
              <w:rPr>
                <w:rFonts w:ascii="Arial" w:cs="Arial" w:eastAsia="Arial" w:hAnsi="Arial"/>
                <w:sz w:val="15"/>
                <w:szCs w:val="15"/>
                <w:b w:val="1"/>
                <w:bCs w:val="1"/>
                <w:color w:val="auto"/>
              </w:rPr>
              <w:t xml:space="preserve">Removal. </w:t>
            </w:r>
            <w:r>
              <w:rPr>
                <w:rFonts w:ascii="Arial" w:cs="Arial" w:eastAsia="Arial" w:hAnsi="Arial"/>
                <w:sz w:val="15"/>
                <w:szCs w:val="15"/>
                <w:color w:val="auto"/>
              </w:rPr>
              <w:t>The Company may remove the Trustee at any time by delivering to the Trustee, not less than 30 days before it is to take</w:t>
            </w:r>
          </w:p>
        </w:tc>
      </w:tr>
      <w:tr>
        <w:trPr>
          <w:trHeight w:val="178"/>
        </w:trPr>
        <w:tc>
          <w:tcPr>
            <w:tcW w:w="10920" w:type="dxa"/>
            <w:vAlign w:val="bottom"/>
            <w:gridSpan w:val="2"/>
          </w:tcPr>
          <w:p>
            <w:pPr>
              <w:spacing w:after="0"/>
              <w:rPr>
                <w:sz w:val="20"/>
                <w:szCs w:val="20"/>
                <w:color w:val="auto"/>
              </w:rPr>
            </w:pPr>
            <w:r>
              <w:rPr>
                <w:rFonts w:ascii="Arial" w:cs="Arial" w:eastAsia="Arial" w:hAnsi="Arial"/>
                <w:sz w:val="15"/>
                <w:szCs w:val="15"/>
                <w:color w:val="auto"/>
              </w:rPr>
              <w:t>effect, a written notice of removal, unless such notice is waived by the Trustee.</w:t>
            </w:r>
          </w:p>
        </w:tc>
      </w:tr>
      <w:tr>
        <w:trPr>
          <w:trHeight w:val="332"/>
        </w:trPr>
        <w:tc>
          <w:tcPr>
            <w:tcW w:w="1620" w:type="dxa"/>
            <w:vAlign w:val="bottom"/>
          </w:tcPr>
          <w:p>
            <w:pPr>
              <w:jc w:val="right"/>
              <w:ind w:right="506"/>
              <w:spacing w:after="0"/>
              <w:rPr>
                <w:sz w:val="20"/>
                <w:szCs w:val="20"/>
                <w:color w:val="auto"/>
              </w:rPr>
            </w:pPr>
            <w:r>
              <w:rPr>
                <w:rFonts w:ascii="Arial" w:cs="Arial" w:eastAsia="Arial" w:hAnsi="Arial"/>
                <w:sz w:val="15"/>
                <w:szCs w:val="15"/>
                <w:color w:val="auto"/>
              </w:rPr>
              <w:t>7.3</w:t>
            </w:r>
          </w:p>
        </w:tc>
        <w:tc>
          <w:tcPr>
            <w:tcW w:w="9300" w:type="dxa"/>
            <w:vAlign w:val="bottom"/>
          </w:tcPr>
          <w:p>
            <w:pPr>
              <w:ind w:left="580"/>
              <w:spacing w:after="0"/>
              <w:rPr>
                <w:sz w:val="20"/>
                <w:szCs w:val="20"/>
                <w:color w:val="auto"/>
              </w:rPr>
            </w:pPr>
            <w:r>
              <w:rPr>
                <w:rFonts w:ascii="Arial" w:cs="Arial" w:eastAsia="Arial" w:hAnsi="Arial"/>
                <w:sz w:val="15"/>
                <w:szCs w:val="15"/>
                <w:b w:val="1"/>
                <w:bCs w:val="1"/>
                <w:color w:val="auto"/>
              </w:rPr>
              <w:t xml:space="preserve">Successor Trustee.  </w:t>
            </w:r>
            <w:r>
              <w:rPr>
                <w:rFonts w:ascii="Arial" w:cs="Arial" w:eastAsia="Arial" w:hAnsi="Arial"/>
                <w:sz w:val="15"/>
                <w:szCs w:val="15"/>
                <w:color w:val="auto"/>
              </w:rPr>
              <w:t>Upon the resignation or removal of the Trustee, the Company will appoint a successor trustee, which may</w:t>
            </w:r>
          </w:p>
        </w:tc>
      </w:tr>
    </w:tbl>
    <w:p>
      <w:pPr>
        <w:jc w:val="both"/>
        <w:ind w:left="20" w:right="260"/>
        <w:spacing w:after="0" w:line="236" w:lineRule="auto"/>
        <w:rPr>
          <w:sz w:val="20"/>
          <w:szCs w:val="20"/>
          <w:color w:val="auto"/>
        </w:rPr>
      </w:pPr>
      <w:r>
        <w:rPr>
          <w:rFonts w:ascii="Arial" w:cs="Arial" w:eastAsia="Arial" w:hAnsi="Arial"/>
          <w:sz w:val="15"/>
          <w:szCs w:val="15"/>
          <w:color w:val="auto"/>
        </w:rPr>
        <w:t>accept such appointment by adoption of this Trust Agreement. In the event that no successor trustee is appointed, the Trustee will continue to act as trustee until a successor trustee is appointed. If, within 60 days after notice of resignation or removal has been given, a successor trustee has not been appointed, the Trustee or the Company may apply to a court of competent jurisdiction for the appointment of a successor trustee.</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400" w:type="dxa"/>
            <w:vAlign w:val="bottom"/>
          </w:tcPr>
          <w:p>
            <w:pPr>
              <w:jc w:val="right"/>
              <w:ind w:right="306"/>
              <w:spacing w:after="0"/>
              <w:rPr>
                <w:sz w:val="20"/>
                <w:szCs w:val="20"/>
                <w:color w:val="auto"/>
              </w:rPr>
            </w:pPr>
            <w:r>
              <w:rPr>
                <w:rFonts w:ascii="Arial" w:cs="Arial" w:eastAsia="Arial" w:hAnsi="Arial"/>
                <w:sz w:val="15"/>
                <w:szCs w:val="15"/>
                <w:color w:val="auto"/>
              </w:rPr>
              <w:t>7.4</w:t>
            </w:r>
          </w:p>
        </w:tc>
        <w:tc>
          <w:tcPr>
            <w:tcW w:w="640" w:type="dxa"/>
            <w:vAlign w:val="bottom"/>
          </w:tcPr>
          <w:p>
            <w:pPr>
              <w:spacing w:after="0"/>
              <w:rPr>
                <w:sz w:val="16"/>
                <w:szCs w:val="16"/>
                <w:color w:val="auto"/>
              </w:rPr>
            </w:pPr>
          </w:p>
        </w:tc>
        <w:tc>
          <w:tcPr>
            <w:tcW w:w="8760" w:type="dxa"/>
            <w:vAlign w:val="bottom"/>
          </w:tcPr>
          <w:p>
            <w:pPr>
              <w:ind w:left="140"/>
              <w:spacing w:after="0"/>
              <w:rPr>
                <w:sz w:val="20"/>
                <w:szCs w:val="20"/>
                <w:color w:val="auto"/>
              </w:rPr>
            </w:pPr>
            <w:r>
              <w:rPr>
                <w:rFonts w:ascii="Arial" w:cs="Arial" w:eastAsia="Arial" w:hAnsi="Arial"/>
                <w:sz w:val="15"/>
                <w:szCs w:val="15"/>
                <w:b w:val="1"/>
                <w:bCs w:val="1"/>
                <w:color w:val="auto"/>
              </w:rPr>
              <w:t xml:space="preserve">Settlement. </w:t>
            </w:r>
            <w:r>
              <w:rPr>
                <w:rFonts w:ascii="Arial" w:cs="Arial" w:eastAsia="Arial" w:hAnsi="Arial"/>
                <w:sz w:val="15"/>
                <w:szCs w:val="15"/>
                <w:color w:val="auto"/>
              </w:rPr>
              <w:t>The Trustee will have the right to have a final settlement of the accounts of the Trust by judicial settlement in an</w:t>
            </w:r>
          </w:p>
        </w:tc>
      </w:tr>
      <w:tr>
        <w:trPr>
          <w:trHeight w:val="178"/>
        </w:trPr>
        <w:tc>
          <w:tcPr>
            <w:tcW w:w="10800" w:type="dxa"/>
            <w:vAlign w:val="bottom"/>
            <w:gridSpan w:val="3"/>
          </w:tcPr>
          <w:p>
            <w:pPr>
              <w:spacing w:after="0"/>
              <w:rPr>
                <w:sz w:val="20"/>
                <w:szCs w:val="20"/>
                <w:color w:val="auto"/>
              </w:rPr>
            </w:pPr>
            <w:r>
              <w:rPr>
                <w:rFonts w:ascii="Arial" w:cs="Arial" w:eastAsia="Arial" w:hAnsi="Arial"/>
                <w:sz w:val="15"/>
                <w:szCs w:val="15"/>
                <w:color w:val="auto"/>
              </w:rPr>
              <w:t>action instituted by the Trustee in a court of competent jurisdiction.</w:t>
            </w:r>
          </w:p>
        </w:tc>
      </w:tr>
      <w:tr>
        <w:trPr>
          <w:trHeight w:val="344"/>
        </w:trPr>
        <w:tc>
          <w:tcPr>
            <w:tcW w:w="1400" w:type="dxa"/>
            <w:vAlign w:val="bottom"/>
          </w:tcPr>
          <w:p>
            <w:pPr>
              <w:jc w:val="right"/>
              <w:ind w:right="246"/>
              <w:spacing w:after="0"/>
              <w:rPr>
                <w:sz w:val="20"/>
                <w:szCs w:val="20"/>
                <w:color w:val="auto"/>
              </w:rPr>
            </w:pPr>
            <w:r>
              <w:rPr>
                <w:rFonts w:ascii="Arial" w:cs="Arial" w:eastAsia="Arial" w:hAnsi="Arial"/>
                <w:sz w:val="15"/>
                <w:szCs w:val="15"/>
                <w:color w:val="auto"/>
              </w:rPr>
              <w:t>7.5</w:t>
            </w:r>
          </w:p>
        </w:tc>
        <w:tc>
          <w:tcPr>
            <w:tcW w:w="9400" w:type="dxa"/>
            <w:vAlign w:val="bottom"/>
            <w:gridSpan w:val="2"/>
          </w:tcPr>
          <w:p>
            <w:pPr>
              <w:ind w:left="340"/>
              <w:spacing w:after="0"/>
              <w:rPr>
                <w:sz w:val="20"/>
                <w:szCs w:val="20"/>
                <w:color w:val="auto"/>
              </w:rPr>
            </w:pPr>
            <w:r>
              <w:rPr>
                <w:rFonts w:ascii="Arial" w:cs="Arial" w:eastAsia="Arial" w:hAnsi="Arial"/>
                <w:sz w:val="15"/>
                <w:szCs w:val="15"/>
                <w:b w:val="1"/>
                <w:bCs w:val="1"/>
                <w:color w:val="auto"/>
              </w:rPr>
              <w:t>Transfer to Successor Trustee.</w:t>
            </w:r>
          </w:p>
        </w:tc>
      </w:tr>
      <w:tr>
        <w:trPr>
          <w:trHeight w:val="332"/>
        </w:trPr>
        <w:tc>
          <w:tcPr>
            <w:tcW w:w="14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5"/>
                <w:szCs w:val="15"/>
                <w:color w:val="auto"/>
              </w:rPr>
              <w:t>(a)</w:t>
            </w:r>
          </w:p>
        </w:tc>
        <w:tc>
          <w:tcPr>
            <w:tcW w:w="8760" w:type="dxa"/>
            <w:vAlign w:val="bottom"/>
          </w:tcPr>
          <w:p>
            <w:pPr>
              <w:ind w:left="1540"/>
              <w:spacing w:after="0"/>
              <w:rPr>
                <w:sz w:val="20"/>
                <w:szCs w:val="20"/>
                <w:color w:val="auto"/>
              </w:rPr>
            </w:pPr>
            <w:r>
              <w:rPr>
                <w:rFonts w:ascii="Arial" w:cs="Arial" w:eastAsia="Arial" w:hAnsi="Arial"/>
                <w:sz w:val="15"/>
                <w:szCs w:val="15"/>
                <w:color w:val="auto"/>
                <w:w w:val="98"/>
              </w:rPr>
              <w:t>Upon settlement of the Trustee's account, the Trustee will transfer to the successor trustee the Trust Fund as it</w:t>
            </w:r>
          </w:p>
        </w:tc>
      </w:tr>
    </w:tbl>
    <w:p>
      <w:pPr>
        <w:jc w:val="both"/>
        <w:ind w:left="20" w:right="320"/>
        <w:spacing w:after="0" w:line="235" w:lineRule="auto"/>
        <w:rPr>
          <w:sz w:val="20"/>
          <w:szCs w:val="20"/>
          <w:color w:val="auto"/>
        </w:rPr>
      </w:pPr>
      <w:r>
        <w:rPr>
          <w:rFonts w:ascii="Arial" w:cs="Arial" w:eastAsia="Arial" w:hAnsi="Arial"/>
          <w:sz w:val="15"/>
          <w:szCs w:val="15"/>
          <w:color w:val="auto"/>
        </w:rPr>
        <w:t>is then constituted and true copies of its records relating to the Trust Fund. Upon the completion of this transfer, the Trustee's responsibilities under this Trust Agreement will cease, and the Trustee will be discharged from further accountability for all matters embraced in its settlement; provided, however, that the Trustee executes and delivers all documents and written instruments which are necessary to transfer and convey the right, title and interest in the Trust Fund assets, and all rights and privileges with respect to such assets, to the successor trustee.</w:t>
      </w:r>
    </w:p>
    <w:p>
      <w:pPr>
        <w:spacing w:after="0" w:line="211" w:lineRule="exact"/>
        <w:rPr>
          <w:sz w:val="20"/>
          <w:szCs w:val="20"/>
          <w:color w:val="auto"/>
        </w:rPr>
      </w:pPr>
    </w:p>
    <w:p>
      <w:pPr>
        <w:jc w:val="both"/>
        <w:ind w:right="220" w:firstLine="1704"/>
        <w:spacing w:after="0" w:line="234" w:lineRule="auto"/>
        <w:rPr>
          <w:sz w:val="20"/>
          <w:szCs w:val="20"/>
          <w:color w:val="auto"/>
        </w:rPr>
      </w:pPr>
      <w:r>
        <w:rPr>
          <w:rFonts w:ascii="Arial" w:cs="Arial" w:eastAsia="Arial" w:hAnsi="Arial"/>
          <w:sz w:val="15"/>
          <w:szCs w:val="15"/>
          <w:color w:val="auto"/>
        </w:rPr>
        <w:t>(b) Notwithstanding the foregoing provisions, the Trustee is authorized to reserve such amount as it may deem advisable for payment of its fees and expenses in connection with the settlement of its account, to the extent not previously paid by the Company. Any balance of such reserve remaining after the payment of such fees and expenses will be paid over promptly to the successor trustee. Notwithstanding any provision of this Trust Agreement to the contrary, the Trustee may invest and reinvest such reserves in any investment or investment vehicle appropriate for the temporary investment of cash reserves of the Trust. The successor trustee will neither be liable nor responsible for any act or omission to act with respect to the operation or</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314960</wp:posOffset>
            </wp:positionV>
            <wp:extent cx="7171055" cy="13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4">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40"/>
          </w:cols>
          <w:pgMar w:left="440" w:top="372" w:right="319" w:bottom="1440" w:gutter="0" w:footer="0" w:header="0"/>
        </w:sectPr>
      </w:pPr>
    </w:p>
    <w:bookmarkStart w:id="229" w:name="page230"/>
    <w:bookmarkEnd w:id="229"/>
    <w:p>
      <w:pPr>
        <w:ind w:right="220"/>
        <w:spacing w:after="0" w:line="239" w:lineRule="auto"/>
        <w:rPr>
          <w:sz w:val="20"/>
          <w:szCs w:val="20"/>
          <w:color w:val="auto"/>
        </w:rPr>
      </w:pPr>
      <w:r>
        <w:rPr>
          <w:rFonts w:ascii="Arial" w:cs="Arial" w:eastAsia="Arial" w:hAnsi="Arial"/>
          <w:sz w:val="15"/>
          <w:szCs w:val="15"/>
          <w:color w:val="auto"/>
        </w:rPr>
        <w:t>administration of the Trust Fund under this Trust Agreement prior to such date, nor be under any duty or obligation to audit or otherwise inquire into or take any action concerning the acts or omissions of the Trustee or any predecessor trustee.</w:t>
      </w:r>
    </w:p>
    <w:p>
      <w:pPr>
        <w:spacing w:after="0" w:line="148" w:lineRule="exact"/>
        <w:rPr>
          <w:sz w:val="20"/>
          <w:szCs w:val="20"/>
          <w:color w:val="auto"/>
        </w:rPr>
      </w:pPr>
    </w:p>
    <w:p>
      <w:pPr>
        <w:jc w:val="both"/>
        <w:ind w:right="260" w:firstLine="848"/>
        <w:spacing w:after="0" w:line="247"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b w:val="1"/>
          <w:bCs w:val="1"/>
          <w:color w:val="auto"/>
        </w:rPr>
        <w:t>Duties of the Trustee Prior to Transfer to Successor Trustee.</w:t>
      </w:r>
      <w:r>
        <w:rPr>
          <w:rFonts w:ascii="Arial" w:cs="Arial" w:eastAsia="Arial" w:hAnsi="Arial"/>
          <w:sz w:val="15"/>
          <w:szCs w:val="15"/>
          <w:color w:val="auto"/>
        </w:rPr>
        <w:t xml:space="preserve"> The Trustee's powers, duties, rights and responsibilities under this Trust Agreement will continue until the date on which the transfer of the Trust Fund assets and delivery of the related documents to the successor trustee under Section 7.5 is completed. Nothing contained herein will relieve the Trustee of its duties under Section 5.7.</w:t>
      </w:r>
    </w:p>
    <w:p>
      <w:pPr>
        <w:spacing w:after="0" w:line="143" w:lineRule="exact"/>
        <w:rPr>
          <w:sz w:val="20"/>
          <w:szCs w:val="20"/>
          <w:color w:val="auto"/>
        </w:rPr>
      </w:pPr>
    </w:p>
    <w:p>
      <w:pPr>
        <w:jc w:val="both"/>
        <w:ind w:right="280" w:firstLine="847"/>
        <w:spacing w:after="0" w:line="247"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b w:val="1"/>
          <w:bCs w:val="1"/>
          <w:color w:val="auto"/>
        </w:rPr>
        <w:t>Powers, Duties and Rights of the Successor Trustee.</w:t>
      </w:r>
      <w:r>
        <w:rPr>
          <w:rFonts w:ascii="Arial" w:cs="Arial" w:eastAsia="Arial" w:hAnsi="Arial"/>
          <w:sz w:val="15"/>
          <w:szCs w:val="15"/>
          <w:color w:val="auto"/>
        </w:rPr>
        <w:t xml:space="preserve"> Upon its receipt of all the assets of the Trust Fund and all of the documents related thereto, the successor trustee will become vested with all the estate, powers, duties, rights and discretion of the Trustee under this Trust Agreement with the same effect as though the successor trustee were originally named as Trustee hereunder.</w:t>
      </w:r>
    </w:p>
    <w:p>
      <w:pPr>
        <w:spacing w:after="0" w:line="143" w:lineRule="exact"/>
        <w:rPr>
          <w:sz w:val="20"/>
          <w:szCs w:val="20"/>
          <w:color w:val="auto"/>
        </w:rPr>
      </w:pPr>
    </w:p>
    <w:p>
      <w:pPr>
        <w:jc w:val="both"/>
        <w:ind w:right="380" w:firstLine="836"/>
        <w:spacing w:after="0" w:line="247" w:lineRule="auto"/>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b w:val="1"/>
          <w:bCs w:val="1"/>
          <w:color w:val="auto"/>
        </w:rPr>
        <w:t>Merger or Consolidation Involving Corporate Trustee.</w:t>
      </w:r>
      <w:r>
        <w:rPr>
          <w:rFonts w:ascii="Arial" w:cs="Arial" w:eastAsia="Arial" w:hAnsi="Arial"/>
          <w:sz w:val="15"/>
          <w:szCs w:val="15"/>
          <w:color w:val="auto"/>
        </w:rPr>
        <w:t xml:space="preserve"> Any corporation into which a corporation acting as Trustee hereunder may be merged or with which it may be consolidated, or any corporation resulting from any merger, reorganization or consolidation to which such Trustee may be a party, will be the successor of the Trustee hereunder without the necessity of any appointment or other action, provided it does not resign and is not removed.</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0" w:type="dxa"/>
            <w:vAlign w:val="bottom"/>
          </w:tcPr>
          <w:p>
            <w:pPr>
              <w:ind w:left="2000"/>
              <w:spacing w:after="0"/>
              <w:rPr>
                <w:sz w:val="20"/>
                <w:szCs w:val="20"/>
                <w:color w:val="auto"/>
              </w:rPr>
            </w:pPr>
            <w:r>
              <w:rPr>
                <w:rFonts w:ascii="Arial" w:cs="Arial" w:eastAsia="Arial" w:hAnsi="Arial"/>
                <w:sz w:val="15"/>
                <w:szCs w:val="15"/>
                <w:b w:val="1"/>
                <w:bCs w:val="1"/>
                <w:color w:val="auto"/>
              </w:rPr>
              <w:t>ARTICLE 8</w:t>
            </w:r>
          </w:p>
        </w:tc>
        <w:tc>
          <w:tcPr>
            <w:tcW w:w="0" w:type="dxa"/>
            <w:vAlign w:val="bottom"/>
          </w:tcPr>
          <w:p>
            <w:pPr>
              <w:spacing w:after="0"/>
              <w:rPr>
                <w:sz w:val="1"/>
                <w:szCs w:val="1"/>
                <w:color w:val="auto"/>
              </w:rPr>
            </w:pPr>
          </w:p>
        </w:tc>
      </w:tr>
      <w:tr>
        <w:trPr>
          <w:trHeight w:val="314"/>
        </w:trPr>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0" w:type="dxa"/>
            <w:vAlign w:val="bottom"/>
          </w:tcPr>
          <w:p>
            <w:pPr>
              <w:jc w:val="center"/>
              <w:ind w:right="2906"/>
              <w:spacing w:after="0"/>
              <w:rPr>
                <w:sz w:val="20"/>
                <w:szCs w:val="20"/>
                <w:color w:val="auto"/>
              </w:rPr>
            </w:pPr>
            <w:r>
              <w:rPr>
                <w:rFonts w:ascii="Arial" w:cs="Arial" w:eastAsia="Arial" w:hAnsi="Arial"/>
                <w:sz w:val="15"/>
                <w:szCs w:val="15"/>
                <w:b w:val="1"/>
                <w:bCs w:val="1"/>
                <w:color w:val="auto"/>
                <w:w w:val="98"/>
              </w:rPr>
              <w:t>AMENDMENT OF THE TRUST AGREEMENT,</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0" w:type="dxa"/>
            <w:vAlign w:val="bottom"/>
          </w:tcPr>
          <w:p>
            <w:pPr>
              <w:jc w:val="center"/>
              <w:ind w:right="2906"/>
              <w:spacing w:after="0"/>
              <w:rPr>
                <w:sz w:val="20"/>
                <w:szCs w:val="20"/>
                <w:color w:val="auto"/>
              </w:rPr>
            </w:pPr>
            <w:r>
              <w:rPr>
                <w:rFonts w:ascii="Arial" w:cs="Arial" w:eastAsia="Arial" w:hAnsi="Arial"/>
                <w:sz w:val="15"/>
                <w:szCs w:val="15"/>
                <w:b w:val="1"/>
                <w:bCs w:val="1"/>
                <w:color w:val="auto"/>
                <w:w w:val="97"/>
              </w:rPr>
              <w:t>TERMINATION OF A PLAN AND COMMUNICATIONS</w:t>
            </w:r>
          </w:p>
        </w:tc>
        <w:tc>
          <w:tcPr>
            <w:tcW w:w="0" w:type="dxa"/>
            <w:vAlign w:val="bottom"/>
          </w:tcPr>
          <w:p>
            <w:pPr>
              <w:spacing w:after="0"/>
              <w:rPr>
                <w:sz w:val="1"/>
                <w:szCs w:val="1"/>
                <w:color w:val="auto"/>
              </w:rPr>
            </w:pPr>
          </w:p>
        </w:tc>
      </w:tr>
      <w:tr>
        <w:trPr>
          <w:trHeight w:val="332"/>
        </w:trPr>
        <w:tc>
          <w:tcPr>
            <w:tcW w:w="2040" w:type="dxa"/>
            <w:vAlign w:val="bottom"/>
          </w:tcPr>
          <w:p>
            <w:pPr>
              <w:ind w:left="860"/>
              <w:spacing w:after="0"/>
              <w:rPr>
                <w:sz w:val="20"/>
                <w:szCs w:val="20"/>
                <w:color w:val="auto"/>
              </w:rPr>
            </w:pPr>
            <w:r>
              <w:rPr>
                <w:rFonts w:ascii="Arial" w:cs="Arial" w:eastAsia="Arial" w:hAnsi="Arial"/>
                <w:sz w:val="15"/>
                <w:szCs w:val="15"/>
                <w:color w:val="auto"/>
              </w:rPr>
              <w:t>8.1</w:t>
            </w:r>
          </w:p>
        </w:tc>
        <w:tc>
          <w:tcPr>
            <w:tcW w:w="8820" w:type="dxa"/>
            <w:vAlign w:val="bottom"/>
            <w:gridSpan w:val="2"/>
          </w:tcPr>
          <w:p>
            <w:pPr>
              <w:ind w:left="180"/>
              <w:spacing w:after="0"/>
              <w:rPr>
                <w:sz w:val="20"/>
                <w:szCs w:val="20"/>
                <w:color w:val="auto"/>
              </w:rPr>
            </w:pPr>
            <w:r>
              <w:rPr>
                <w:rFonts w:ascii="Arial" w:cs="Arial" w:eastAsia="Arial" w:hAnsi="Arial"/>
                <w:sz w:val="15"/>
                <w:szCs w:val="15"/>
                <w:b w:val="1"/>
                <w:bCs w:val="1"/>
                <w:color w:val="auto"/>
              </w:rPr>
              <w:t>Amendment of the Trust Agreement.</w:t>
            </w:r>
          </w:p>
        </w:tc>
        <w:tc>
          <w:tcPr>
            <w:tcW w:w="0" w:type="dxa"/>
            <w:vAlign w:val="bottom"/>
          </w:tcPr>
          <w:p>
            <w:pPr>
              <w:spacing w:after="0"/>
              <w:rPr>
                <w:sz w:val="1"/>
                <w:szCs w:val="1"/>
                <w:color w:val="auto"/>
              </w:rPr>
            </w:pPr>
          </w:p>
        </w:tc>
      </w:tr>
      <w:tr>
        <w:trPr>
          <w:trHeight w:val="332"/>
        </w:trPr>
        <w:tc>
          <w:tcPr>
            <w:tcW w:w="2040" w:type="dxa"/>
            <w:vAlign w:val="bottom"/>
          </w:tcPr>
          <w:p>
            <w:pPr>
              <w:ind w:left="1660"/>
              <w:spacing w:after="0"/>
              <w:rPr>
                <w:sz w:val="20"/>
                <w:szCs w:val="20"/>
                <w:color w:val="auto"/>
              </w:rPr>
            </w:pPr>
            <w:r>
              <w:rPr>
                <w:rFonts w:ascii="Arial" w:cs="Arial" w:eastAsia="Arial" w:hAnsi="Arial"/>
                <w:sz w:val="15"/>
                <w:szCs w:val="15"/>
                <w:color w:val="auto"/>
              </w:rPr>
              <w:t>(a)</w:t>
            </w:r>
          </w:p>
        </w:tc>
        <w:tc>
          <w:tcPr>
            <w:tcW w:w="1020" w:type="dxa"/>
            <w:vAlign w:val="bottom"/>
          </w:tcPr>
          <w:p>
            <w:pPr>
              <w:spacing w:after="0"/>
              <w:rPr>
                <w:sz w:val="24"/>
                <w:szCs w:val="24"/>
                <w:color w:val="auto"/>
              </w:rPr>
            </w:pPr>
          </w:p>
        </w:tc>
        <w:tc>
          <w:tcPr>
            <w:tcW w:w="7800" w:type="dxa"/>
            <w:vAlign w:val="bottom"/>
          </w:tcPr>
          <w:p>
            <w:pPr>
              <w:ind w:left="460"/>
              <w:spacing w:after="0"/>
              <w:rPr>
                <w:sz w:val="20"/>
                <w:szCs w:val="20"/>
                <w:color w:val="auto"/>
              </w:rPr>
            </w:pPr>
            <w:r>
              <w:rPr>
                <w:rFonts w:ascii="Arial" w:cs="Arial" w:eastAsia="Arial" w:hAnsi="Arial"/>
                <w:sz w:val="15"/>
                <w:szCs w:val="15"/>
                <w:color w:val="auto"/>
              </w:rPr>
              <w:t>The Company reserves the right to amend this Trust Agreement in the manner set forth in Section 8.1(b) at</w:t>
            </w:r>
          </w:p>
        </w:tc>
        <w:tc>
          <w:tcPr>
            <w:tcW w:w="0" w:type="dxa"/>
            <w:vAlign w:val="bottom"/>
          </w:tcPr>
          <w:p>
            <w:pPr>
              <w:spacing w:after="0"/>
              <w:rPr>
                <w:sz w:val="1"/>
                <w:szCs w:val="1"/>
                <w:color w:val="auto"/>
              </w:rPr>
            </w:pPr>
          </w:p>
        </w:tc>
      </w:tr>
      <w:tr>
        <w:trPr>
          <w:trHeight w:val="178"/>
        </w:trPr>
        <w:tc>
          <w:tcPr>
            <w:tcW w:w="10860" w:type="dxa"/>
            <w:vAlign w:val="bottom"/>
            <w:gridSpan w:val="3"/>
          </w:tcPr>
          <w:p>
            <w:pPr>
              <w:spacing w:after="0"/>
              <w:rPr>
                <w:sz w:val="20"/>
                <w:szCs w:val="20"/>
                <w:color w:val="auto"/>
              </w:rPr>
            </w:pPr>
            <w:r>
              <w:rPr>
                <w:rFonts w:ascii="Arial" w:cs="Arial" w:eastAsia="Arial" w:hAnsi="Arial"/>
                <w:sz w:val="15"/>
                <w:szCs w:val="15"/>
                <w:color w:val="auto"/>
              </w:rPr>
              <w:t>any time and to any extent that it may deem advisable or appropriate, provided, however, that:</w:t>
            </w:r>
          </w:p>
        </w:tc>
        <w:tc>
          <w:tcPr>
            <w:tcW w:w="0" w:type="dxa"/>
            <w:vAlign w:val="bottom"/>
          </w:tcPr>
          <w:p>
            <w:pPr>
              <w:spacing w:after="0"/>
              <w:rPr>
                <w:sz w:val="1"/>
                <w:szCs w:val="1"/>
                <w:color w:val="auto"/>
              </w:rPr>
            </w:pPr>
          </w:p>
        </w:tc>
      </w:tr>
      <w:tr>
        <w:trPr>
          <w:trHeight w:val="332"/>
        </w:trPr>
        <w:tc>
          <w:tcPr>
            <w:tcW w:w="2040" w:type="dxa"/>
            <w:vAlign w:val="bottom"/>
          </w:tcPr>
          <w:p>
            <w:pPr>
              <w:spacing w:after="0"/>
              <w:rPr>
                <w:sz w:val="24"/>
                <w:szCs w:val="24"/>
                <w:color w:val="auto"/>
              </w:rPr>
            </w:pPr>
          </w:p>
        </w:tc>
        <w:tc>
          <w:tcPr>
            <w:tcW w:w="1020" w:type="dxa"/>
            <w:vAlign w:val="bottom"/>
          </w:tcPr>
          <w:p>
            <w:pPr>
              <w:ind w:left="340"/>
              <w:spacing w:after="0"/>
              <w:rPr>
                <w:sz w:val="20"/>
                <w:szCs w:val="20"/>
                <w:color w:val="auto"/>
              </w:rPr>
            </w:pPr>
            <w:r>
              <w:rPr>
                <w:rFonts w:ascii="Arial" w:cs="Arial" w:eastAsia="Arial" w:hAnsi="Arial"/>
                <w:sz w:val="15"/>
                <w:szCs w:val="15"/>
                <w:color w:val="auto"/>
              </w:rPr>
              <w:t>(i)</w:t>
            </w:r>
          </w:p>
        </w:tc>
        <w:tc>
          <w:tcPr>
            <w:tcW w:w="7800" w:type="dxa"/>
            <w:vAlign w:val="bottom"/>
          </w:tcPr>
          <w:p>
            <w:pPr>
              <w:ind w:left="1680"/>
              <w:spacing w:after="0"/>
              <w:rPr>
                <w:sz w:val="20"/>
                <w:szCs w:val="20"/>
                <w:color w:val="auto"/>
              </w:rPr>
            </w:pPr>
            <w:r>
              <w:rPr>
                <w:rFonts w:ascii="Arial" w:cs="Arial" w:eastAsia="Arial" w:hAnsi="Arial"/>
                <w:sz w:val="15"/>
                <w:szCs w:val="15"/>
                <w:color w:val="auto"/>
              </w:rPr>
              <w:t>no amendment may increase the duties, rights, responsibilities or liabilities of the Trustee</w:t>
            </w:r>
          </w:p>
        </w:tc>
        <w:tc>
          <w:tcPr>
            <w:tcW w:w="0" w:type="dxa"/>
            <w:vAlign w:val="bottom"/>
          </w:tcPr>
          <w:p>
            <w:pPr>
              <w:spacing w:after="0"/>
              <w:rPr>
                <w:sz w:val="1"/>
                <w:szCs w:val="1"/>
                <w:color w:val="auto"/>
              </w:rPr>
            </w:pPr>
          </w:p>
        </w:tc>
      </w:tr>
      <w:tr>
        <w:trPr>
          <w:trHeight w:val="178"/>
        </w:trPr>
        <w:tc>
          <w:tcPr>
            <w:tcW w:w="3060" w:type="dxa"/>
            <w:vAlign w:val="bottom"/>
            <w:gridSpan w:val="2"/>
          </w:tcPr>
          <w:p>
            <w:pPr>
              <w:ind w:left="880"/>
              <w:spacing w:after="0"/>
              <w:rPr>
                <w:sz w:val="20"/>
                <w:szCs w:val="20"/>
                <w:color w:val="auto"/>
              </w:rPr>
            </w:pPr>
            <w:r>
              <w:rPr>
                <w:rFonts w:ascii="Arial" w:cs="Arial" w:eastAsia="Arial" w:hAnsi="Arial"/>
                <w:sz w:val="15"/>
                <w:szCs w:val="15"/>
                <w:color w:val="auto"/>
              </w:rPr>
              <w:t>without its written consent;</w:t>
            </w:r>
          </w:p>
        </w:tc>
        <w:tc>
          <w:tcPr>
            <w:tcW w:w="7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2"/>
        </w:trPr>
        <w:tc>
          <w:tcPr>
            <w:tcW w:w="2040" w:type="dxa"/>
            <w:vAlign w:val="bottom"/>
          </w:tcPr>
          <w:p>
            <w:pPr>
              <w:spacing w:after="0"/>
              <w:rPr>
                <w:sz w:val="24"/>
                <w:szCs w:val="24"/>
                <w:color w:val="auto"/>
              </w:rPr>
            </w:pPr>
          </w:p>
        </w:tc>
        <w:tc>
          <w:tcPr>
            <w:tcW w:w="1020" w:type="dxa"/>
            <w:vAlign w:val="bottom"/>
          </w:tcPr>
          <w:p>
            <w:pPr>
              <w:ind w:left="380"/>
              <w:spacing w:after="0"/>
              <w:rPr>
                <w:sz w:val="20"/>
                <w:szCs w:val="20"/>
                <w:color w:val="auto"/>
              </w:rPr>
            </w:pPr>
            <w:r>
              <w:rPr>
                <w:rFonts w:ascii="Arial" w:cs="Arial" w:eastAsia="Arial" w:hAnsi="Arial"/>
                <w:sz w:val="15"/>
                <w:szCs w:val="15"/>
                <w:color w:val="auto"/>
              </w:rPr>
              <w:t>(ii)</w:t>
            </w:r>
          </w:p>
        </w:tc>
        <w:tc>
          <w:tcPr>
            <w:tcW w:w="7800" w:type="dxa"/>
            <w:vAlign w:val="bottom"/>
          </w:tcPr>
          <w:p>
            <w:pPr>
              <w:ind w:left="1740"/>
              <w:spacing w:after="0"/>
              <w:rPr>
                <w:sz w:val="20"/>
                <w:szCs w:val="20"/>
                <w:color w:val="auto"/>
              </w:rPr>
            </w:pPr>
            <w:r>
              <w:rPr>
                <w:rFonts w:ascii="Arial" w:cs="Arial" w:eastAsia="Arial" w:hAnsi="Arial"/>
                <w:sz w:val="15"/>
                <w:szCs w:val="15"/>
                <w:color w:val="auto"/>
                <w:w w:val="98"/>
              </w:rPr>
              <w:t>no amendment may have the effect of vesting in the Company any interest in or control over</w:t>
            </w:r>
          </w:p>
        </w:tc>
        <w:tc>
          <w:tcPr>
            <w:tcW w:w="0" w:type="dxa"/>
            <w:vAlign w:val="bottom"/>
          </w:tcPr>
          <w:p>
            <w:pPr>
              <w:spacing w:after="0"/>
              <w:rPr>
                <w:sz w:val="1"/>
                <w:szCs w:val="1"/>
                <w:color w:val="auto"/>
              </w:rPr>
            </w:pPr>
          </w:p>
        </w:tc>
      </w:tr>
      <w:tr>
        <w:trPr>
          <w:trHeight w:val="178"/>
        </w:trPr>
        <w:tc>
          <w:tcPr>
            <w:tcW w:w="10860" w:type="dxa"/>
            <w:vAlign w:val="bottom"/>
            <w:gridSpan w:val="3"/>
          </w:tcPr>
          <w:p>
            <w:pPr>
              <w:ind w:left="880"/>
              <w:spacing w:after="0"/>
              <w:rPr>
                <w:sz w:val="20"/>
                <w:szCs w:val="20"/>
                <w:color w:val="auto"/>
              </w:rPr>
            </w:pPr>
            <w:r>
              <w:rPr>
                <w:rFonts w:ascii="Arial" w:cs="Arial" w:eastAsia="Arial" w:hAnsi="Arial"/>
                <w:sz w:val="15"/>
                <w:szCs w:val="15"/>
                <w:color w:val="auto"/>
              </w:rPr>
              <w:t>any property subject to the terms of this Trust Agreement, except as permitted by law;</w:t>
            </w:r>
          </w:p>
        </w:tc>
        <w:tc>
          <w:tcPr>
            <w:tcW w:w="0" w:type="dxa"/>
            <w:vAlign w:val="bottom"/>
          </w:tcPr>
          <w:p>
            <w:pPr>
              <w:spacing w:after="0"/>
              <w:rPr>
                <w:sz w:val="1"/>
                <w:szCs w:val="1"/>
                <w:color w:val="auto"/>
              </w:rPr>
            </w:pPr>
          </w:p>
        </w:tc>
      </w:tr>
      <w:tr>
        <w:trPr>
          <w:trHeight w:val="344"/>
        </w:trPr>
        <w:tc>
          <w:tcPr>
            <w:tcW w:w="2040" w:type="dxa"/>
            <w:vAlign w:val="bottom"/>
            <w:vMerge w:val="restart"/>
          </w:tcPr>
          <w:p>
            <w:pPr>
              <w:ind w:left="880"/>
              <w:spacing w:after="0"/>
              <w:rPr>
                <w:sz w:val="20"/>
                <w:szCs w:val="20"/>
                <w:color w:val="auto"/>
              </w:rPr>
            </w:pPr>
            <w:r>
              <w:rPr>
                <w:rFonts w:ascii="Arial" w:cs="Arial" w:eastAsia="Arial" w:hAnsi="Arial"/>
                <w:sz w:val="15"/>
                <w:szCs w:val="15"/>
                <w:color w:val="auto"/>
              </w:rPr>
              <w:t>of the Trustee;</w:t>
            </w:r>
          </w:p>
        </w:tc>
        <w:tc>
          <w:tcPr>
            <w:tcW w:w="1020" w:type="dxa"/>
            <w:vAlign w:val="bottom"/>
          </w:tcPr>
          <w:p>
            <w:pPr>
              <w:ind w:left="360"/>
              <w:spacing w:after="0"/>
              <w:rPr>
                <w:sz w:val="20"/>
                <w:szCs w:val="20"/>
                <w:color w:val="auto"/>
              </w:rPr>
            </w:pPr>
            <w:r>
              <w:rPr>
                <w:rFonts w:ascii="Arial" w:cs="Arial" w:eastAsia="Arial" w:hAnsi="Arial"/>
                <w:sz w:val="15"/>
                <w:szCs w:val="15"/>
                <w:color w:val="auto"/>
              </w:rPr>
              <w:t>(iii)</w:t>
            </w:r>
          </w:p>
        </w:tc>
        <w:tc>
          <w:tcPr>
            <w:tcW w:w="7800" w:type="dxa"/>
            <w:vAlign w:val="bottom"/>
          </w:tcPr>
          <w:p>
            <w:pPr>
              <w:ind w:left="1780"/>
              <w:spacing w:after="0"/>
              <w:rPr>
                <w:sz w:val="20"/>
                <w:szCs w:val="20"/>
                <w:color w:val="auto"/>
              </w:rPr>
            </w:pPr>
            <w:r>
              <w:rPr>
                <w:rFonts w:ascii="Arial" w:cs="Arial" w:eastAsia="Arial" w:hAnsi="Arial"/>
                <w:sz w:val="15"/>
                <w:szCs w:val="15"/>
                <w:color w:val="auto"/>
                <w:w w:val="99"/>
              </w:rPr>
              <w:t>no amendment may be made to Section 4.1 or Section 4.2 without the prior written consent</w:t>
            </w:r>
          </w:p>
        </w:tc>
        <w:tc>
          <w:tcPr>
            <w:tcW w:w="0" w:type="dxa"/>
            <w:vAlign w:val="bottom"/>
          </w:tcPr>
          <w:p>
            <w:pPr>
              <w:spacing w:after="0"/>
              <w:rPr>
                <w:sz w:val="1"/>
                <w:szCs w:val="1"/>
                <w:color w:val="auto"/>
              </w:rPr>
            </w:pPr>
          </w:p>
        </w:tc>
      </w:tr>
      <w:tr>
        <w:trPr>
          <w:trHeight w:val="166"/>
        </w:trPr>
        <w:tc>
          <w:tcPr>
            <w:tcW w:w="204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60" w:right="600" w:firstLine="1467"/>
        <w:spacing w:after="0" w:line="272" w:lineRule="auto"/>
        <w:tabs>
          <w:tab w:leader="none" w:pos="3168" w:val="left"/>
        </w:tabs>
        <w:numPr>
          <w:ilvl w:val="1"/>
          <w:numId w:val="151"/>
        </w:numPr>
        <w:rPr>
          <w:rFonts w:ascii="Arial" w:cs="Arial" w:eastAsia="Arial" w:hAnsi="Arial"/>
          <w:sz w:val="14"/>
          <w:szCs w:val="14"/>
          <w:color w:val="auto"/>
        </w:rPr>
      </w:pPr>
      <w:r>
        <w:rPr>
          <w:rFonts w:ascii="Arial" w:cs="Arial" w:eastAsia="Arial" w:hAnsi="Arial"/>
          <w:sz w:val="14"/>
          <w:szCs w:val="14"/>
          <w:color w:val="auto"/>
        </w:rPr>
        <w:t>the Company may amend Section 6.3, by a written instrument executed by a person or group of persons authorized to take such action, only with the prior written consent of the Trustee; and no amendment may contravene the provisions of Section 2.3.</w:t>
      </w:r>
    </w:p>
    <w:p>
      <w:pPr>
        <w:spacing w:after="0" w:line="138" w:lineRule="exact"/>
        <w:rPr>
          <w:rFonts w:ascii="Arial" w:cs="Arial" w:eastAsia="Arial" w:hAnsi="Arial"/>
          <w:sz w:val="14"/>
          <w:szCs w:val="14"/>
          <w:color w:val="auto"/>
        </w:rPr>
      </w:pPr>
    </w:p>
    <w:p>
      <w:pPr>
        <w:ind w:left="2660" w:hanging="885"/>
        <w:spacing w:after="0"/>
        <w:tabs>
          <w:tab w:leader="none" w:pos="2660" w:val="left"/>
        </w:tabs>
        <w:numPr>
          <w:ilvl w:val="0"/>
          <w:numId w:val="152"/>
        </w:numPr>
        <w:rPr>
          <w:rFonts w:ascii="Arial" w:cs="Arial" w:eastAsia="Arial" w:hAnsi="Arial"/>
          <w:sz w:val="15"/>
          <w:szCs w:val="15"/>
          <w:color w:val="auto"/>
        </w:rPr>
      </w:pPr>
      <w:r>
        <w:rPr>
          <w:rFonts w:ascii="Arial" w:cs="Arial" w:eastAsia="Arial" w:hAnsi="Arial"/>
          <w:sz w:val="15"/>
          <w:szCs w:val="15"/>
          <w:color w:val="auto"/>
        </w:rPr>
        <w:t>Any amendment to this Trust Agreement, except as provided in Section</w:t>
      </w:r>
    </w:p>
    <w:p>
      <w:pPr>
        <w:jc w:val="both"/>
        <w:ind w:left="20" w:right="260" w:firstLine="7"/>
        <w:spacing w:after="0" w:line="236" w:lineRule="auto"/>
        <w:rPr>
          <w:sz w:val="20"/>
          <w:szCs w:val="20"/>
          <w:color w:val="auto"/>
        </w:rPr>
      </w:pPr>
      <w:r>
        <w:rPr>
          <w:rFonts w:ascii="Arial" w:cs="Arial" w:eastAsia="Arial" w:hAnsi="Arial"/>
          <w:sz w:val="15"/>
          <w:szCs w:val="15"/>
          <w:color w:val="auto"/>
        </w:rPr>
        <w:t>8.1(a)(iii) will be made only pursuant to action of the Company. A certified copy of the resolution adopting any amendment and a copy of the adopted amendment as executed by the Company will be delivered to the Trustee. Upon such action by the Company, the Trust Agreement will be deemed amended as of the date specified as the effective date by such action or in the instrument of the amendment. The effective date of any amendment may be before, on or after the date of</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314960</wp:posOffset>
            </wp:positionV>
            <wp:extent cx="7171055" cy="1397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5">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40"/>
          </w:cols>
          <w:pgMar w:left="440" w:top="372" w:right="319"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color w:val="auto"/>
        </w:rPr>
        <w:t>such action.</w:t>
      </w:r>
    </w:p>
    <w:p>
      <w:pPr>
        <w:sectPr>
          <w:pgSz w:w="11900" w:h="16838" w:orient="portrait"/>
          <w:cols w:equalWidth="0" w:num="1">
            <w:col w:w="11120"/>
          </w:cols>
          <w:pgMar w:left="460" w:top="327" w:right="319" w:bottom="1440" w:gutter="0" w:footer="0" w:header="0"/>
        </w:sectPr>
      </w:pPr>
    </w:p>
    <w:p>
      <w:pPr>
        <w:spacing w:after="0" w:line="183" w:lineRule="exact"/>
        <w:rPr>
          <w:sz w:val="20"/>
          <w:szCs w:val="20"/>
          <w:color w:val="auto"/>
        </w:rPr>
      </w:pPr>
    </w:p>
    <w:p>
      <w:pPr>
        <w:ind w:left="88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Termination of the Plan.</w:t>
      </w:r>
    </w:p>
    <w:p>
      <w:pPr>
        <w:spacing w:after="0" w:line="201" w:lineRule="exact"/>
        <w:rPr>
          <w:sz w:val="20"/>
          <w:szCs w:val="20"/>
          <w:color w:val="auto"/>
        </w:rPr>
      </w:pPr>
    </w:p>
    <w:p>
      <w:pPr>
        <w:sectPr>
          <w:pgSz w:w="11900" w:h="16838" w:orient="portrait"/>
          <w:cols w:equalWidth="0" w:num="2">
            <w:col w:w="1080" w:space="680"/>
            <w:col w:w="9360"/>
          </w:cols>
          <w:pgMar w:left="460" w:top="327" w:right="319" w:bottom="1440" w:gutter="0" w:footer="0" w:header="0"/>
          <w:type w:val="continuous"/>
        </w:sectPr>
      </w:pPr>
    </w:p>
    <w:p>
      <w:pPr>
        <w:ind w:left="1740"/>
        <w:spacing w:after="0"/>
        <w:tabs>
          <w:tab w:leader="none" w:pos="360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In the event that the Plan is terminated, the Administrative Committee will notify the Trustee as to whether the</w:t>
      </w:r>
    </w:p>
    <w:p>
      <w:pPr>
        <w:sectPr>
          <w:pgSz w:w="11900" w:h="16838" w:orient="portrait"/>
          <w:cols w:equalWidth="0" w:num="1">
            <w:col w:w="11120"/>
          </w:cols>
          <w:pgMar w:left="460" w:top="327" w:right="319" w:bottom="1440" w:gutter="0" w:footer="0" w:header="0"/>
          <w:type w:val="continuous"/>
        </w:sectPr>
      </w:pPr>
    </w:p>
    <w:p>
      <w:pPr>
        <w:spacing w:after="0" w:line="5" w:lineRule="exact"/>
        <w:rPr>
          <w:sz w:val="20"/>
          <w:szCs w:val="20"/>
          <w:color w:val="auto"/>
        </w:rPr>
      </w:pPr>
    </w:p>
    <w:p>
      <w:pPr>
        <w:jc w:val="both"/>
        <w:ind w:right="200"/>
        <w:spacing w:after="0" w:line="231" w:lineRule="auto"/>
        <w:rPr>
          <w:sz w:val="20"/>
          <w:szCs w:val="20"/>
          <w:color w:val="auto"/>
        </w:rPr>
      </w:pPr>
      <w:r>
        <w:rPr>
          <w:rFonts w:ascii="Arial" w:cs="Arial" w:eastAsia="Arial" w:hAnsi="Arial"/>
          <w:sz w:val="15"/>
          <w:szCs w:val="15"/>
          <w:color w:val="auto"/>
        </w:rPr>
        <w:t>Trust Fund is to be distributed or is to be maintained by the Trustee in accordance with the provisions of this Trust Agreement. If the Administrative Committee directs that the Trust Fund is to be distributed, the Trustee will establish the fair market value of the Trust Fund as of the Valuation Date designated by the Administrative Committee and will distribute all or a part of the assets of the Trust Fund (converting such assets into cash, as necessary) in accordance with the written directions of the Administrative Committee.</w:t>
      </w:r>
    </w:p>
    <w:p>
      <w:pPr>
        <w:spacing w:after="0" w:line="156" w:lineRule="exact"/>
        <w:rPr>
          <w:sz w:val="20"/>
          <w:szCs w:val="20"/>
          <w:color w:val="auto"/>
        </w:rPr>
      </w:pPr>
    </w:p>
    <w:p>
      <w:pPr>
        <w:ind w:left="2640" w:hanging="885"/>
        <w:spacing w:after="0"/>
        <w:tabs>
          <w:tab w:leader="none" w:pos="2640" w:val="left"/>
        </w:tabs>
        <w:numPr>
          <w:ilvl w:val="0"/>
          <w:numId w:val="153"/>
        </w:numPr>
        <w:rPr>
          <w:rFonts w:ascii="Arial" w:cs="Arial" w:eastAsia="Arial" w:hAnsi="Arial"/>
          <w:sz w:val="15"/>
          <w:szCs w:val="15"/>
          <w:color w:val="auto"/>
        </w:rPr>
      </w:pPr>
      <w:r>
        <w:rPr>
          <w:rFonts w:ascii="Arial" w:cs="Arial" w:eastAsia="Arial" w:hAnsi="Arial"/>
          <w:sz w:val="15"/>
          <w:szCs w:val="15"/>
          <w:color w:val="auto"/>
        </w:rPr>
        <w:t>Notwithstanding the provisions of Section 8.2(a):</w:t>
      </w:r>
    </w:p>
    <w:p>
      <w:pPr>
        <w:spacing w:after="0" w:line="171" w:lineRule="exact"/>
        <w:rPr>
          <w:sz w:val="20"/>
          <w:szCs w:val="20"/>
          <w:color w:val="auto"/>
        </w:rPr>
      </w:pPr>
    </w:p>
    <w:p>
      <w:pPr>
        <w:ind w:left="880" w:right="280" w:firstLine="1552"/>
        <w:spacing w:after="0" w:line="239" w:lineRule="auto"/>
        <w:rPr>
          <w:sz w:val="20"/>
          <w:szCs w:val="20"/>
          <w:color w:val="auto"/>
        </w:rPr>
      </w:pPr>
      <w:r>
        <w:rPr>
          <w:rFonts w:ascii="Arial" w:cs="Arial" w:eastAsia="Arial" w:hAnsi="Arial"/>
          <w:sz w:val="15"/>
          <w:szCs w:val="15"/>
          <w:color w:val="auto"/>
        </w:rPr>
        <w:t>(i) to the extent permitted by ERISA, the Trustee may pay, from the assets of the Trust Fund, the reasonable expenses involved in the termination of the Trust Fund prior to distributing the assets of the Trust Fund;</w:t>
      </w:r>
    </w:p>
    <w:p>
      <w:pPr>
        <w:spacing w:after="0" w:line="160" w:lineRule="exact"/>
        <w:rPr>
          <w:sz w:val="20"/>
          <w:szCs w:val="20"/>
          <w:color w:val="auto"/>
        </w:rPr>
      </w:pPr>
    </w:p>
    <w:p>
      <w:pPr>
        <w:ind w:left="2420"/>
        <w:spacing w:after="0"/>
        <w:tabs>
          <w:tab w:leader="none" w:pos="4800"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color w:val="auto"/>
        </w:rPr>
        <w:t>the Trustee will not comply with any instruction to transfer assets of the Trust Fund to the</w:t>
      </w:r>
    </w:p>
    <w:p>
      <w:pPr>
        <w:ind w:left="880" w:right="380"/>
        <w:spacing w:after="0" w:line="239" w:lineRule="auto"/>
        <w:rPr>
          <w:sz w:val="20"/>
          <w:szCs w:val="20"/>
          <w:color w:val="auto"/>
        </w:rPr>
      </w:pPr>
      <w:r>
        <w:rPr>
          <w:rFonts w:ascii="Arial" w:cs="Arial" w:eastAsia="Arial" w:hAnsi="Arial"/>
          <w:sz w:val="15"/>
          <w:szCs w:val="15"/>
          <w:color w:val="auto"/>
        </w:rPr>
        <w:t>funding agent of any other employee benefit plan unless the Trustee determines that such transfer of assets will comply with the requirements of the Code; and</w:t>
      </w:r>
    </w:p>
    <w:p>
      <w:pPr>
        <w:spacing w:after="0" w:line="166" w:lineRule="exact"/>
        <w:rPr>
          <w:sz w:val="20"/>
          <w:szCs w:val="20"/>
          <w:color w:val="auto"/>
        </w:rPr>
      </w:pPr>
    </w:p>
    <w:p>
      <w:pPr>
        <w:jc w:val="both"/>
        <w:ind w:left="880" w:right="180" w:firstLine="1559"/>
        <w:spacing w:after="0" w:line="239" w:lineRule="auto"/>
        <w:rPr>
          <w:sz w:val="20"/>
          <w:szCs w:val="20"/>
          <w:color w:val="auto"/>
        </w:rPr>
      </w:pPr>
      <w:r>
        <w:rPr>
          <w:rFonts w:ascii="Arial" w:cs="Arial" w:eastAsia="Arial" w:hAnsi="Arial"/>
          <w:sz w:val="15"/>
          <w:szCs w:val="15"/>
          <w:color w:val="auto"/>
        </w:rPr>
        <w:t>(iii) the Trustee may condition the delivery, transfer or distribution of any or all assets of the Trust Fund upon its receipt of assurance satisfactory to it that there has been proper compliance with all notices and other procedures required by applicable law.</w:t>
      </w:r>
    </w:p>
    <w:p>
      <w:pPr>
        <w:spacing w:after="0" w:line="142" w:lineRule="exact"/>
        <w:rPr>
          <w:sz w:val="20"/>
          <w:szCs w:val="20"/>
          <w:color w:val="auto"/>
        </w:rPr>
      </w:pPr>
    </w:p>
    <w:p>
      <w:pPr>
        <w:ind w:left="900"/>
        <w:spacing w:after="0"/>
        <w:tabs>
          <w:tab w:leader="none" w:pos="1740" w:val="left"/>
        </w:tabs>
        <w:rPr>
          <w:sz w:val="20"/>
          <w:szCs w:val="20"/>
          <w:color w:val="auto"/>
        </w:rPr>
      </w:pPr>
      <w:r>
        <w:rPr>
          <w:rFonts w:ascii="Arial" w:cs="Arial" w:eastAsia="Arial" w:hAnsi="Arial"/>
          <w:sz w:val="15"/>
          <w:szCs w:val="15"/>
          <w:color w:val="auto"/>
        </w:rPr>
        <w:t>8.3</w:t>
      </w:r>
      <w:r>
        <w:rPr>
          <w:sz w:val="20"/>
          <w:szCs w:val="20"/>
          <w:color w:val="auto"/>
        </w:rPr>
        <w:tab/>
      </w:r>
      <w:r>
        <w:rPr>
          <w:rFonts w:ascii="Arial" w:cs="Arial" w:eastAsia="Arial" w:hAnsi="Arial"/>
          <w:sz w:val="14"/>
          <w:szCs w:val="14"/>
          <w:b w:val="1"/>
          <w:bCs w:val="1"/>
          <w:color w:val="auto"/>
        </w:rPr>
        <w:t>Communications to the Company and the Administrative Committee.</w:t>
      </w:r>
    </w:p>
    <w:p>
      <w:pPr>
        <w:spacing w:after="0" w:line="18" w:lineRule="exact"/>
        <w:rPr>
          <w:sz w:val="20"/>
          <w:szCs w:val="20"/>
          <w:color w:val="auto"/>
        </w:rPr>
      </w:pPr>
    </w:p>
    <w:p>
      <w:pPr>
        <w:ind w:left="2640" w:right="3580" w:hanging="874"/>
        <w:spacing w:after="0" w:line="231" w:lineRule="auto"/>
        <w:tabs>
          <w:tab w:leader="none" w:pos="2635" w:val="left"/>
        </w:tabs>
        <w:numPr>
          <w:ilvl w:val="1"/>
          <w:numId w:val="154"/>
        </w:numPr>
        <w:rPr>
          <w:rFonts w:ascii="Arial" w:cs="Arial" w:eastAsia="Arial" w:hAnsi="Arial"/>
          <w:sz w:val="15"/>
          <w:szCs w:val="15"/>
          <w:color w:val="auto"/>
        </w:rPr>
      </w:pPr>
      <w:r>
        <w:rPr>
          <w:rFonts w:ascii="Arial" w:cs="Arial" w:eastAsia="Arial" w:hAnsi="Arial"/>
          <w:sz w:val="15"/>
          <w:szCs w:val="15"/>
          <w:color w:val="auto"/>
        </w:rPr>
        <w:t>Communications to the Company will be addressed to: Parsons Corporation 100 West Walnut Street Pasadena, CA 91124</w:t>
      </w:r>
    </w:p>
    <w:p>
      <w:pPr>
        <w:ind w:left="2640"/>
        <w:spacing w:after="0" w:line="231" w:lineRule="auto"/>
        <w:rPr>
          <w:rFonts w:ascii="Arial" w:cs="Arial" w:eastAsia="Arial" w:hAnsi="Arial"/>
          <w:sz w:val="15"/>
          <w:szCs w:val="15"/>
          <w:color w:val="auto"/>
        </w:rPr>
      </w:pPr>
      <w:r>
        <w:rPr>
          <w:rFonts w:ascii="Arial" w:cs="Arial" w:eastAsia="Arial" w:hAnsi="Arial"/>
          <w:sz w:val="15"/>
          <w:szCs w:val="15"/>
          <w:color w:val="auto"/>
        </w:rPr>
        <w:t>Attention: Paul Walker-Lanz</w:t>
      </w:r>
    </w:p>
    <w:p>
      <w:pPr>
        <w:ind w:left="2640"/>
        <w:spacing w:after="0"/>
        <w:rPr>
          <w:rFonts w:ascii="Arial" w:cs="Arial" w:eastAsia="Arial" w:hAnsi="Arial"/>
          <w:sz w:val="15"/>
          <w:szCs w:val="15"/>
          <w:color w:val="auto"/>
        </w:rPr>
      </w:pPr>
      <w:r>
        <w:rPr>
          <w:rFonts w:ascii="Arial" w:cs="Arial" w:eastAsia="Arial" w:hAnsi="Arial"/>
          <w:sz w:val="15"/>
          <w:szCs w:val="15"/>
          <w:color w:val="auto"/>
        </w:rPr>
        <w:t>email: Paul.Walker@parsons.com</w:t>
      </w:r>
    </w:p>
    <w:p>
      <w:pPr>
        <w:spacing w:after="0" w:line="226" w:lineRule="exact"/>
        <w:rPr>
          <w:rFonts w:ascii="Arial" w:cs="Arial" w:eastAsia="Arial" w:hAnsi="Arial"/>
          <w:sz w:val="15"/>
          <w:szCs w:val="15"/>
          <w:color w:val="auto"/>
        </w:rPr>
      </w:pPr>
    </w:p>
    <w:p>
      <w:pPr>
        <w:ind w:left="2620" w:hanging="865"/>
        <w:spacing w:after="0"/>
        <w:tabs>
          <w:tab w:leader="none" w:pos="2620" w:val="left"/>
        </w:tabs>
        <w:numPr>
          <w:ilvl w:val="0"/>
          <w:numId w:val="155"/>
        </w:numPr>
        <w:rPr>
          <w:rFonts w:ascii="Arial" w:cs="Arial" w:eastAsia="Arial" w:hAnsi="Arial"/>
          <w:sz w:val="15"/>
          <w:szCs w:val="15"/>
          <w:color w:val="auto"/>
        </w:rPr>
      </w:pPr>
      <w:r>
        <w:rPr>
          <w:rFonts w:ascii="Arial" w:cs="Arial" w:eastAsia="Arial" w:hAnsi="Arial"/>
          <w:sz w:val="15"/>
          <w:szCs w:val="15"/>
          <w:color w:val="auto"/>
        </w:rPr>
        <w:t>Communications to the Administrative Committee will be addressed to:</w:t>
      </w:r>
    </w:p>
    <w:p>
      <w:pPr>
        <w:spacing w:after="0" w:line="164" w:lineRule="exact"/>
        <w:rPr>
          <w:rFonts w:ascii="Arial" w:cs="Arial" w:eastAsia="Arial" w:hAnsi="Arial"/>
          <w:sz w:val="15"/>
          <w:szCs w:val="15"/>
          <w:color w:val="auto"/>
        </w:rPr>
      </w:pPr>
    </w:p>
    <w:p>
      <w:pPr>
        <w:ind w:left="2620"/>
        <w:spacing w:after="0"/>
        <w:rPr>
          <w:rFonts w:ascii="Arial" w:cs="Arial" w:eastAsia="Arial" w:hAnsi="Arial"/>
          <w:sz w:val="15"/>
          <w:szCs w:val="15"/>
          <w:color w:val="auto"/>
        </w:rPr>
      </w:pPr>
      <w:r>
        <w:rPr>
          <w:rFonts w:ascii="Arial" w:cs="Arial" w:eastAsia="Arial" w:hAnsi="Arial"/>
          <w:sz w:val="15"/>
          <w:szCs w:val="15"/>
          <w:color w:val="auto"/>
        </w:rPr>
        <w:t>Parsons Corporation</w:t>
      </w:r>
    </w:p>
    <w:p>
      <w:pPr>
        <w:ind w:left="2640" w:right="5480"/>
        <w:spacing w:after="0" w:line="231" w:lineRule="auto"/>
        <w:rPr>
          <w:rFonts w:ascii="Arial" w:cs="Arial" w:eastAsia="Arial" w:hAnsi="Arial"/>
          <w:sz w:val="15"/>
          <w:szCs w:val="15"/>
          <w:color w:val="auto"/>
        </w:rPr>
      </w:pPr>
      <w:r>
        <w:rPr>
          <w:rFonts w:ascii="Arial" w:cs="Arial" w:eastAsia="Arial" w:hAnsi="Arial"/>
          <w:sz w:val="15"/>
          <w:szCs w:val="15"/>
          <w:color w:val="auto"/>
        </w:rPr>
        <w:t>100 West Walnut Street Pasadena, CA 91124 Attention: Paul Walker-Lanz</w:t>
      </w:r>
    </w:p>
    <w:p>
      <w:pPr>
        <w:ind w:left="2640"/>
        <w:spacing w:after="0"/>
        <w:rPr>
          <w:rFonts w:ascii="Arial" w:cs="Arial" w:eastAsia="Arial" w:hAnsi="Arial"/>
          <w:sz w:val="15"/>
          <w:szCs w:val="15"/>
          <w:color w:val="auto"/>
        </w:rPr>
      </w:pPr>
      <w:r>
        <w:rPr>
          <w:rFonts w:ascii="Arial" w:cs="Arial" w:eastAsia="Arial" w:hAnsi="Arial"/>
          <w:sz w:val="15"/>
          <w:szCs w:val="15"/>
          <w:color w:val="auto"/>
        </w:rPr>
        <w:t>email: Paul.Walker@parsons.com</w:t>
      </w: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6">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327" w:right="319" w:bottom="1440" w:gutter="0" w:footer="0" w:header="0"/>
          <w:type w:val="continuous"/>
        </w:sectPr>
      </w:pPr>
    </w:p>
    <w:bookmarkStart w:id="231" w:name="page232"/>
    <w:bookmarkEnd w:id="231"/>
    <w:tbl>
      <w:tblPr>
        <w:tblLayout w:type="fixed"/>
        <w:tblInd w:w="20" w:type="dxa"/>
        <w:tblCellMar>
          <w:top w:w="0" w:type="dxa"/>
          <w:left w:w="0" w:type="dxa"/>
          <w:bottom w:w="0" w:type="dxa"/>
          <w:right w:w="0" w:type="dxa"/>
        </w:tblCellMar>
      </w:tblPr>
      <w:tr>
        <w:trPr>
          <w:trHeight w:val="184"/>
        </w:trPr>
        <w:tc>
          <w:tcPr>
            <w:tcW w:w="1600" w:type="dxa"/>
            <w:vAlign w:val="bottom"/>
          </w:tcPr>
          <w:p>
            <w:pPr>
              <w:jc w:val="right"/>
              <w:ind w:right="546"/>
              <w:spacing w:after="0"/>
              <w:rPr>
                <w:sz w:val="20"/>
                <w:szCs w:val="20"/>
                <w:color w:val="auto"/>
              </w:rPr>
            </w:pPr>
            <w:r>
              <w:rPr>
                <w:rFonts w:ascii="Arial" w:cs="Arial" w:eastAsia="Arial" w:hAnsi="Arial"/>
                <w:sz w:val="15"/>
                <w:szCs w:val="15"/>
                <w:color w:val="auto"/>
              </w:rPr>
              <w:t>8.4</w:t>
            </w:r>
          </w:p>
        </w:tc>
        <w:tc>
          <w:tcPr>
            <w:tcW w:w="9320" w:type="dxa"/>
            <w:vAlign w:val="bottom"/>
          </w:tcPr>
          <w:p>
            <w:pPr>
              <w:ind w:left="540"/>
              <w:spacing w:after="0"/>
              <w:rPr>
                <w:sz w:val="20"/>
                <w:szCs w:val="20"/>
                <w:color w:val="auto"/>
              </w:rPr>
            </w:pPr>
            <w:r>
              <w:rPr>
                <w:rFonts w:ascii="Arial" w:cs="Arial" w:eastAsia="Arial" w:hAnsi="Arial"/>
                <w:sz w:val="15"/>
                <w:szCs w:val="15"/>
                <w:b w:val="1"/>
                <w:bCs w:val="1"/>
                <w:color w:val="auto"/>
              </w:rPr>
              <w:t xml:space="preserve">Communications to the Trustee. </w:t>
            </w:r>
            <w:r>
              <w:rPr>
                <w:rFonts w:ascii="Arial" w:cs="Arial" w:eastAsia="Arial" w:hAnsi="Arial"/>
                <w:sz w:val="15"/>
                <w:szCs w:val="15"/>
                <w:color w:val="auto"/>
              </w:rPr>
              <w:t>Communications to the Trustee will be addressed to:</w:t>
            </w:r>
          </w:p>
        </w:tc>
      </w:tr>
      <w:tr>
        <w:trPr>
          <w:trHeight w:val="166"/>
        </w:trPr>
        <w:tc>
          <w:tcPr>
            <w:tcW w:w="1600" w:type="dxa"/>
            <w:vAlign w:val="bottom"/>
          </w:tcPr>
          <w:p>
            <w:pPr>
              <w:spacing w:after="0"/>
              <w:rPr>
                <w:sz w:val="14"/>
                <w:szCs w:val="14"/>
                <w:color w:val="auto"/>
              </w:rPr>
            </w:pPr>
          </w:p>
        </w:tc>
        <w:tc>
          <w:tcPr>
            <w:tcW w:w="9320" w:type="dxa"/>
            <w:vAlign w:val="bottom"/>
          </w:tcPr>
          <w:p>
            <w:pPr>
              <w:ind w:left="1000"/>
              <w:spacing w:after="0" w:line="167" w:lineRule="exact"/>
              <w:rPr>
                <w:sz w:val="20"/>
                <w:szCs w:val="20"/>
                <w:color w:val="auto"/>
              </w:rPr>
            </w:pPr>
            <w:r>
              <w:rPr>
                <w:rFonts w:ascii="Arial" w:cs="Arial" w:eastAsia="Arial" w:hAnsi="Arial"/>
                <w:sz w:val="15"/>
                <w:szCs w:val="15"/>
                <w:color w:val="auto"/>
              </w:rPr>
              <w:t>Newport Trust Company</w:t>
            </w:r>
          </w:p>
        </w:tc>
      </w:tr>
      <w:tr>
        <w:trPr>
          <w:trHeight w:val="166"/>
        </w:trPr>
        <w:tc>
          <w:tcPr>
            <w:tcW w:w="1600" w:type="dxa"/>
            <w:vAlign w:val="bottom"/>
          </w:tcPr>
          <w:p>
            <w:pPr>
              <w:spacing w:after="0"/>
              <w:rPr>
                <w:sz w:val="14"/>
                <w:szCs w:val="14"/>
                <w:color w:val="auto"/>
              </w:rPr>
            </w:pPr>
          </w:p>
        </w:tc>
        <w:tc>
          <w:tcPr>
            <w:tcW w:w="9320" w:type="dxa"/>
            <w:vAlign w:val="bottom"/>
          </w:tcPr>
          <w:p>
            <w:pPr>
              <w:ind w:left="1000"/>
              <w:spacing w:after="0" w:line="167" w:lineRule="exact"/>
              <w:rPr>
                <w:sz w:val="20"/>
                <w:szCs w:val="20"/>
                <w:color w:val="auto"/>
              </w:rPr>
            </w:pPr>
            <w:r>
              <w:rPr>
                <w:rFonts w:ascii="Arial" w:cs="Arial" w:eastAsia="Arial" w:hAnsi="Arial"/>
                <w:sz w:val="15"/>
                <w:szCs w:val="15"/>
                <w:color w:val="auto"/>
              </w:rPr>
              <w:t>570 Lexington Avenue, Suite 1903</w:t>
            </w:r>
          </w:p>
        </w:tc>
      </w:tr>
      <w:tr>
        <w:trPr>
          <w:trHeight w:val="166"/>
        </w:trPr>
        <w:tc>
          <w:tcPr>
            <w:tcW w:w="1600" w:type="dxa"/>
            <w:vAlign w:val="bottom"/>
          </w:tcPr>
          <w:p>
            <w:pPr>
              <w:spacing w:after="0"/>
              <w:rPr>
                <w:sz w:val="14"/>
                <w:szCs w:val="14"/>
                <w:color w:val="auto"/>
              </w:rPr>
            </w:pPr>
          </w:p>
        </w:tc>
        <w:tc>
          <w:tcPr>
            <w:tcW w:w="9320" w:type="dxa"/>
            <w:vAlign w:val="bottom"/>
          </w:tcPr>
          <w:p>
            <w:pPr>
              <w:ind w:left="1000"/>
              <w:spacing w:after="0" w:line="167" w:lineRule="exact"/>
              <w:rPr>
                <w:sz w:val="20"/>
                <w:szCs w:val="20"/>
                <w:color w:val="auto"/>
              </w:rPr>
            </w:pPr>
            <w:r>
              <w:rPr>
                <w:rFonts w:ascii="Arial" w:cs="Arial" w:eastAsia="Arial" w:hAnsi="Arial"/>
                <w:sz w:val="15"/>
                <w:szCs w:val="15"/>
                <w:color w:val="auto"/>
              </w:rPr>
              <w:t>New York, NY 10022</w:t>
            </w:r>
          </w:p>
        </w:tc>
      </w:tr>
      <w:tr>
        <w:trPr>
          <w:trHeight w:val="178"/>
        </w:trPr>
        <w:tc>
          <w:tcPr>
            <w:tcW w:w="1600" w:type="dxa"/>
            <w:vAlign w:val="bottom"/>
          </w:tcPr>
          <w:p>
            <w:pPr>
              <w:spacing w:after="0"/>
              <w:rPr>
                <w:sz w:val="15"/>
                <w:szCs w:val="15"/>
                <w:color w:val="auto"/>
              </w:rPr>
            </w:pPr>
          </w:p>
        </w:tc>
        <w:tc>
          <w:tcPr>
            <w:tcW w:w="9320" w:type="dxa"/>
            <w:vAlign w:val="bottom"/>
          </w:tcPr>
          <w:p>
            <w:pPr>
              <w:ind w:left="1000"/>
              <w:spacing w:after="0"/>
              <w:rPr>
                <w:sz w:val="20"/>
                <w:szCs w:val="20"/>
                <w:color w:val="auto"/>
              </w:rPr>
            </w:pPr>
            <w:r>
              <w:rPr>
                <w:rFonts w:ascii="Arial" w:cs="Arial" w:eastAsia="Arial" w:hAnsi="Arial"/>
                <w:sz w:val="15"/>
                <w:szCs w:val="15"/>
                <w:color w:val="auto"/>
              </w:rPr>
              <w:t>Attention: William E. Ryan III</w:t>
            </w:r>
          </w:p>
        </w:tc>
      </w:tr>
      <w:tr>
        <w:trPr>
          <w:trHeight w:val="332"/>
        </w:trPr>
        <w:tc>
          <w:tcPr>
            <w:tcW w:w="1600" w:type="dxa"/>
            <w:vAlign w:val="bottom"/>
          </w:tcPr>
          <w:p>
            <w:pPr>
              <w:jc w:val="right"/>
              <w:ind w:right="486"/>
              <w:spacing w:after="0"/>
              <w:rPr>
                <w:sz w:val="20"/>
                <w:szCs w:val="20"/>
                <w:color w:val="auto"/>
              </w:rPr>
            </w:pPr>
            <w:r>
              <w:rPr>
                <w:rFonts w:ascii="Arial" w:cs="Arial" w:eastAsia="Arial" w:hAnsi="Arial"/>
                <w:sz w:val="15"/>
                <w:szCs w:val="15"/>
                <w:color w:val="auto"/>
              </w:rPr>
              <w:t>8.5</w:t>
            </w:r>
          </w:p>
        </w:tc>
        <w:tc>
          <w:tcPr>
            <w:tcW w:w="9320" w:type="dxa"/>
            <w:vAlign w:val="bottom"/>
          </w:tcPr>
          <w:p>
            <w:pPr>
              <w:ind w:left="620"/>
              <w:spacing w:after="0"/>
              <w:rPr>
                <w:sz w:val="20"/>
                <w:szCs w:val="20"/>
                <w:color w:val="auto"/>
              </w:rPr>
            </w:pPr>
            <w:r>
              <w:rPr>
                <w:rFonts w:ascii="Arial" w:cs="Arial" w:eastAsia="Arial" w:hAnsi="Arial"/>
                <w:sz w:val="15"/>
                <w:szCs w:val="15"/>
                <w:b w:val="1"/>
                <w:bCs w:val="1"/>
                <w:color w:val="auto"/>
              </w:rPr>
              <w:t xml:space="preserve">Communications Binding Upon Receipt. </w:t>
            </w:r>
            <w:r>
              <w:rPr>
                <w:rFonts w:ascii="Arial" w:cs="Arial" w:eastAsia="Arial" w:hAnsi="Arial"/>
                <w:sz w:val="15"/>
                <w:szCs w:val="15"/>
                <w:color w:val="auto"/>
              </w:rPr>
              <w:t>No communication will be binding on the Trustee, the Company or the Administrative</w:t>
            </w:r>
          </w:p>
        </w:tc>
      </w:tr>
      <w:tr>
        <w:trPr>
          <w:trHeight w:val="178"/>
        </w:trPr>
        <w:tc>
          <w:tcPr>
            <w:tcW w:w="10920" w:type="dxa"/>
            <w:vAlign w:val="bottom"/>
            <w:gridSpan w:val="2"/>
          </w:tcPr>
          <w:p>
            <w:pPr>
              <w:spacing w:after="0"/>
              <w:rPr>
                <w:sz w:val="20"/>
                <w:szCs w:val="20"/>
                <w:color w:val="auto"/>
              </w:rPr>
            </w:pPr>
            <w:r>
              <w:rPr>
                <w:rFonts w:ascii="Arial" w:cs="Arial" w:eastAsia="Arial" w:hAnsi="Arial"/>
                <w:sz w:val="15"/>
                <w:szCs w:val="15"/>
                <w:color w:val="auto"/>
              </w:rPr>
              <w:t>Committee until it is received by such party.</w:t>
            </w:r>
          </w:p>
        </w:tc>
      </w:tr>
      <w:tr>
        <w:trPr>
          <w:trHeight w:val="332"/>
        </w:trPr>
        <w:tc>
          <w:tcPr>
            <w:tcW w:w="1600" w:type="dxa"/>
            <w:vAlign w:val="bottom"/>
          </w:tcPr>
          <w:p>
            <w:pPr>
              <w:jc w:val="right"/>
              <w:ind w:right="486"/>
              <w:spacing w:after="0"/>
              <w:rPr>
                <w:sz w:val="20"/>
                <w:szCs w:val="20"/>
                <w:color w:val="auto"/>
              </w:rPr>
            </w:pPr>
            <w:r>
              <w:rPr>
                <w:rFonts w:ascii="Arial" w:cs="Arial" w:eastAsia="Arial" w:hAnsi="Arial"/>
                <w:sz w:val="15"/>
                <w:szCs w:val="15"/>
                <w:color w:val="auto"/>
              </w:rPr>
              <w:t>8.6</w:t>
            </w:r>
          </w:p>
        </w:tc>
        <w:tc>
          <w:tcPr>
            <w:tcW w:w="9320" w:type="dxa"/>
            <w:vAlign w:val="bottom"/>
          </w:tcPr>
          <w:p>
            <w:pPr>
              <w:ind w:left="620"/>
              <w:spacing w:after="0"/>
              <w:rPr>
                <w:sz w:val="20"/>
                <w:szCs w:val="20"/>
                <w:color w:val="auto"/>
              </w:rPr>
            </w:pPr>
            <w:r>
              <w:rPr>
                <w:rFonts w:ascii="Arial" w:cs="Arial" w:eastAsia="Arial" w:hAnsi="Arial"/>
                <w:sz w:val="15"/>
                <w:szCs w:val="15"/>
                <w:b w:val="1"/>
                <w:bCs w:val="1"/>
                <w:color w:val="auto"/>
              </w:rPr>
              <w:t xml:space="preserve">Communication in Writing. </w:t>
            </w:r>
            <w:r>
              <w:rPr>
                <w:rFonts w:ascii="Arial" w:cs="Arial" w:eastAsia="Arial" w:hAnsi="Arial"/>
                <w:sz w:val="15"/>
                <w:szCs w:val="15"/>
                <w:color w:val="auto"/>
              </w:rPr>
              <w:t>All communications required hereunder from the Administrative Committee to the Trustee will be in</w:t>
            </w:r>
          </w:p>
        </w:tc>
      </w:tr>
    </w:tbl>
    <w:p>
      <w:pPr>
        <w:jc w:val="both"/>
        <w:ind w:left="20" w:right="180"/>
        <w:spacing w:after="0" w:line="233" w:lineRule="auto"/>
        <w:rPr>
          <w:sz w:val="20"/>
          <w:szCs w:val="20"/>
          <w:color w:val="auto"/>
        </w:rPr>
      </w:pPr>
      <w:r>
        <w:rPr>
          <w:rFonts w:ascii="Arial" w:cs="Arial" w:eastAsia="Arial" w:hAnsi="Arial"/>
          <w:sz w:val="15"/>
          <w:szCs w:val="15"/>
          <w:color w:val="auto"/>
        </w:rPr>
        <w:t>writing signed by a member of the Administrative Committee, as applicable, authorized to sign on its behalf. The Administrative Committee may authorize one or more of its members to sign on its behalf all communications to the Trustee. The Administrative Committee will keep the Trustee advised of the names and specimen signatures of all individuals authorized to sign on its behalf. In the absence of any notification of changes, the Trustee may, absent actual knowledge to the contrary, assume that the members of the Administrative Committee are the same as last reported by the Administrative Committee to the Trustee. The Trustee may accept communications by facsimile or email as a delivery of such communications in writing until notified in writing by the Administrative Committee that the use of such devices is no longer authorized.</w:t>
      </w:r>
    </w:p>
    <w:p>
      <w:pPr>
        <w:spacing w:after="0" w:line="152"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ARTICLE 9</w:t>
      </w:r>
    </w:p>
    <w:p>
      <w:pPr>
        <w:spacing w:after="0" w:line="12" w:lineRule="exact"/>
        <w:rPr>
          <w:sz w:val="20"/>
          <w:szCs w:val="20"/>
          <w:color w:val="auto"/>
        </w:rPr>
      </w:pPr>
    </w:p>
    <w:p>
      <w:pPr>
        <w:jc w:val="center"/>
        <w:ind w:right="160"/>
        <w:spacing w:after="0"/>
        <w:rPr>
          <w:sz w:val="20"/>
          <w:szCs w:val="20"/>
          <w:color w:val="auto"/>
        </w:rPr>
      </w:pPr>
      <w:r>
        <w:rPr>
          <w:rFonts w:ascii="Arial" w:cs="Arial" w:eastAsia="Arial" w:hAnsi="Arial"/>
          <w:sz w:val="15"/>
          <w:szCs w:val="15"/>
          <w:b w:val="1"/>
          <w:bCs w:val="1"/>
          <w:color w:val="auto"/>
        </w:rPr>
        <w:t>MISCELLANEOUS</w:t>
      </w:r>
    </w:p>
    <w:p>
      <w:pPr>
        <w:sectPr>
          <w:pgSz w:w="11900" w:h="16838" w:orient="portrait"/>
          <w:cols w:equalWidth="0" w:num="1">
            <w:col w:w="11120"/>
          </w:cols>
          <w:pgMar w:left="460" w:top="487" w:right="319" w:bottom="1440" w:gutter="0" w:footer="0" w:header="0"/>
        </w:sectPr>
      </w:pPr>
    </w:p>
    <w:p>
      <w:pPr>
        <w:spacing w:after="0" w:line="160" w:lineRule="exact"/>
        <w:rPr>
          <w:sz w:val="20"/>
          <w:szCs w:val="20"/>
          <w:color w:val="auto"/>
        </w:rPr>
      </w:pPr>
    </w:p>
    <w:p>
      <w:pPr>
        <w:ind w:left="880"/>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Gender, Tense and Headings.</w:t>
      </w:r>
    </w:p>
    <w:p>
      <w:pPr>
        <w:spacing w:after="0" w:line="200" w:lineRule="exact"/>
        <w:rPr>
          <w:sz w:val="20"/>
          <w:szCs w:val="20"/>
          <w:color w:val="auto"/>
        </w:rPr>
      </w:pPr>
    </w:p>
    <w:p>
      <w:pPr>
        <w:sectPr>
          <w:pgSz w:w="11900" w:h="16838" w:orient="portrait"/>
          <w:cols w:equalWidth="0" w:num="2">
            <w:col w:w="1540" w:space="720"/>
            <w:col w:w="8860"/>
          </w:cols>
          <w:pgMar w:left="460" w:top="487" w:right="319" w:bottom="1440" w:gutter="0" w:footer="0" w:header="0"/>
          <w:type w:val="continuous"/>
        </w:sectPr>
      </w:pPr>
    </w:p>
    <w:p>
      <w:pPr>
        <w:ind w:left="1740"/>
        <w:spacing w:after="0"/>
        <w:tabs>
          <w:tab w:leader="none" w:pos="360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Whenever any words are used herein in the masculine gender, they will be construed as though they were also</w:t>
      </w:r>
    </w:p>
    <w:p>
      <w:pPr>
        <w:sectPr>
          <w:pgSz w:w="11900" w:h="16838" w:orient="portrait"/>
          <w:cols w:equalWidth="0" w:num="1">
            <w:col w:w="11120"/>
          </w:cols>
          <w:pgMar w:left="460" w:top="487" w:right="319" w:bottom="1440" w:gutter="0" w:footer="0" w:header="0"/>
          <w:type w:val="continuous"/>
        </w:sectPr>
      </w:pPr>
    </w:p>
    <w:p>
      <w:pPr>
        <w:spacing w:after="0" w:line="17" w:lineRule="exact"/>
        <w:rPr>
          <w:sz w:val="20"/>
          <w:szCs w:val="20"/>
          <w:color w:val="auto"/>
        </w:rPr>
      </w:pPr>
    </w:p>
    <w:p>
      <w:pPr>
        <w:ind w:left="20" w:right="200"/>
        <w:spacing w:after="0" w:line="231" w:lineRule="auto"/>
        <w:rPr>
          <w:sz w:val="20"/>
          <w:szCs w:val="20"/>
          <w:color w:val="auto"/>
        </w:rPr>
      </w:pPr>
      <w:r>
        <w:rPr>
          <w:rFonts w:ascii="Arial" w:cs="Arial" w:eastAsia="Arial" w:hAnsi="Arial"/>
          <w:sz w:val="15"/>
          <w:szCs w:val="15"/>
          <w:color w:val="auto"/>
        </w:rPr>
        <w:t>used in the feminine gender in all cases where they would so apply. Whenever any words used herein are in the singular form, they will be construed as though they were also used in the plural form in all cases where they would so apply.</w:t>
      </w:r>
    </w:p>
    <w:p>
      <w:pPr>
        <w:sectPr>
          <w:pgSz w:w="11900" w:h="16838" w:orient="portrait"/>
          <w:cols w:equalWidth="0" w:num="1">
            <w:col w:w="11120"/>
          </w:cols>
          <w:pgMar w:left="460" w:top="487" w:right="319" w:bottom="1440" w:gutter="0" w:footer="0" w:header="0"/>
          <w:type w:val="continuous"/>
        </w:sectPr>
      </w:pPr>
    </w:p>
    <w:p>
      <w:pPr>
        <w:spacing w:after="0" w:line="160"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(b)</w:t>
      </w:r>
    </w:p>
    <w:p>
      <w:pPr>
        <w:ind w:left="20"/>
        <w:spacing w:after="0"/>
        <w:rPr>
          <w:sz w:val="20"/>
          <w:szCs w:val="20"/>
          <w:color w:val="auto"/>
        </w:rPr>
      </w:pPr>
      <w:r>
        <w:rPr>
          <w:rFonts w:ascii="Arial" w:cs="Arial" w:eastAsia="Arial" w:hAnsi="Arial"/>
          <w:sz w:val="14"/>
          <w:szCs w:val="14"/>
          <w:color w:val="auto"/>
        </w:rPr>
        <w:t>constitute no part of this Trust Agreement.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Headings of Articles and Sections as used herein are inserted solely for convenience and reference and</w:t>
      </w:r>
    </w:p>
    <w:p>
      <w:pPr>
        <w:spacing w:after="0" w:line="319" w:lineRule="exact"/>
        <w:rPr>
          <w:sz w:val="20"/>
          <w:szCs w:val="20"/>
          <w:color w:val="auto"/>
        </w:rPr>
      </w:pPr>
    </w:p>
    <w:p>
      <w:pPr>
        <w:sectPr>
          <w:pgSz w:w="11900" w:h="16838" w:orient="portrait"/>
          <w:cols w:equalWidth="0" w:num="2">
            <w:col w:w="2880" w:space="720"/>
            <w:col w:w="7520"/>
          </w:cols>
          <w:pgMar w:left="460" w:top="487" w:right="319" w:bottom="1440" w:gutter="0" w:footer="0" w:header="0"/>
          <w:type w:val="continuous"/>
        </w:sectPr>
      </w:pPr>
    </w:p>
    <w:p>
      <w:pPr>
        <w:ind w:left="840"/>
        <w:spacing w:after="0"/>
        <w:tabs>
          <w:tab w:leader="none" w:pos="2180" w:val="left"/>
        </w:tabs>
        <w:rPr>
          <w:sz w:val="20"/>
          <w:szCs w:val="20"/>
          <w:color w:val="auto"/>
        </w:rPr>
      </w:pPr>
      <w:r>
        <w:rPr>
          <w:rFonts w:ascii="Arial" w:cs="Arial" w:eastAsia="Arial" w:hAnsi="Arial"/>
          <w:sz w:val="15"/>
          <w:szCs w:val="15"/>
          <w:color w:val="auto"/>
        </w:rPr>
        <w:t>9.2</w:t>
      </w:r>
      <w:r>
        <w:rPr>
          <w:sz w:val="20"/>
          <w:szCs w:val="20"/>
          <w:color w:val="auto"/>
        </w:rPr>
        <w:tab/>
      </w:r>
      <w:r>
        <w:rPr>
          <w:rFonts w:ascii="Arial" w:cs="Arial" w:eastAsia="Arial" w:hAnsi="Arial"/>
          <w:sz w:val="14"/>
          <w:szCs w:val="14"/>
          <w:b w:val="1"/>
          <w:bCs w:val="1"/>
          <w:color w:val="auto"/>
        </w:rPr>
        <w:t xml:space="preserve">Governing Law. </w:t>
      </w:r>
      <w:r>
        <w:rPr>
          <w:rFonts w:ascii="Arial" w:cs="Arial" w:eastAsia="Arial" w:hAnsi="Arial"/>
          <w:sz w:val="14"/>
          <w:szCs w:val="14"/>
          <w:color w:val="auto"/>
        </w:rPr>
        <w:t>This Trust Agreement will be construed and governed in all respects in accordance with applicable federal law, and,</w:t>
      </w:r>
    </w:p>
    <w:p>
      <w:pPr>
        <w:sectPr>
          <w:pgSz w:w="11900" w:h="16838" w:orient="portrait"/>
          <w:cols w:equalWidth="0" w:num="1">
            <w:col w:w="11120"/>
          </w:cols>
          <w:pgMar w:left="460" w:top="487" w:right="319" w:bottom="1440" w:gutter="0" w:footer="0" w:header="0"/>
          <w:type w:val="continuous"/>
        </w:sectPr>
      </w:pPr>
    </w:p>
    <w:p>
      <w:pPr>
        <w:spacing w:after="0" w:line="23" w:lineRule="exact"/>
        <w:rPr>
          <w:sz w:val="20"/>
          <w:szCs w:val="20"/>
          <w:color w:val="auto"/>
        </w:rPr>
      </w:pPr>
    </w:p>
    <w:p>
      <w:pPr>
        <w:jc w:val="both"/>
        <w:ind w:right="220"/>
        <w:spacing w:after="0" w:line="231" w:lineRule="auto"/>
        <w:rPr>
          <w:sz w:val="20"/>
          <w:szCs w:val="20"/>
          <w:color w:val="auto"/>
        </w:rPr>
      </w:pPr>
      <w:r>
        <w:rPr>
          <w:rFonts w:ascii="Arial" w:cs="Arial" w:eastAsia="Arial" w:hAnsi="Arial"/>
          <w:sz w:val="15"/>
          <w:szCs w:val="15"/>
          <w:color w:val="auto"/>
        </w:rPr>
        <w:t>to the extent not preempted by such federal law, in accordance with the laws of the State of California without giving effect to the choice of laws principles of such State.</w:t>
      </w:r>
    </w:p>
    <w:p>
      <w:pPr>
        <w:spacing w:after="0" w:line="148" w:lineRule="exact"/>
        <w:rPr>
          <w:sz w:val="20"/>
          <w:szCs w:val="20"/>
          <w:color w:val="auto"/>
        </w:rPr>
      </w:pPr>
    </w:p>
    <w:p>
      <w:pPr>
        <w:jc w:val="both"/>
        <w:ind w:right="220" w:firstLine="850"/>
        <w:spacing w:after="0" w:line="247"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b w:val="1"/>
          <w:bCs w:val="1"/>
          <w:color w:val="auto"/>
        </w:rPr>
        <w:t>Mistake of Fact.</w:t>
      </w:r>
      <w:r>
        <w:rPr>
          <w:rFonts w:ascii="Arial" w:cs="Arial" w:eastAsia="Arial" w:hAnsi="Arial"/>
          <w:sz w:val="15"/>
          <w:szCs w:val="15"/>
          <w:color w:val="auto"/>
        </w:rPr>
        <w:t xml:space="preserve"> Notwithstanding any other provisions herein contained, if any contribution is made due to a mistake of fact, such contribution will, upon the direction of the Administrative Committee, be returned to the Company or the party who made it, as directed by the Administrative Committee, without liability to any person (including, but not limited to, Participants).</w:t>
      </w:r>
    </w:p>
    <w:p>
      <w:pPr>
        <w:spacing w:after="0" w:line="143" w:lineRule="exact"/>
        <w:rPr>
          <w:sz w:val="20"/>
          <w:szCs w:val="20"/>
          <w:color w:val="auto"/>
        </w:rPr>
      </w:pPr>
    </w:p>
    <w:p>
      <w:pPr>
        <w:jc w:val="both"/>
        <w:ind w:right="220" w:firstLine="850"/>
        <w:spacing w:after="0" w:line="242"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b w:val="1"/>
          <w:bCs w:val="1"/>
          <w:color w:val="auto"/>
        </w:rPr>
        <w:t>Deductibility of Contributions.</w:t>
      </w:r>
      <w:r>
        <w:rPr>
          <w:rFonts w:ascii="Arial" w:cs="Arial" w:eastAsia="Arial" w:hAnsi="Arial"/>
          <w:sz w:val="15"/>
          <w:szCs w:val="15"/>
          <w:color w:val="auto"/>
        </w:rPr>
        <w:t xml:space="preserve"> Notwithstanding any other provisions herein contained, all contributions made under the Plan are hereby expressly conditioned upon their deductibility under Code Section 404, as amended from time to time, and, if the deduction for any contribution is disallowed in whole or in part, then such contribution (to the extent the deduction is disallowed) will, upon the direction of the Administrative Committee, be returned to the Company or the party who made it without liability to any person.</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7">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487" w:right="319" w:bottom="1440" w:gutter="0" w:footer="0" w:header="0"/>
          <w:type w:val="continuous"/>
        </w:sectPr>
      </w:pPr>
    </w:p>
    <w:bookmarkStart w:id="232" w:name="page233"/>
    <w:bookmarkEnd w:id="232"/>
    <w:p>
      <w:pPr>
        <w:jc w:val="both"/>
        <w:ind w:right="220" w:firstLine="851"/>
        <w:spacing w:after="0" w:line="237" w:lineRule="auto"/>
        <w:rPr>
          <w:sz w:val="20"/>
          <w:szCs w:val="20"/>
          <w:color w:val="auto"/>
        </w:rPr>
      </w:pPr>
      <w:r>
        <w:rPr>
          <w:rFonts w:ascii="Arial" w:cs="Arial" w:eastAsia="Arial" w:hAnsi="Arial"/>
          <w:sz w:val="15"/>
          <w:szCs w:val="15"/>
          <w:color w:val="auto"/>
        </w:rPr>
        <w:t xml:space="preserve">9.5 </w:t>
      </w:r>
      <w:r>
        <w:rPr>
          <w:rFonts w:ascii="Arial" w:cs="Arial" w:eastAsia="Arial" w:hAnsi="Arial"/>
          <w:sz w:val="15"/>
          <w:szCs w:val="15"/>
          <w:b w:val="1"/>
          <w:bCs w:val="1"/>
          <w:color w:val="auto"/>
        </w:rPr>
        <w:t>Alienation.</w:t>
      </w:r>
      <w:r>
        <w:rPr>
          <w:rFonts w:ascii="Arial" w:cs="Arial" w:eastAsia="Arial" w:hAnsi="Arial"/>
          <w:sz w:val="15"/>
          <w:szCs w:val="15"/>
          <w:color w:val="auto"/>
        </w:rPr>
        <w:t xml:space="preserve"> Except in the case of a Qualified Domestic Relations Order, or as otherwise required by federal law, (a) the benefits, proceeds, payments, or claims of any Participant payable from the Trust assets will not be subject in any manner to anticipation, alienation, sale, transfer, assignment, pledge, encumbrance, charge, garnishment, execution, or levy of any kind, either voluntary or involuntary including any such liability which is for alimony or other payments for support of a spouse or former spouse, (b) any attempt to anticipate, alienate, sell, transfer, assign, pledge, encumber, garnish, levy or otherwise dispose of or execute upon any right or benefit payable hereunder will be void, and (c) the Trust assets will not in any manner be liable for or subject to the debts, contracts, liabilities, engagements, or torts of any Participant entitled to benefits hereunder and such benefits will not be considered an asset of the Participant in the event of his or her insolvency or bankruptcy.</w:t>
      </w:r>
    </w:p>
    <w:p>
      <w:pPr>
        <w:spacing w:after="0" w:line="149" w:lineRule="exact"/>
        <w:rPr>
          <w:sz w:val="20"/>
          <w:szCs w:val="20"/>
          <w:color w:val="auto"/>
        </w:rPr>
      </w:pPr>
    </w:p>
    <w:p>
      <w:pPr>
        <w:jc w:val="both"/>
        <w:ind w:right="220" w:firstLine="850"/>
        <w:spacing w:after="0" w:line="247" w:lineRule="auto"/>
        <w:rPr>
          <w:sz w:val="20"/>
          <w:szCs w:val="20"/>
          <w:color w:val="auto"/>
        </w:rPr>
      </w:pPr>
      <w:r>
        <w:rPr>
          <w:rFonts w:ascii="Arial" w:cs="Arial" w:eastAsia="Arial" w:hAnsi="Arial"/>
          <w:sz w:val="15"/>
          <w:szCs w:val="15"/>
          <w:color w:val="auto"/>
        </w:rPr>
        <w:t xml:space="preserve">9.6 </w:t>
      </w:r>
      <w:r>
        <w:rPr>
          <w:rFonts w:ascii="Arial" w:cs="Arial" w:eastAsia="Arial" w:hAnsi="Arial"/>
          <w:sz w:val="15"/>
          <w:szCs w:val="15"/>
          <w:b w:val="1"/>
          <w:bCs w:val="1"/>
          <w:color w:val="auto"/>
        </w:rPr>
        <w:t>Entire Agreement; Parties Bound.</w:t>
      </w:r>
      <w:r>
        <w:rPr>
          <w:rFonts w:ascii="Arial" w:cs="Arial" w:eastAsia="Arial" w:hAnsi="Arial"/>
          <w:sz w:val="15"/>
          <w:szCs w:val="15"/>
          <w:color w:val="auto"/>
        </w:rPr>
        <w:t xml:space="preserve"> The Trust Agreement contains the entire agreement and understanding of the Company and the Trustee with respect to the subject matter hereof and supersede all prior agreements and understandings related to such subject matter. This Trust Agreement will be binding upon the parties to this Trust Agreement and their successors and assigns.</w:t>
      </w:r>
    </w:p>
    <w:p>
      <w:pPr>
        <w:spacing w:after="0" w:line="143" w:lineRule="exact"/>
        <w:rPr>
          <w:sz w:val="20"/>
          <w:szCs w:val="20"/>
          <w:color w:val="auto"/>
        </w:rPr>
      </w:pPr>
    </w:p>
    <w:p>
      <w:pPr>
        <w:jc w:val="both"/>
        <w:ind w:right="220" w:firstLine="850"/>
        <w:spacing w:after="0" w:line="247" w:lineRule="auto"/>
        <w:rPr>
          <w:sz w:val="20"/>
          <w:szCs w:val="20"/>
          <w:color w:val="auto"/>
        </w:rPr>
      </w:pPr>
      <w:r>
        <w:rPr>
          <w:rFonts w:ascii="Arial" w:cs="Arial" w:eastAsia="Arial" w:hAnsi="Arial"/>
          <w:sz w:val="15"/>
          <w:szCs w:val="15"/>
          <w:color w:val="auto"/>
        </w:rPr>
        <w:t xml:space="preserve">9.7 </w:t>
      </w:r>
      <w:r>
        <w:rPr>
          <w:rFonts w:ascii="Arial" w:cs="Arial" w:eastAsia="Arial" w:hAnsi="Arial"/>
          <w:sz w:val="15"/>
          <w:szCs w:val="15"/>
          <w:b w:val="1"/>
          <w:bCs w:val="1"/>
          <w:color w:val="auto"/>
        </w:rPr>
        <w:t>Severability.</w:t>
      </w:r>
      <w:r>
        <w:rPr>
          <w:rFonts w:ascii="Arial" w:cs="Arial" w:eastAsia="Arial" w:hAnsi="Arial"/>
          <w:sz w:val="15"/>
          <w:szCs w:val="15"/>
          <w:color w:val="auto"/>
        </w:rPr>
        <w:t xml:space="preserve"> In the event any provisions of this Agreement shall be held invalid for any reason, the invalidity shall not affect the remaining provisions of this Agreement, but shall be fully severable and the Agreement shall be construed and enforced as if the invalid provision had never been inserted herein.</w:t>
      </w:r>
    </w:p>
    <w:p>
      <w:pPr>
        <w:spacing w:after="0" w:line="143" w:lineRule="exact"/>
        <w:rPr>
          <w:sz w:val="20"/>
          <w:szCs w:val="20"/>
          <w:color w:val="auto"/>
        </w:rPr>
      </w:pPr>
    </w:p>
    <w:p>
      <w:pPr>
        <w:jc w:val="both"/>
        <w:ind w:right="220" w:firstLine="850"/>
        <w:spacing w:after="0" w:line="263" w:lineRule="auto"/>
        <w:rPr>
          <w:sz w:val="20"/>
          <w:szCs w:val="20"/>
          <w:color w:val="auto"/>
        </w:rPr>
      </w:pPr>
      <w:r>
        <w:rPr>
          <w:rFonts w:ascii="Arial" w:cs="Arial" w:eastAsia="Arial" w:hAnsi="Arial"/>
          <w:sz w:val="15"/>
          <w:szCs w:val="15"/>
          <w:color w:val="auto"/>
        </w:rPr>
        <w:t xml:space="preserve">9.8 </w:t>
      </w:r>
      <w:r>
        <w:rPr>
          <w:rFonts w:ascii="Arial" w:cs="Arial" w:eastAsia="Arial" w:hAnsi="Arial"/>
          <w:sz w:val="15"/>
          <w:szCs w:val="15"/>
          <w:b w:val="1"/>
          <w:bCs w:val="1"/>
          <w:color w:val="auto"/>
        </w:rPr>
        <w:t>Executed Counterparts.</w:t>
      </w:r>
      <w:r>
        <w:rPr>
          <w:rFonts w:ascii="Arial" w:cs="Arial" w:eastAsia="Arial" w:hAnsi="Arial"/>
          <w:sz w:val="15"/>
          <w:szCs w:val="15"/>
          <w:color w:val="auto"/>
        </w:rPr>
        <w:t xml:space="preserve"> The Trust Agreement may be executed in any number of counterparts, each of which will be deemed to be the original although the others will not be produced.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IN WITNESS WHEREOF, the Company and the Trustee have executed this Trust Agreement as of the date first written above.</w:t>
      </w: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5"/>
          <w:szCs w:val="15"/>
          <w:b w:val="1"/>
          <w:bCs w:val="1"/>
          <w:color w:val="auto"/>
        </w:rPr>
        <w:t>PARSONS CORPORATION</w:t>
      </w:r>
    </w:p>
    <w:p>
      <w:pPr>
        <w:spacing w:after="0" w:line="360"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By: ____________________________</w:t>
      </w:r>
    </w:p>
    <w:p>
      <w:pPr>
        <w:ind w:left="4840"/>
        <w:spacing w:after="0" w:line="231" w:lineRule="auto"/>
        <w:rPr>
          <w:sz w:val="20"/>
          <w:szCs w:val="20"/>
          <w:color w:val="auto"/>
        </w:rPr>
      </w:pPr>
      <w:r>
        <w:rPr>
          <w:rFonts w:ascii="Arial" w:cs="Arial" w:eastAsia="Arial" w:hAnsi="Arial"/>
          <w:sz w:val="15"/>
          <w:szCs w:val="15"/>
          <w:color w:val="auto"/>
        </w:rPr>
        <w:t>Name:</w:t>
      </w:r>
    </w:p>
    <w:p>
      <w:pPr>
        <w:ind w:left="4840"/>
        <w:spacing w:after="0"/>
        <w:rPr>
          <w:sz w:val="20"/>
          <w:szCs w:val="20"/>
          <w:color w:val="auto"/>
        </w:rPr>
      </w:pPr>
      <w:r>
        <w:rPr>
          <w:rFonts w:ascii="Arial" w:cs="Arial" w:eastAsia="Arial" w:hAnsi="Arial"/>
          <w:sz w:val="15"/>
          <w:szCs w:val="15"/>
          <w:color w:val="auto"/>
        </w:rPr>
        <w:t>Title:</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NEWPORT TRUST COMPANY</w:t>
      </w:r>
    </w:p>
    <w:p>
      <w:pPr>
        <w:spacing w:after="0" w:line="360" w:lineRule="exact"/>
        <w:rPr>
          <w:sz w:val="20"/>
          <w:szCs w:val="20"/>
          <w:color w:val="auto"/>
        </w:rPr>
      </w:pPr>
    </w:p>
    <w:p>
      <w:pPr>
        <w:ind w:left="4900"/>
        <w:spacing w:after="0"/>
        <w:rPr>
          <w:sz w:val="20"/>
          <w:szCs w:val="20"/>
          <w:color w:val="auto"/>
        </w:rPr>
      </w:pPr>
      <w:r>
        <w:rPr>
          <w:rFonts w:ascii="Arial" w:cs="Arial" w:eastAsia="Arial" w:hAnsi="Arial"/>
          <w:sz w:val="15"/>
          <w:szCs w:val="15"/>
          <w:color w:val="auto"/>
        </w:rPr>
        <w:t>By: ______________________________</w:t>
      </w:r>
    </w:p>
    <w:p>
      <w:pPr>
        <w:ind w:left="1380"/>
        <w:spacing w:after="0" w:line="231" w:lineRule="auto"/>
        <w:rPr>
          <w:sz w:val="20"/>
          <w:szCs w:val="20"/>
          <w:color w:val="auto"/>
        </w:rPr>
      </w:pPr>
      <w:r>
        <w:rPr>
          <w:rFonts w:ascii="Arial" w:cs="Arial" w:eastAsia="Arial" w:hAnsi="Arial"/>
          <w:sz w:val="15"/>
          <w:szCs w:val="15"/>
          <w:color w:val="auto"/>
        </w:rPr>
        <w:t>Name: William E. Ryan III</w:t>
      </w:r>
    </w:p>
    <w:p>
      <w:pPr>
        <w:ind w:left="1380"/>
        <w:spacing w:after="0"/>
        <w:rPr>
          <w:sz w:val="20"/>
          <w:szCs w:val="20"/>
          <w:color w:val="auto"/>
        </w:rPr>
      </w:pPr>
      <w:r>
        <w:rPr>
          <w:rFonts w:ascii="Arial" w:cs="Arial" w:eastAsia="Arial" w:hAnsi="Arial"/>
          <w:sz w:val="15"/>
          <w:szCs w:val="15"/>
          <w:color w:val="auto"/>
        </w:rPr>
        <w:t>Title: President and Chief Fiduciary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314960</wp:posOffset>
            </wp:positionV>
            <wp:extent cx="7171055" cy="1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8">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120"/>
          </w:cols>
          <w:pgMar w:left="460" w:top="487" w:right="319" w:bottom="1440" w:gutter="0" w:footer="0" w:header="0"/>
        </w:sectPr>
      </w:pPr>
    </w:p>
    <w:bookmarkStart w:id="233" w:name="page234"/>
    <w:bookmarkEnd w:id="233"/>
    <w:p>
      <w:pPr>
        <w:jc w:val="center"/>
        <w:ind w:left="420"/>
        <w:spacing w:after="0"/>
        <w:rPr>
          <w:sz w:val="20"/>
          <w:szCs w:val="20"/>
          <w:color w:val="auto"/>
        </w:rPr>
      </w:pPr>
      <w:r>
        <w:rPr>
          <w:rFonts w:ascii="Arial" w:cs="Arial" w:eastAsia="Arial" w:hAnsi="Arial"/>
          <w:sz w:val="15"/>
          <w:szCs w:val="15"/>
          <w:b w:val="1"/>
          <w:bCs w:val="1"/>
          <w:color w:val="auto"/>
        </w:rPr>
        <w:t>Exhibit A</w:t>
      </w:r>
    </w:p>
    <w:p>
      <w:pPr>
        <w:spacing w:after="0" w:line="12" w:lineRule="exact"/>
        <w:rPr>
          <w:sz w:val="20"/>
          <w:szCs w:val="20"/>
          <w:color w:val="auto"/>
        </w:rPr>
      </w:pPr>
    </w:p>
    <w:p>
      <w:pPr>
        <w:jc w:val="center"/>
        <w:ind w:left="420"/>
        <w:spacing w:after="0"/>
        <w:rPr>
          <w:sz w:val="20"/>
          <w:szCs w:val="20"/>
          <w:color w:val="auto"/>
        </w:rPr>
      </w:pPr>
      <w:r>
        <w:rPr>
          <w:rFonts w:ascii="Arial" w:cs="Arial" w:eastAsia="Arial" w:hAnsi="Arial"/>
          <w:sz w:val="15"/>
          <w:szCs w:val="15"/>
          <w:b w:val="1"/>
          <w:bCs w:val="1"/>
          <w:color w:val="auto"/>
        </w:rPr>
        <w:t>Participant Distribution Procedures</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The parties to this Trust Agreement agree that the procedures set forth in this Exhibit A represent the service level performance objectives agreed between the parties with respect to the timely processing of participant distributions. The parties agree that a failure of the Trustee to meet these objectives shall trigger a performance discussion between the parties, but shall not constitute a breach of the Trustee’s duties under the Trust Agreement. The parties will periodically review these procedures to ensure they remain appropriate for the timely processing of participant distributions.</w:t>
      </w:r>
    </w:p>
    <w:p>
      <w:pPr>
        <w:spacing w:after="0" w:line="167" w:lineRule="exact"/>
        <w:rPr>
          <w:sz w:val="20"/>
          <w:szCs w:val="20"/>
          <w:color w:val="auto"/>
        </w:rPr>
      </w:pPr>
    </w:p>
    <w:p>
      <w:pPr>
        <w:ind w:left="880" w:hanging="439"/>
        <w:spacing w:after="0"/>
        <w:tabs>
          <w:tab w:leader="none" w:pos="8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Form of Distributions</w:t>
      </w:r>
    </w:p>
    <w:p>
      <w:pPr>
        <w:spacing w:after="0" w:line="137" w:lineRule="exact"/>
        <w:rPr>
          <w:rFonts w:ascii="Arial" w:cs="Arial" w:eastAsia="Arial" w:hAnsi="Arial"/>
          <w:sz w:val="15"/>
          <w:szCs w:val="15"/>
          <w:color w:val="auto"/>
        </w:rPr>
      </w:pPr>
    </w:p>
    <w:p>
      <w:pPr>
        <w:ind w:left="880"/>
        <w:spacing w:after="0"/>
        <w:rPr>
          <w:rFonts w:ascii="Arial" w:cs="Arial" w:eastAsia="Arial" w:hAnsi="Arial"/>
          <w:sz w:val="15"/>
          <w:szCs w:val="15"/>
          <w:color w:val="auto"/>
        </w:rPr>
      </w:pPr>
      <w:r>
        <w:rPr>
          <w:rFonts w:ascii="Arial" w:cs="Arial" w:eastAsia="Arial" w:hAnsi="Arial"/>
          <w:sz w:val="15"/>
          <w:szCs w:val="15"/>
          <w:color w:val="auto"/>
        </w:rPr>
        <w:t>All participant distributions shall be made in whole shares of Company Stock, with any fractional shares paid in cash.</w:t>
      </w:r>
    </w:p>
    <w:p>
      <w:pPr>
        <w:spacing w:after="0" w:line="171" w:lineRule="exact"/>
        <w:rPr>
          <w:rFonts w:ascii="Arial" w:cs="Arial" w:eastAsia="Arial" w:hAnsi="Arial"/>
          <w:sz w:val="15"/>
          <w:szCs w:val="15"/>
          <w:color w:val="auto"/>
        </w:rPr>
      </w:pPr>
    </w:p>
    <w:p>
      <w:pPr>
        <w:ind w:left="880" w:hanging="439"/>
        <w:spacing w:after="0"/>
        <w:tabs>
          <w:tab w:leader="none" w:pos="8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Instruction Procedures</w:t>
      </w:r>
    </w:p>
    <w:p>
      <w:pPr>
        <w:spacing w:after="0" w:line="171" w:lineRule="exact"/>
        <w:rPr>
          <w:rFonts w:ascii="Arial" w:cs="Arial" w:eastAsia="Arial" w:hAnsi="Arial"/>
          <w:sz w:val="15"/>
          <w:szCs w:val="15"/>
          <w:color w:val="auto"/>
        </w:rPr>
      </w:pPr>
    </w:p>
    <w:p>
      <w:pPr>
        <w:ind w:left="1740" w:right="20" w:hanging="435"/>
        <w:spacing w:after="0" w:line="231" w:lineRule="auto"/>
        <w:tabs>
          <w:tab w:leader="none" w:pos="17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Participant distribution requests will be reviewed and determined to be in good order by the Administrative Committee or their delegate. The Administrative Committee or their delegate will direct the Plan’s recordkeeper, Findley, to process the distribution.</w:t>
      </w:r>
    </w:p>
    <w:p>
      <w:pPr>
        <w:ind w:left="1740" w:hanging="435"/>
        <w:spacing w:after="0" w:line="231" w:lineRule="auto"/>
        <w:tabs>
          <w:tab w:leader="none" w:pos="17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Findley will direct the Trustee to:</w:t>
      </w:r>
    </w:p>
    <w:p>
      <w:pPr>
        <w:ind w:left="2600" w:hanging="209"/>
        <w:spacing w:after="0" w:line="231" w:lineRule="auto"/>
        <w:tabs>
          <w:tab w:leader="none" w:pos="2600" w:val="left"/>
        </w:tabs>
        <w:numPr>
          <w:ilvl w:val="3"/>
          <w:numId w:val="156"/>
        </w:numPr>
        <w:rPr>
          <w:rFonts w:ascii="Arial" w:cs="Arial" w:eastAsia="Arial" w:hAnsi="Arial"/>
          <w:sz w:val="15"/>
          <w:szCs w:val="15"/>
          <w:color w:val="auto"/>
        </w:rPr>
      </w:pPr>
      <w:r>
        <w:rPr>
          <w:rFonts w:ascii="Arial" w:cs="Arial" w:eastAsia="Arial" w:hAnsi="Arial"/>
          <w:sz w:val="15"/>
          <w:szCs w:val="15"/>
          <w:color w:val="auto"/>
        </w:rPr>
        <w:t>Deliver shares in-kind to a participant’s brokerage account. DTC delivery instructions will be provided for each participant’s brokerage account.</w:t>
      </w:r>
    </w:p>
    <w:p>
      <w:pPr>
        <w:ind w:left="2600" w:right="20" w:hanging="209"/>
        <w:spacing w:after="0" w:line="239" w:lineRule="auto"/>
        <w:tabs>
          <w:tab w:leader="none" w:pos="2600" w:val="left"/>
        </w:tabs>
        <w:numPr>
          <w:ilvl w:val="3"/>
          <w:numId w:val="156"/>
        </w:numPr>
        <w:rPr>
          <w:rFonts w:ascii="Arial" w:cs="Arial" w:eastAsia="Arial" w:hAnsi="Arial"/>
          <w:sz w:val="15"/>
          <w:szCs w:val="15"/>
          <w:color w:val="auto"/>
        </w:rPr>
      </w:pPr>
      <w:r>
        <w:rPr>
          <w:rFonts w:ascii="Arial" w:cs="Arial" w:eastAsia="Arial" w:hAnsi="Arial"/>
          <w:sz w:val="15"/>
          <w:szCs w:val="15"/>
          <w:color w:val="auto"/>
        </w:rPr>
        <w:t>Deliver cash in the form of a check or electronic transfer to a participant or the participant’s brokerage account in such amount as Findley determines for any fractional share interests to be distributed.</w:t>
      </w:r>
    </w:p>
    <w:p>
      <w:pPr>
        <w:spacing w:after="0" w:line="166" w:lineRule="exact"/>
        <w:rPr>
          <w:rFonts w:ascii="Arial" w:cs="Arial" w:eastAsia="Arial" w:hAnsi="Arial"/>
          <w:sz w:val="15"/>
          <w:szCs w:val="15"/>
          <w:color w:val="auto"/>
        </w:rPr>
      </w:pPr>
    </w:p>
    <w:p>
      <w:pPr>
        <w:ind w:left="880" w:hanging="439"/>
        <w:spacing w:after="0"/>
        <w:tabs>
          <w:tab w:leader="none" w:pos="8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Delivery of Shares</w:t>
      </w:r>
    </w:p>
    <w:p>
      <w:pPr>
        <w:spacing w:after="0" w:line="171" w:lineRule="exact"/>
        <w:rPr>
          <w:rFonts w:ascii="Arial" w:cs="Arial" w:eastAsia="Arial" w:hAnsi="Arial"/>
          <w:sz w:val="15"/>
          <w:szCs w:val="15"/>
          <w:color w:val="auto"/>
        </w:rPr>
      </w:pPr>
    </w:p>
    <w:p>
      <w:pPr>
        <w:jc w:val="both"/>
        <w:ind w:left="1740" w:right="20" w:hanging="435"/>
        <w:spacing w:after="0" w:line="231" w:lineRule="auto"/>
        <w:tabs>
          <w:tab w:leader="none" w:pos="17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Following receipt of a direction from Findley determined by the Trustee to be in good order, the Trustee will instruct its custodian, SEI, to deliver shares of Company Stock through DTC to the participant’s brokerage account. Delivery through DTC will generally be expected to occur within two (2) business days.</w:t>
      </w:r>
    </w:p>
    <w:p>
      <w:pPr>
        <w:ind w:left="1740" w:hanging="435"/>
        <w:spacing w:after="0" w:line="231" w:lineRule="auto"/>
        <w:tabs>
          <w:tab w:leader="none" w:pos="17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The Trustee will use reasonable efforts to instruct SEI within the following timeframes:</w:t>
      </w:r>
    </w:p>
    <w:p>
      <w:pPr>
        <w:ind w:left="2600" w:hanging="209"/>
        <w:spacing w:after="0" w:line="231" w:lineRule="auto"/>
        <w:tabs>
          <w:tab w:leader="none" w:pos="2600" w:val="left"/>
        </w:tabs>
        <w:numPr>
          <w:ilvl w:val="3"/>
          <w:numId w:val="156"/>
        </w:numPr>
        <w:rPr>
          <w:rFonts w:ascii="Arial" w:cs="Arial" w:eastAsia="Arial" w:hAnsi="Arial"/>
          <w:sz w:val="15"/>
          <w:szCs w:val="15"/>
          <w:color w:val="auto"/>
        </w:rPr>
      </w:pPr>
      <w:r>
        <w:rPr>
          <w:rFonts w:ascii="Arial" w:cs="Arial" w:eastAsia="Arial" w:hAnsi="Arial"/>
          <w:sz w:val="15"/>
          <w:szCs w:val="15"/>
          <w:color w:val="auto"/>
        </w:rPr>
        <w:t>For instructions in good order received before 12:00 p.m. Eastern Time, by the end of the same business day;</w:t>
      </w:r>
    </w:p>
    <w:p>
      <w:pPr>
        <w:ind w:left="2600" w:hanging="209"/>
        <w:spacing w:after="0" w:line="231" w:lineRule="auto"/>
        <w:tabs>
          <w:tab w:leader="none" w:pos="2600" w:val="left"/>
        </w:tabs>
        <w:numPr>
          <w:ilvl w:val="3"/>
          <w:numId w:val="156"/>
        </w:numPr>
        <w:rPr>
          <w:rFonts w:ascii="Arial" w:cs="Arial" w:eastAsia="Arial" w:hAnsi="Arial"/>
          <w:sz w:val="15"/>
          <w:szCs w:val="15"/>
          <w:color w:val="auto"/>
        </w:rPr>
      </w:pPr>
      <w:r>
        <w:rPr>
          <w:rFonts w:ascii="Arial" w:cs="Arial" w:eastAsia="Arial" w:hAnsi="Arial"/>
          <w:sz w:val="15"/>
          <w:szCs w:val="15"/>
          <w:color w:val="auto"/>
        </w:rPr>
        <w:t>For instructions in good order received after 12:01 p.m. Eastern Time, by the end of the following business day.</w:t>
      </w:r>
    </w:p>
    <w:p>
      <w:pPr>
        <w:ind w:left="1740" w:hanging="435"/>
        <w:spacing w:after="0" w:line="231" w:lineRule="auto"/>
        <w:tabs>
          <w:tab w:leader="none" w:pos="17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The Trustee will promptly notify the Administrative Committee or their delegate if there is a delay in instructing the delivery of shares beyond two</w:t>
      </w:r>
    </w:p>
    <w:p>
      <w:pPr>
        <w:ind w:left="1960" w:hanging="223"/>
        <w:spacing w:after="0"/>
        <w:tabs>
          <w:tab w:leader="none" w:pos="1960" w:val="left"/>
        </w:tabs>
        <w:numPr>
          <w:ilvl w:val="2"/>
          <w:numId w:val="156"/>
        </w:numPr>
        <w:rPr>
          <w:rFonts w:ascii="Arial" w:cs="Arial" w:eastAsia="Arial" w:hAnsi="Arial"/>
          <w:sz w:val="15"/>
          <w:szCs w:val="15"/>
          <w:color w:val="auto"/>
        </w:rPr>
      </w:pPr>
      <w:r>
        <w:rPr>
          <w:rFonts w:ascii="Arial" w:cs="Arial" w:eastAsia="Arial" w:hAnsi="Arial"/>
          <w:sz w:val="15"/>
          <w:szCs w:val="15"/>
          <w:color w:val="auto"/>
        </w:rPr>
        <w:t>business days after its receipt of instructions in good order from Findley.</w:t>
      </w:r>
    </w:p>
    <w:p>
      <w:pPr>
        <w:spacing w:after="0" w:line="171" w:lineRule="exact"/>
        <w:rPr>
          <w:rFonts w:ascii="Arial" w:cs="Arial" w:eastAsia="Arial" w:hAnsi="Arial"/>
          <w:sz w:val="15"/>
          <w:szCs w:val="15"/>
          <w:color w:val="auto"/>
        </w:rPr>
      </w:pPr>
    </w:p>
    <w:p>
      <w:pPr>
        <w:ind w:left="880" w:hanging="439"/>
        <w:spacing w:after="0"/>
        <w:tabs>
          <w:tab w:leader="none" w:pos="880" w:val="left"/>
        </w:tabs>
        <w:numPr>
          <w:ilvl w:val="0"/>
          <w:numId w:val="156"/>
        </w:numPr>
        <w:rPr>
          <w:rFonts w:ascii="Arial" w:cs="Arial" w:eastAsia="Arial" w:hAnsi="Arial"/>
          <w:sz w:val="15"/>
          <w:szCs w:val="15"/>
          <w:color w:val="auto"/>
        </w:rPr>
      </w:pPr>
      <w:r>
        <w:rPr>
          <w:rFonts w:ascii="Arial" w:cs="Arial" w:eastAsia="Arial" w:hAnsi="Arial"/>
          <w:sz w:val="15"/>
          <w:szCs w:val="15"/>
          <w:color w:val="auto"/>
        </w:rPr>
        <w:t>Confirmation</w:t>
      </w:r>
    </w:p>
    <w:p>
      <w:pPr>
        <w:spacing w:after="0" w:line="171" w:lineRule="exact"/>
        <w:rPr>
          <w:rFonts w:ascii="Arial" w:cs="Arial" w:eastAsia="Arial" w:hAnsi="Arial"/>
          <w:sz w:val="15"/>
          <w:szCs w:val="15"/>
          <w:color w:val="auto"/>
        </w:rPr>
      </w:pPr>
    </w:p>
    <w:p>
      <w:pPr>
        <w:jc w:val="both"/>
        <w:ind w:left="1740" w:hanging="435"/>
        <w:spacing w:after="0" w:line="236" w:lineRule="auto"/>
        <w:tabs>
          <w:tab w:leader="none" w:pos="174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Upon request, the Trustee will confirm delivery through its trust accounting system (Trust3000); a screenshot of the Trust3000 system showing the date and time when the instructions were uploaded to the system to initiate the transfers will be sufficient to confirm delivery in accordance with these procedures.</w:t>
      </w:r>
    </w:p>
    <w:p>
      <w:pPr>
        <w:spacing w:after="0" w:line="200" w:lineRule="exact"/>
        <w:rPr>
          <w:sz w:val="20"/>
          <w:szCs w:val="20"/>
          <w:color w:val="auto"/>
        </w:rPr>
      </w:pPr>
    </w:p>
    <w:p>
      <w:pPr>
        <w:spacing w:after="0" w:line="275" w:lineRule="exact"/>
        <w:rPr>
          <w:sz w:val="20"/>
          <w:szCs w:val="20"/>
          <w:color w:val="auto"/>
        </w:rPr>
      </w:pPr>
    </w:p>
    <w:p>
      <w:pPr>
        <w:ind w:left="1112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80"/>
          </w:cols>
          <w:pgMar w:left="300" w:top="664" w:right="31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Exhibit 10.41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FIFTH AMENDMENT TO THE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PARSONS CORPORATION RETIREMENT SAVINGS PLAN</w:t>
      </w:r>
    </w:p>
    <w:p>
      <w:pPr>
        <w:jc w:val="center"/>
        <w:ind w:right="-19"/>
        <w:spacing w:after="0"/>
        <w:rPr>
          <w:sz w:val="20"/>
          <w:szCs w:val="20"/>
          <w:color w:val="auto"/>
        </w:rPr>
      </w:pPr>
      <w:r>
        <w:rPr>
          <w:rFonts w:ascii="Arial" w:cs="Arial" w:eastAsia="Arial" w:hAnsi="Arial"/>
          <w:sz w:val="16"/>
          <w:szCs w:val="16"/>
          <w:b w:val="1"/>
          <w:bCs w:val="1"/>
          <w:color w:val="auto"/>
        </w:rPr>
        <w:t>(2017 AMENDMENT AND RESTATEMENT)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Parsons Corporation Retirement Savings Plan (2017 Amendment and Restatement) (the “</w:t>
      </w:r>
      <w:r>
        <w:rPr>
          <w:rFonts w:ascii="Arial" w:cs="Arial" w:eastAsia="Arial" w:hAnsi="Arial"/>
          <w:sz w:val="16"/>
          <w:szCs w:val="16"/>
          <w:u w:val="single" w:color="auto"/>
          <w:color w:val="auto"/>
        </w:rPr>
        <w:t>Plan</w:t>
      </w:r>
      <w:r>
        <w:rPr>
          <w:rFonts w:ascii="Arial" w:cs="Arial" w:eastAsia="Arial" w:hAnsi="Arial"/>
          <w:sz w:val="16"/>
          <w:szCs w:val="16"/>
          <w:color w:val="auto"/>
        </w:rPr>
        <w:t>”) is hereby amended as follows effective as of</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January 1, 2021, unless otherwise indicated below:</w:t>
      </w:r>
    </w:p>
    <w:p>
      <w:pPr>
        <w:spacing w:after="0" w:line="156" w:lineRule="exact"/>
        <w:rPr>
          <w:sz w:val="20"/>
          <w:szCs w:val="20"/>
          <w:color w:val="auto"/>
        </w:rPr>
      </w:pPr>
    </w:p>
    <w:p>
      <w:pPr>
        <w:ind w:left="1300" w:hanging="859"/>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new Section 1.16 is hereby added to the Plan to read as follows:</w:t>
      </w:r>
    </w:p>
    <w:p>
      <w:pPr>
        <w:spacing w:after="0" w:line="163" w:lineRule="exact"/>
        <w:rPr>
          <w:rFonts w:ascii="Arial" w:cs="Arial" w:eastAsia="Arial" w:hAnsi="Arial"/>
          <w:sz w:val="18"/>
          <w:szCs w:val="18"/>
          <w:color w:val="auto"/>
        </w:rPr>
      </w:pPr>
    </w:p>
    <w:p>
      <w:pPr>
        <w:jc w:val="both"/>
        <w:ind w:left="1300" w:right="860"/>
        <w:spacing w:after="0" w:line="253" w:lineRule="auto"/>
        <w:rPr>
          <w:rFonts w:ascii="Arial" w:cs="Arial" w:eastAsia="Arial" w:hAnsi="Arial"/>
          <w:sz w:val="18"/>
          <w:szCs w:val="18"/>
          <w:color w:val="auto"/>
        </w:rPr>
      </w:pPr>
      <w:r>
        <w:rPr>
          <w:rFonts w:ascii="Arial" w:cs="Arial" w:eastAsia="Arial" w:hAnsi="Arial"/>
          <w:sz w:val="17"/>
          <w:szCs w:val="17"/>
          <w:b w:val="1"/>
          <w:bCs w:val="1"/>
          <w:color w:val="auto"/>
        </w:rPr>
        <w:t>1.16 Merger of OGSystems 401(k) Plan</w:t>
      </w:r>
      <w:r>
        <w:rPr>
          <w:rFonts w:ascii="Arial" w:cs="Arial" w:eastAsia="Arial" w:hAnsi="Arial"/>
          <w:sz w:val="17"/>
          <w:szCs w:val="17"/>
          <w:color w:val="auto"/>
        </w:rPr>
        <w:t>. Effective as of January 1, 2021, the OGSystems 401(k)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u w:val="single" w:color="auto"/>
          <w:color w:val="auto"/>
        </w:rPr>
        <w:t>OGSystems Plan</w:t>
      </w:r>
      <w:r>
        <w:rPr>
          <w:rFonts w:ascii="Arial" w:cs="Arial" w:eastAsia="Arial" w:hAnsi="Arial"/>
          <w:sz w:val="17"/>
          <w:szCs w:val="17"/>
          <w:color w:val="auto"/>
        </w:rPr>
        <w:t>”) is merged into this Plan and the assets held pursuant to the trust for the OGSystems Plan are combined with the Trust Fund and held pursuant to the Trust Agreement. Effective as of said date, every participant in the OGSystems Plan (each an “</w:t>
      </w:r>
      <w:r>
        <w:rPr>
          <w:rFonts w:ascii="Arial" w:cs="Arial" w:eastAsia="Arial" w:hAnsi="Arial"/>
          <w:sz w:val="17"/>
          <w:szCs w:val="17"/>
          <w:u w:val="single" w:color="auto"/>
          <w:color w:val="auto"/>
        </w:rPr>
        <w:t>OGSystems Participant</w:t>
      </w:r>
      <w:r>
        <w:rPr>
          <w:rFonts w:ascii="Arial" w:cs="Arial" w:eastAsia="Arial" w:hAnsi="Arial"/>
          <w:sz w:val="17"/>
          <w:szCs w:val="17"/>
          <w:color w:val="auto"/>
        </w:rPr>
        <w:t>”) who was not previously a Participant in the Plan will become a Participant. The accounts held under the OGSystems Plan will be transferred to the applicable accounts under the Plan and the rights and benefits of OGSystems Participants will be governed by the Plan, including without limitation, Section 4.2.5 hereof.</w:t>
      </w:r>
    </w:p>
    <w:p>
      <w:pPr>
        <w:spacing w:after="0" w:line="143" w:lineRule="exact"/>
        <w:rPr>
          <w:rFonts w:ascii="Arial" w:cs="Arial" w:eastAsia="Arial" w:hAnsi="Arial"/>
          <w:sz w:val="18"/>
          <w:szCs w:val="18"/>
          <w:color w:val="auto"/>
        </w:rPr>
      </w:pPr>
    </w:p>
    <w:p>
      <w:pPr>
        <w:ind w:left="1300" w:hanging="859"/>
        <w:spacing w:after="0" w:line="251" w:lineRule="auto"/>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Effective as of January 1, 2021, OGSystems shall be added to the list of Participating Companies set forth on the Addendum to Section 2.30 of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this instrument of amendment is executed this ______ day of October 2020.</w:t>
      </w:r>
    </w:p>
    <w:p>
      <w:pPr>
        <w:spacing w:after="0" w:line="17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PARSONS CORPORATION</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170"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80"/>
          </w:cols>
          <w:pgMar w:left="300" w:top="478" w:right="31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t>Exhibit 10.42</w:t>
      </w:r>
    </w:p>
    <w:p>
      <w:pPr>
        <w:jc w:val="center"/>
        <w:spacing w:after="0"/>
        <w:rPr>
          <w:sz w:val="20"/>
          <w:szCs w:val="20"/>
          <w:color w:val="auto"/>
        </w:rPr>
      </w:pPr>
      <w:r>
        <w:rPr>
          <w:rFonts w:ascii="Arial" w:cs="Arial" w:eastAsia="Arial" w:hAnsi="Arial"/>
          <w:sz w:val="18"/>
          <w:szCs w:val="18"/>
          <w:b w:val="1"/>
          <w:bCs w:val="1"/>
          <w:color w:val="auto"/>
        </w:rPr>
        <w:t>FOURTH AMENDMENT TO THE</w:t>
      </w:r>
    </w:p>
    <w:p>
      <w:pPr>
        <w:jc w:val="center"/>
        <w:spacing w:after="0" w:line="233" w:lineRule="auto"/>
        <w:rPr>
          <w:sz w:val="20"/>
          <w:szCs w:val="20"/>
          <w:color w:val="auto"/>
        </w:rPr>
      </w:pPr>
      <w:r>
        <w:rPr>
          <w:rFonts w:ascii="Arial" w:cs="Arial" w:eastAsia="Arial" w:hAnsi="Arial"/>
          <w:sz w:val="18"/>
          <w:szCs w:val="18"/>
          <w:b w:val="1"/>
          <w:bCs w:val="1"/>
          <w:color w:val="auto"/>
        </w:rPr>
        <w:t>PARSONS EMPLOYEE STOCK OWNERSHIP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2019 AMENDMENT AND RESTATEMENT</w:t>
      </w:r>
    </w:p>
    <w:p>
      <w:pPr>
        <w:spacing w:after="0" w:line="166" w:lineRule="exact"/>
        <w:rPr>
          <w:sz w:val="20"/>
          <w:szCs w:val="20"/>
          <w:color w:val="auto"/>
        </w:rPr>
      </w:pPr>
    </w:p>
    <w:p>
      <w:pPr>
        <w:ind w:right="20" w:firstLine="867"/>
        <w:spacing w:after="0" w:line="251" w:lineRule="auto"/>
        <w:rPr>
          <w:sz w:val="20"/>
          <w:szCs w:val="20"/>
          <w:color w:val="auto"/>
        </w:rPr>
      </w:pPr>
      <w:r>
        <w:rPr>
          <w:rFonts w:ascii="Arial" w:cs="Arial" w:eastAsia="Arial" w:hAnsi="Arial"/>
          <w:sz w:val="18"/>
          <w:szCs w:val="18"/>
          <w:color w:val="auto"/>
        </w:rPr>
        <w:t>The Parsons Employee Stock Ownership Plan 2019 Amendment and Restatement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is hereby amended as follows, in each case, effective as of the dates indicated below:</w:t>
      </w:r>
    </w:p>
    <w:p>
      <w:pPr>
        <w:spacing w:after="0" w:line="143" w:lineRule="exact"/>
        <w:rPr>
          <w:sz w:val="20"/>
          <w:szCs w:val="20"/>
          <w:color w:val="auto"/>
        </w:rPr>
      </w:pPr>
    </w:p>
    <w:p>
      <w:pPr>
        <w:ind w:left="880" w:right="20" w:hanging="871"/>
        <w:spacing w:after="0" w:line="251" w:lineRule="auto"/>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 respect to initial distribution requests, effective March 1, 2021, Section 8.2 of the Plan is hereby amended to replace, in each instance, “$20,001” with “$500,001”.</w:t>
      </w:r>
    </w:p>
    <w:p>
      <w:pPr>
        <w:spacing w:after="0" w:line="143" w:lineRule="exact"/>
        <w:rPr>
          <w:rFonts w:ascii="Arial" w:cs="Arial" w:eastAsia="Arial" w:hAnsi="Arial"/>
          <w:sz w:val="18"/>
          <w:szCs w:val="18"/>
          <w:color w:val="auto"/>
        </w:rPr>
      </w:pPr>
    </w:p>
    <w:p>
      <w:pPr>
        <w:ind w:left="880" w:right="20" w:hanging="871"/>
        <w:spacing w:after="0" w:line="251" w:lineRule="auto"/>
        <w:tabs>
          <w:tab w:leader="none" w:pos="8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With respect to initial distribution requests, effective March 1, 2021, Section 8.2 of the Plan is hereby amended to replace, in each instance, “$40,000” with “$750,000”.</w:t>
      </w:r>
    </w:p>
    <w:p>
      <w:pPr>
        <w:spacing w:after="0" w:line="143" w:lineRule="exact"/>
        <w:rPr>
          <w:rFonts w:ascii="Arial" w:cs="Arial" w:eastAsia="Arial" w:hAnsi="Arial"/>
          <w:sz w:val="18"/>
          <w:szCs w:val="18"/>
          <w:color w:val="auto"/>
        </w:rPr>
      </w:pPr>
    </w:p>
    <w:p>
      <w:pPr>
        <w:jc w:val="both"/>
        <w:ind w:left="880" w:hanging="871"/>
        <w:spacing w:after="0" w:line="248" w:lineRule="auto"/>
        <w:tabs>
          <w:tab w:leader="none" w:pos="8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Effective July 1, 2021, the amendments to the thresholds for installment distributions described above shall be implemented with respect to all Participants who previously elected to receive installment distributions. Each Participant who previously elected installment distributions and has, prior to March 1, 2021, received payment of at least one installment, but who has not received full payment of their Account balance shall have the opportunity to elect, prior to May 31, 2021, to continue to receive installment payments in accordance with the Participant’s existing payment election. Any such Participant who does affirmatively elect to continue to receive payments in accordance with their existing installment payment election prior to May 31, 2021 shall continue receiving subsequent installments in the anniversary month of their initial distribution. Any such Participant who does not affirmatively elect to continue to receive payments in accordance with their existing installment payment election prior to May 31, 2021 shall, to the extent applicable, (i) receive an additional distribution on or about July 15, 2021 equal to the amounts that would have been distributed prior to that date if the amended thresholds for installment distributions described above had been in effect at the time of the Participant’s initial distribution request and (ii) have the number of remaining installment payments reduced to match the number of installments the Participant could have elected if the amended thresholds for installment distributions described above had been in effect at the time of the Participant’s initial distribution request.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118745</wp:posOffset>
            </wp:positionV>
            <wp:extent cx="7171055" cy="1397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9">
                      <a:extLst>
                        <a:ext uri="{28A0092B-C50C-407E-A947-70E740481C1C}"/>
                      </a:extLst>
                    </a:blip>
                    <a:srcRect/>
                    <a:stretch>
                      <a:fillRect/>
                    </a:stretch>
                  </pic:blipFill>
                  <pic:spPr bwMode="auto">
                    <a:xfrm>
                      <a:off x="0" y="0"/>
                      <a:ext cx="7171055" cy="13970"/>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IN WITNESS WHEREOF, this instrument of amendment is executed this ______ day of February, 2021.</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PARSONS CORPORATION</w:t>
      </w:r>
    </w:p>
    <w:p>
      <w:pPr>
        <w:spacing w:after="0" w:line="1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w:t>
      </w:r>
    </w:p>
    <w:p>
      <w:pPr>
        <w:spacing w:after="0" w:line="13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w:t>
      </w:r>
    </w:p>
    <w:p>
      <w:pPr>
        <w:spacing w:after="0" w:line="170"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Signature Page to the Fourth Amendment</w:t>
      </w:r>
    </w:p>
    <w:p>
      <w:pPr>
        <w:spacing w:after="0" w:line="15"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to the Parsons Employee Stock Ownership Plan</w:t>
      </w:r>
    </w:p>
    <w:p>
      <w:pPr>
        <w:spacing w:after="0" w:line="5" w:lineRule="exact"/>
        <w:rPr>
          <w:sz w:val="20"/>
          <w:szCs w:val="20"/>
          <w:color w:val="auto"/>
        </w:rPr>
      </w:pPr>
    </w:p>
    <w:p>
      <w:pPr>
        <w:jc w:val="center"/>
        <w:ind w:right="-1140"/>
        <w:spacing w:after="0"/>
        <w:rPr>
          <w:sz w:val="20"/>
          <w:szCs w:val="20"/>
          <w:color w:val="auto"/>
        </w:rPr>
      </w:pPr>
      <w:r>
        <w:rPr>
          <w:rFonts w:ascii="Arial" w:cs="Arial" w:eastAsia="Arial" w:hAnsi="Arial"/>
          <w:sz w:val="15"/>
          <w:szCs w:val="15"/>
          <w:color w:val="auto"/>
        </w:rPr>
        <w:t>2019 Amendment and Restatement</w:t>
      </w:r>
    </w:p>
    <w:p>
      <w:pPr>
        <w:sectPr>
          <w:pgSz w:w="11900" w:h="16838" w:orient="portrait"/>
          <w:cols w:equalWidth="0" w:num="1">
            <w:col w:w="10159"/>
          </w:cols>
          <w:pgMar w:left="300" w:top="466" w:right="1440"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Exhibit 21.1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580" w:type="dxa"/>
            <w:vAlign w:val="bottom"/>
            <w:gridSpan w:val="3"/>
          </w:tcPr>
          <w:p>
            <w:pPr>
              <w:ind w:left="140"/>
              <w:spacing w:after="0"/>
              <w:rPr>
                <w:sz w:val="20"/>
                <w:szCs w:val="20"/>
                <w:color w:val="auto"/>
              </w:rPr>
            </w:pPr>
            <w:r>
              <w:rPr>
                <w:rFonts w:ascii="Arial" w:cs="Arial" w:eastAsia="Arial" w:hAnsi="Arial"/>
                <w:sz w:val="16"/>
                <w:szCs w:val="16"/>
                <w:b w:val="1"/>
                <w:bCs w:val="1"/>
                <w:color w:val="auto"/>
              </w:rPr>
              <w:t>LIST OF SUBSIDIARIES OF THE REGISTRANT</w:t>
            </w:r>
          </w:p>
        </w:tc>
      </w:tr>
      <w:tr>
        <w:trPr>
          <w:trHeight w:val="495"/>
        </w:trPr>
        <w:tc>
          <w:tcPr>
            <w:tcW w:w="6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Subsidiary</w:t>
            </w:r>
          </w:p>
        </w:tc>
        <w:tc>
          <w:tcPr>
            <w:tcW w:w="310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7"/>
              </w:rPr>
              <w:t>Registered Jurisdiction</w:t>
            </w:r>
          </w:p>
        </w:tc>
        <w:tc>
          <w:tcPr>
            <w:tcW w:w="1020" w:type="dxa"/>
            <w:vAlign w:val="bottom"/>
          </w:tcPr>
          <w:p>
            <w:pPr>
              <w:spacing w:after="0"/>
              <w:rPr>
                <w:sz w:val="24"/>
                <w:szCs w:val="24"/>
                <w:color w:val="auto"/>
              </w:rPr>
            </w:pPr>
          </w:p>
        </w:tc>
      </w:tr>
      <w:tr>
        <w:trPr>
          <w:trHeight w:val="136"/>
        </w:trPr>
        <w:tc>
          <w:tcPr>
            <w:tcW w:w="3720" w:type="dxa"/>
            <w:vAlign w:val="bottom"/>
            <w:gridSpan w:val="2"/>
          </w:tcPr>
          <w:p>
            <w:pPr>
              <w:spacing w:after="0" w:line="136" w:lineRule="exact"/>
              <w:rPr>
                <w:sz w:val="20"/>
                <w:szCs w:val="20"/>
                <w:color w:val="auto"/>
              </w:rPr>
            </w:pPr>
            <w:r>
              <w:rPr>
                <w:rFonts w:ascii="Arial" w:cs="Arial" w:eastAsia="Arial" w:hAnsi="Arial"/>
                <w:sz w:val="12"/>
                <w:szCs w:val="12"/>
                <w:color w:val="auto"/>
              </w:rPr>
              <w:t>3D/International, Inc.</w:t>
            </w:r>
          </w:p>
        </w:tc>
        <w:tc>
          <w:tcPr>
            <w:tcW w:w="5240" w:type="dxa"/>
            <w:vAlign w:val="bottom"/>
          </w:tcPr>
          <w:p>
            <w:pPr>
              <w:spacing w:after="0"/>
              <w:rPr>
                <w:sz w:val="11"/>
                <w:szCs w:val="11"/>
                <w:color w:val="auto"/>
              </w:rPr>
            </w:pPr>
          </w:p>
        </w:tc>
        <w:tc>
          <w:tcPr>
            <w:tcW w:w="2340" w:type="dxa"/>
            <w:vAlign w:val="bottom"/>
            <w:gridSpan w:val="2"/>
          </w:tcPr>
          <w:p>
            <w:pPr>
              <w:spacing w:after="0" w:line="136" w:lineRule="exact"/>
              <w:rPr>
                <w:sz w:val="20"/>
                <w:szCs w:val="20"/>
                <w:color w:val="auto"/>
              </w:rPr>
            </w:pPr>
            <w:r>
              <w:rPr>
                <w:rFonts w:ascii="Arial" w:cs="Arial" w:eastAsia="Arial" w:hAnsi="Arial"/>
                <w:sz w:val="12"/>
                <w:szCs w:val="12"/>
                <w:color w:val="auto"/>
              </w:rPr>
              <w:t>Texas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Argotek,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Virginia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Bonifica S.P.A.</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Italy</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Braxton Science &amp; Technology Group,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Colorado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Braxton Technologies,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Colorado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Bright Star For Engineering Services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Iraq, Republic of</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BSX Parsons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Centerra-Parsons Pacific,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Florida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Chas. T. Main,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Massachusetts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Checkmark Vehicle Safety Services,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Command Engineering International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Ontario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 Leuw, Cather International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 Leuw, Cather International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Delcan Corporation</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Delcan Technologies,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Georgia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DZSP 21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EXi Parsons Telecom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Finley McNary Engineers,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Florida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First Defense Services Pte. Ltd.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Singapore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Fourth Dimension Engineering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Global Response Services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Holding S.r.L.</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Italy</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Ingenicomm,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Virginia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Intelligent Software Solutions Global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United Kingdom</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Marigold Infrastructure Partners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Alberta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Nateng Technology Group,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NDP,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Colorado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OGS Holdings,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OGSystems,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Virginia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PARCAN,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Parmetek, S.A. De C.V.</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Mexico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401Hot GP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Ontario</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Architectural Services of Illinois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Illinois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Architecture of Florida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Florida</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Architecture of New Jersey P.C.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New Jersey</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Canada Holdings, LLC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Construction Craft Services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Texas</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Construction Group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Constructors &amp; Fabricators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Constructors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Corporation</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CTMain Projetos de Infraestrutura Sociedade Simples Ltda.</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Brazil</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Delcan Inc.</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Delaware</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do Brasil Construcoes Ltda.</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Brazil</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Engineering Inc. of Michigan</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Michigan</w:t>
            </w:r>
          </w:p>
        </w:tc>
      </w:tr>
      <w:tr>
        <w:trPr>
          <w:trHeight w:val="188"/>
        </w:trPr>
        <w:tc>
          <w:tcPr>
            <w:tcW w:w="3720" w:type="dxa"/>
            <w:vAlign w:val="bottom"/>
            <w:gridSpan w:val="2"/>
          </w:tcPr>
          <w:p>
            <w:pPr>
              <w:spacing w:after="0"/>
              <w:rPr>
                <w:sz w:val="20"/>
                <w:szCs w:val="20"/>
                <w:color w:val="auto"/>
              </w:rPr>
            </w:pPr>
            <w:r>
              <w:rPr>
                <w:rFonts w:ascii="Arial" w:cs="Arial" w:eastAsia="Arial" w:hAnsi="Arial"/>
                <w:sz w:val="12"/>
                <w:szCs w:val="12"/>
                <w:color w:val="auto"/>
              </w:rPr>
              <w:t>Parsons Engineering Limited</w:t>
            </w:r>
          </w:p>
        </w:tc>
        <w:tc>
          <w:tcPr>
            <w:tcW w:w="524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2"/>
                <w:szCs w:val="12"/>
                <w:color w:val="auto"/>
              </w:rPr>
              <w:t>Cork</w:t>
            </w:r>
          </w:p>
        </w:tc>
      </w:tr>
      <w:tr>
        <w:trPr>
          <w:trHeight w:val="134"/>
        </w:trPr>
        <w:tc>
          <w:tcPr>
            <w:tcW w:w="620" w:type="dxa"/>
            <w:vAlign w:val="bottom"/>
            <w:tcBorders>
              <w:bottom w:val="single" w:sz="8" w:color="9A9A9A"/>
            </w:tcBorders>
          </w:tcPr>
          <w:p>
            <w:pPr>
              <w:spacing w:after="0"/>
              <w:rPr>
                <w:sz w:val="11"/>
                <w:szCs w:val="11"/>
                <w:color w:val="auto"/>
              </w:rPr>
            </w:pPr>
          </w:p>
        </w:tc>
        <w:tc>
          <w:tcPr>
            <w:tcW w:w="3100" w:type="dxa"/>
            <w:vAlign w:val="bottom"/>
            <w:tcBorders>
              <w:bottom w:val="single" w:sz="8" w:color="9A9A9A"/>
            </w:tcBorders>
          </w:tcPr>
          <w:p>
            <w:pPr>
              <w:spacing w:after="0"/>
              <w:rPr>
                <w:sz w:val="11"/>
                <w:szCs w:val="11"/>
                <w:color w:val="auto"/>
              </w:rPr>
            </w:pPr>
          </w:p>
        </w:tc>
        <w:tc>
          <w:tcPr>
            <w:tcW w:w="524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7169150</wp:posOffset>
            </wp:positionH>
            <wp:positionV relativeFrom="paragraph">
              <wp:posOffset>-6350</wp:posOffset>
            </wp:positionV>
            <wp:extent cx="6985" cy="698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0">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1">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300"/>
          </w:cols>
          <w:pgMar w:left="300" w:top="478" w:right="29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141"/>
        </w:trPr>
        <w:tc>
          <w:tcPr>
            <w:tcW w:w="6220" w:type="dxa"/>
            <w:vAlign w:val="bottom"/>
          </w:tcPr>
          <w:p>
            <w:pPr>
              <w:spacing w:after="0"/>
              <w:rPr>
                <w:sz w:val="20"/>
                <w:szCs w:val="20"/>
                <w:color w:val="auto"/>
              </w:rPr>
            </w:pPr>
            <w:r>
              <w:rPr>
                <w:rFonts w:ascii="Arial" w:cs="Arial" w:eastAsia="Arial" w:hAnsi="Arial"/>
                <w:sz w:val="12"/>
                <w:szCs w:val="12"/>
                <w:color w:val="auto"/>
              </w:rPr>
              <w:t>Parsons Engineering of New York,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New York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Science International,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Engineering Science, Inc.</w:t>
            </w:r>
          </w:p>
        </w:tc>
        <w:tc>
          <w:tcPr>
            <w:tcW w:w="5080" w:type="dxa"/>
            <w:vAlign w:val="bottom"/>
          </w:tcPr>
          <w:p>
            <w:pPr>
              <w:ind w:left="2740"/>
              <w:spacing w:after="0"/>
              <w:rPr>
                <w:sz w:val="20"/>
                <w:szCs w:val="20"/>
                <w:color w:val="auto"/>
              </w:rPr>
            </w:pPr>
            <w:r>
              <w:rPr>
                <w:rFonts w:ascii="Arial" w:cs="Arial" w:eastAsia="Arial" w:hAnsi="Arial"/>
                <w:sz w:val="12"/>
                <w:szCs w:val="12"/>
                <w:color w:val="auto"/>
              </w:rPr>
              <w:t>California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Enterprises,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Environment &amp; Infrastructure Group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Evergreene, LLC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Federal Construction Inc.</w:t>
            </w:r>
          </w:p>
        </w:tc>
        <w:tc>
          <w:tcPr>
            <w:tcW w:w="5080" w:type="dxa"/>
            <w:vAlign w:val="bottom"/>
          </w:tcPr>
          <w:p>
            <w:pPr>
              <w:ind w:left="2740"/>
              <w:spacing w:after="0"/>
              <w:rPr>
                <w:sz w:val="20"/>
                <w:szCs w:val="20"/>
                <w:color w:val="auto"/>
              </w:rPr>
            </w:pPr>
            <w:r>
              <w:rPr>
                <w:rFonts w:ascii="Arial" w:cs="Arial" w:eastAsia="Arial" w:hAnsi="Arial"/>
                <w:sz w:val="12"/>
                <w:szCs w:val="12"/>
                <w:color w:val="auto"/>
              </w:rPr>
              <w:t>California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Global Services, Ltd.</w:t>
            </w:r>
          </w:p>
        </w:tc>
        <w:tc>
          <w:tcPr>
            <w:tcW w:w="5080" w:type="dxa"/>
            <w:vAlign w:val="bottom"/>
          </w:tcPr>
          <w:p>
            <w:pPr>
              <w:ind w:left="2740"/>
              <w:spacing w:after="0"/>
              <w:rPr>
                <w:sz w:val="20"/>
                <w:szCs w:val="20"/>
                <w:color w:val="auto"/>
              </w:rPr>
            </w:pPr>
            <w:r>
              <w:rPr>
                <w:rFonts w:ascii="Arial" w:cs="Arial" w:eastAsia="Arial" w:hAnsi="Arial"/>
                <w:sz w:val="12"/>
                <w:szCs w:val="12"/>
                <w:color w:val="auto"/>
              </w:rPr>
              <w:t>Cayman Islands (B.W.I.)</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Government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Government Services International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Government Support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Texas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Group International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United Kingdom</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Hanford Fabricators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Washington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Federally Chartered</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Inc. of Ohio</w:t>
            </w:r>
          </w:p>
        </w:tc>
        <w:tc>
          <w:tcPr>
            <w:tcW w:w="5080" w:type="dxa"/>
            <w:vAlign w:val="bottom"/>
          </w:tcPr>
          <w:p>
            <w:pPr>
              <w:ind w:left="2740"/>
              <w:spacing w:after="0"/>
              <w:rPr>
                <w:sz w:val="20"/>
                <w:szCs w:val="20"/>
                <w:color w:val="auto"/>
              </w:rPr>
            </w:pPr>
            <w:r>
              <w:rPr>
                <w:rFonts w:ascii="Arial" w:cs="Arial" w:eastAsia="Arial" w:hAnsi="Arial"/>
                <w:sz w:val="12"/>
                <w:szCs w:val="12"/>
                <w:color w:val="auto"/>
              </w:rPr>
              <w:t>Ohio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of Illinois P.C.</w:t>
            </w:r>
          </w:p>
        </w:tc>
        <w:tc>
          <w:tcPr>
            <w:tcW w:w="5080" w:type="dxa"/>
            <w:vAlign w:val="bottom"/>
          </w:tcPr>
          <w:p>
            <w:pPr>
              <w:ind w:left="2740"/>
              <w:spacing w:after="0"/>
              <w:rPr>
                <w:sz w:val="20"/>
                <w:szCs w:val="20"/>
                <w:color w:val="auto"/>
              </w:rPr>
            </w:pPr>
            <w:r>
              <w:rPr>
                <w:rFonts w:ascii="Arial" w:cs="Arial" w:eastAsia="Arial" w:hAnsi="Arial"/>
                <w:sz w:val="12"/>
                <w:szCs w:val="12"/>
                <w:color w:val="auto"/>
              </w:rPr>
              <w:t>Illinois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of Michigan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Infrastructure &amp; Technology Group of New York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New York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Ingeniería, S. de R.L. de C.V</w:t>
            </w:r>
          </w:p>
        </w:tc>
        <w:tc>
          <w:tcPr>
            <w:tcW w:w="5080" w:type="dxa"/>
            <w:vAlign w:val="bottom"/>
          </w:tcPr>
          <w:p>
            <w:pPr>
              <w:ind w:left="2740"/>
              <w:spacing w:after="0"/>
              <w:rPr>
                <w:sz w:val="20"/>
                <w:szCs w:val="20"/>
                <w:color w:val="auto"/>
              </w:rPr>
            </w:pPr>
            <w:r>
              <w:rPr>
                <w:rFonts w:ascii="Arial" w:cs="Arial" w:eastAsia="Arial" w:hAnsi="Arial"/>
                <w:sz w:val="12"/>
                <w:szCs w:val="12"/>
                <w:color w:val="auto"/>
              </w:rPr>
              <w:t>Mexico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Inspection &amp; Maintenance Corporation</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&amp; Company LLC</w:t>
            </w:r>
          </w:p>
        </w:tc>
        <w:tc>
          <w:tcPr>
            <w:tcW w:w="5080" w:type="dxa"/>
            <w:vAlign w:val="bottom"/>
          </w:tcPr>
          <w:p>
            <w:pPr>
              <w:ind w:left="2740"/>
              <w:spacing w:after="0"/>
              <w:rPr>
                <w:sz w:val="20"/>
                <w:szCs w:val="20"/>
                <w:color w:val="auto"/>
              </w:rPr>
            </w:pPr>
            <w:r>
              <w:rPr>
                <w:rFonts w:ascii="Arial" w:cs="Arial" w:eastAsia="Arial" w:hAnsi="Arial"/>
                <w:sz w:val="12"/>
                <w:szCs w:val="12"/>
                <w:color w:val="auto"/>
              </w:rPr>
              <w:t>Sultanate of Oman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Limited</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International Limited (L.L.C.), a Limited Liability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Egypt, Arab Republic of</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Investments Corp.</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Italia S.r.L.</w:t>
            </w:r>
          </w:p>
        </w:tc>
        <w:tc>
          <w:tcPr>
            <w:tcW w:w="5080" w:type="dxa"/>
            <w:vAlign w:val="bottom"/>
          </w:tcPr>
          <w:p>
            <w:pPr>
              <w:ind w:left="2740"/>
              <w:spacing w:after="0"/>
              <w:rPr>
                <w:sz w:val="20"/>
                <w:szCs w:val="20"/>
                <w:color w:val="auto"/>
              </w:rPr>
            </w:pPr>
            <w:r>
              <w:rPr>
                <w:rFonts w:ascii="Arial" w:cs="Arial" w:eastAsia="Arial" w:hAnsi="Arial"/>
                <w:sz w:val="12"/>
                <w:szCs w:val="12"/>
                <w:color w:val="auto"/>
              </w:rPr>
              <w:t>Italy</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Main of New York,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New York</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Main, Inc.</w:t>
            </w:r>
          </w:p>
        </w:tc>
        <w:tc>
          <w:tcPr>
            <w:tcW w:w="5080" w:type="dxa"/>
            <w:vAlign w:val="bottom"/>
          </w:tcPr>
          <w:p>
            <w:pPr>
              <w:ind w:left="2740"/>
              <w:spacing w:after="0"/>
              <w:rPr>
                <w:sz w:val="20"/>
                <w:szCs w:val="20"/>
                <w:color w:val="auto"/>
              </w:rPr>
            </w:pPr>
            <w:r>
              <w:rPr>
                <w:rFonts w:ascii="Arial" w:cs="Arial" w:eastAsia="Arial" w:hAnsi="Arial"/>
                <w:sz w:val="12"/>
                <w:szCs w:val="12"/>
                <w:color w:val="auto"/>
              </w:rPr>
              <w:t>Massachusetts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Middle East Corporation</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Middle East Ltd.</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MIP Inc.</w:t>
            </w:r>
          </w:p>
        </w:tc>
        <w:tc>
          <w:tcPr>
            <w:tcW w:w="5080" w:type="dxa"/>
            <w:vAlign w:val="bottom"/>
          </w:tcPr>
          <w:p>
            <w:pPr>
              <w:ind w:left="2740"/>
              <w:spacing w:after="0"/>
              <w:rPr>
                <w:sz w:val="20"/>
                <w:szCs w:val="20"/>
                <w:color w:val="auto"/>
              </w:rPr>
            </w:pPr>
            <w:r>
              <w:rPr>
                <w:rFonts w:ascii="Arial" w:cs="Arial" w:eastAsia="Arial" w:hAnsi="Arial"/>
                <w:sz w:val="12"/>
                <w:szCs w:val="12"/>
                <w:color w:val="auto"/>
              </w:rPr>
              <w:t>Alberta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of North Carolina Inc.</w:t>
            </w:r>
          </w:p>
        </w:tc>
        <w:tc>
          <w:tcPr>
            <w:tcW w:w="5080" w:type="dxa"/>
            <w:vAlign w:val="bottom"/>
          </w:tcPr>
          <w:p>
            <w:pPr>
              <w:ind w:left="2740"/>
              <w:spacing w:after="0"/>
              <w:rPr>
                <w:sz w:val="20"/>
                <w:szCs w:val="20"/>
                <w:color w:val="auto"/>
              </w:rPr>
            </w:pPr>
            <w:r>
              <w:rPr>
                <w:rFonts w:ascii="Arial" w:cs="Arial" w:eastAsia="Arial" w:hAnsi="Arial"/>
                <w:sz w:val="12"/>
                <w:szCs w:val="12"/>
                <w:color w:val="auto"/>
              </w:rPr>
              <w:t>North Carolina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of Puerto Rico Professional Engineers, P.S.C.</w:t>
            </w:r>
          </w:p>
        </w:tc>
        <w:tc>
          <w:tcPr>
            <w:tcW w:w="5080" w:type="dxa"/>
            <w:vAlign w:val="bottom"/>
          </w:tcPr>
          <w:p>
            <w:pPr>
              <w:ind w:left="2740"/>
              <w:spacing w:after="0"/>
              <w:rPr>
                <w:sz w:val="20"/>
                <w:szCs w:val="20"/>
                <w:color w:val="auto"/>
              </w:rPr>
            </w:pPr>
            <w:r>
              <w:rPr>
                <w:rFonts w:ascii="Arial" w:cs="Arial" w:eastAsia="Arial" w:hAnsi="Arial"/>
                <w:sz w:val="12"/>
                <w:szCs w:val="12"/>
                <w:color w:val="auto"/>
              </w:rPr>
              <w:t>Puerto Rico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Overseas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Nevada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Overseas Limited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PATCO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Professional Corporation</w:t>
            </w:r>
          </w:p>
        </w:tc>
        <w:tc>
          <w:tcPr>
            <w:tcW w:w="5080" w:type="dxa"/>
            <w:vAlign w:val="bottom"/>
          </w:tcPr>
          <w:p>
            <w:pPr>
              <w:ind w:left="2740"/>
              <w:spacing w:after="0"/>
              <w:rPr>
                <w:sz w:val="20"/>
                <w:szCs w:val="20"/>
                <w:color w:val="auto"/>
              </w:rPr>
            </w:pPr>
            <w:r>
              <w:rPr>
                <w:rFonts w:ascii="Arial" w:cs="Arial" w:eastAsia="Arial" w:hAnsi="Arial"/>
                <w:sz w:val="12"/>
                <w:szCs w:val="12"/>
                <w:color w:val="auto"/>
              </w:rPr>
              <w:t>District of Columbia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Professional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Ontario</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Project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California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RCI Inc.</w:t>
            </w:r>
          </w:p>
        </w:tc>
        <w:tc>
          <w:tcPr>
            <w:tcW w:w="5080" w:type="dxa"/>
            <w:vAlign w:val="bottom"/>
          </w:tcPr>
          <w:p>
            <w:pPr>
              <w:ind w:left="2740"/>
              <w:spacing w:after="0"/>
              <w:rPr>
                <w:sz w:val="20"/>
                <w:szCs w:val="20"/>
                <w:color w:val="auto"/>
              </w:rPr>
            </w:pPr>
            <w:r>
              <w:rPr>
                <w:rFonts w:ascii="Arial" w:cs="Arial" w:eastAsia="Arial" w:hAnsi="Arial"/>
                <w:sz w:val="12"/>
                <w:szCs w:val="12"/>
                <w:color w:val="auto"/>
              </w:rPr>
              <w:t>Washington</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Savannah Construction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South Carolina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Savannah Services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Secure Solutions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Virginia</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Services Company</w:t>
            </w:r>
          </w:p>
        </w:tc>
        <w:tc>
          <w:tcPr>
            <w:tcW w:w="5080" w:type="dxa"/>
            <w:vAlign w:val="bottom"/>
          </w:tcPr>
          <w:p>
            <w:pPr>
              <w:ind w:left="2740"/>
              <w:spacing w:after="0"/>
              <w:rPr>
                <w:sz w:val="20"/>
                <w:szCs w:val="20"/>
                <w:color w:val="auto"/>
              </w:rPr>
            </w:pPr>
            <w:r>
              <w:rPr>
                <w:rFonts w:ascii="Arial" w:cs="Arial" w:eastAsia="Arial" w:hAnsi="Arial"/>
                <w:sz w:val="12"/>
                <w:szCs w:val="12"/>
                <w:color w:val="auto"/>
              </w:rPr>
              <w:t>Texas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SGTP GP Holdings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Federally Chartered</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Technical Services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Technical Services International Inc.</w:t>
            </w:r>
          </w:p>
        </w:tc>
        <w:tc>
          <w:tcPr>
            <w:tcW w:w="5080" w:type="dxa"/>
            <w:vAlign w:val="bottom"/>
          </w:tcPr>
          <w:p>
            <w:pPr>
              <w:ind w:left="2740"/>
              <w:spacing w:after="0"/>
              <w:rPr>
                <w:sz w:val="20"/>
                <w:szCs w:val="20"/>
                <w:color w:val="auto"/>
              </w:rPr>
            </w:pPr>
            <w:r>
              <w:rPr>
                <w:rFonts w:ascii="Arial" w:cs="Arial" w:eastAsia="Arial" w:hAnsi="Arial"/>
                <w:sz w:val="12"/>
                <w:szCs w:val="12"/>
                <w:color w:val="auto"/>
              </w:rPr>
              <w:t>Texas</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Technical Support Inc.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Technologies, LLC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88"/>
        </w:trPr>
        <w:tc>
          <w:tcPr>
            <w:tcW w:w="6220" w:type="dxa"/>
            <w:vAlign w:val="bottom"/>
          </w:tcPr>
          <w:p>
            <w:pPr>
              <w:spacing w:after="0"/>
              <w:rPr>
                <w:sz w:val="20"/>
                <w:szCs w:val="20"/>
                <w:color w:val="auto"/>
              </w:rPr>
            </w:pPr>
            <w:r>
              <w:rPr>
                <w:rFonts w:ascii="Arial" w:cs="Arial" w:eastAsia="Arial" w:hAnsi="Arial"/>
                <w:sz w:val="12"/>
                <w:szCs w:val="12"/>
                <w:color w:val="auto"/>
              </w:rPr>
              <w:t>Parsons Transportation Architectural Services LLC</w:t>
            </w:r>
          </w:p>
        </w:tc>
        <w:tc>
          <w:tcPr>
            <w:tcW w:w="5080" w:type="dxa"/>
            <w:vAlign w:val="bottom"/>
          </w:tcPr>
          <w:p>
            <w:pPr>
              <w:ind w:left="2740"/>
              <w:spacing w:after="0"/>
              <w:rPr>
                <w:sz w:val="20"/>
                <w:szCs w:val="20"/>
                <w:color w:val="auto"/>
              </w:rPr>
            </w:pPr>
            <w:r>
              <w:rPr>
                <w:rFonts w:ascii="Arial" w:cs="Arial" w:eastAsia="Arial" w:hAnsi="Arial"/>
                <w:sz w:val="12"/>
                <w:szCs w:val="12"/>
                <w:color w:val="auto"/>
              </w:rPr>
              <w:t>Delaware</w:t>
            </w:r>
          </w:p>
        </w:tc>
      </w:tr>
      <w:tr>
        <w:trPr>
          <w:trHeight w:val="134"/>
        </w:trPr>
        <w:tc>
          <w:tcPr>
            <w:tcW w:w="6220" w:type="dxa"/>
            <w:vAlign w:val="bottom"/>
            <w:tcBorders>
              <w:bottom w:val="single" w:sz="8" w:color="9A9A9A"/>
            </w:tcBorders>
          </w:tcPr>
          <w:p>
            <w:pPr>
              <w:spacing w:after="0"/>
              <w:rPr>
                <w:sz w:val="11"/>
                <w:szCs w:val="11"/>
                <w:color w:val="auto"/>
              </w:rPr>
            </w:pPr>
          </w:p>
        </w:tc>
        <w:tc>
          <w:tcPr>
            <w:tcW w:w="508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7169150</wp:posOffset>
            </wp:positionH>
            <wp:positionV relativeFrom="paragraph">
              <wp:posOffset>-6350</wp:posOffset>
            </wp:positionV>
            <wp:extent cx="6985" cy="698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-13335</wp:posOffset>
            </wp:positionV>
            <wp:extent cx="6985" cy="139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3">
                      <a:extLst>
                        <a:ext uri="{28A0092B-C50C-407E-A947-70E740481C1C}"/>
                      </a:extLst>
                    </a:blip>
                    <a:srcRect/>
                    <a:stretch>
                      <a:fillRect/>
                    </a:stretch>
                  </pic:blipFill>
                  <pic:spPr bwMode="auto">
                    <a:xfrm>
                      <a:off x="0" y="0"/>
                      <a:ext cx="6985" cy="13970"/>
                    </a:xfrm>
                    <a:prstGeom prst="rect">
                      <a:avLst/>
                    </a:prstGeom>
                    <a:noFill/>
                  </pic:spPr>
                </pic:pic>
              </a:graphicData>
            </a:graphic>
          </wp:anchor>
        </w:drawing>
      </w:r>
    </w:p>
    <w:p>
      <w:pPr>
        <w:sectPr>
          <w:pgSz w:w="11900" w:h="16838" w:orient="portrait"/>
          <w:cols w:equalWidth="0" w:num="1">
            <w:col w:w="11300"/>
          </w:cols>
          <w:pgMar w:left="300" w:top="875" w:right="299" w:bottom="1440" w:gutter="0" w:footer="0" w:header="0"/>
        </w:sectPr>
      </w:pPr>
    </w:p>
    <w:bookmarkStart w:id="239" w:name="page240"/>
    <w:bookmarkEnd w:id="239"/>
    <w:p>
      <w:pPr>
        <w:spacing w:after="0"/>
        <w:rPr>
          <w:sz w:val="20"/>
          <w:szCs w:val="20"/>
          <w:color w:val="auto"/>
        </w:rPr>
      </w:pPr>
      <w:r>
        <w:rPr>
          <w:rFonts w:ascii="Arial" w:cs="Arial" w:eastAsia="Arial" w:hAnsi="Arial"/>
          <w:sz w:val="12"/>
          <w:szCs w:val="12"/>
          <w:color w:val="auto"/>
        </w:rPr>
        <w:t>Parsons Transportation Group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Inc. of Michigan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Inc. of 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of New York,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 Transportation Group, Professional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Parsons Turkey Ulastirma Altyapi Sanayi ve Ticaret Limited Sirketi</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Parsons Water &amp; Infrastructure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Parsons-Granite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Parsons-Jurden International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Parsons-Versar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Partnership for Temporary Housing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Advanced Systems,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Cyber and Sigint,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Cyber Technologies,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Equity Holdings,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Holdings Parent,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Polaris Alpha,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PTSI Managed Services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QRC,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Solutions,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RMP Infrastructure Holdings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S&amp;P Geology Services P.C.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S.I.P.,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Saudi Arabian Parsons Limited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Savannah River Mission Completion Partners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SGTP Highway Bypass GP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SGTP Highway Bypass Limited Partnership</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Solidyn Solutions,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Space Ground System Solutions,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Steinman Boynton Gronquist &amp; Birdsall</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Steinman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T.J. Cross Engineers,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Tailored Engineering Deployments,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C. T. Main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De Leuw Cather Group Ltd.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The Ralph M. Parsons Company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Wholesale Supply Co.,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Williams Electric Co.,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3D/International,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Argotek, Inc.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Bonifica S.P.A.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Braxton Science &amp; Technology Group, LLC</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Braxton Technologies,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Illinois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Michigan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District of Columbia</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Turkey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California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1"/>
          <w:szCs w:val="11"/>
          <w:color w:val="auto"/>
        </w:rPr>
        <w:t>Federally Chartered</w:t>
      </w:r>
    </w:p>
    <w:p>
      <w:pPr>
        <w:spacing w:after="0" w:line="62"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Saudi Arabia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Saskatchewan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Saskatchewan</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Delaware</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Florida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New York</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California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Maryland</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Massachusetts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Ontario</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Nevada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Florida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Texas</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Virginia</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Italy</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Colorado</w:t>
      </w:r>
    </w:p>
    <w:p>
      <w:pPr>
        <w:spacing w:after="0" w:line="50" w:lineRule="exact"/>
        <w:rPr>
          <w:sz w:val="20"/>
          <w:szCs w:val="20"/>
          <w:color w:val="auto"/>
        </w:rPr>
      </w:pPr>
    </w:p>
    <w:p>
      <w:pPr>
        <w:spacing w:after="0"/>
        <w:rPr>
          <w:sz w:val="20"/>
          <w:szCs w:val="20"/>
          <w:color w:val="auto"/>
        </w:rPr>
      </w:pPr>
      <w:r>
        <w:rPr>
          <w:rFonts w:ascii="Arial" w:cs="Arial" w:eastAsia="Arial" w:hAnsi="Arial"/>
          <w:sz w:val="12"/>
          <w:szCs w:val="12"/>
          <w:color w:val="auto"/>
        </w:rPr>
        <w:t>Colorado</w:t>
      </w:r>
    </w:p>
    <w:p>
      <w:pPr>
        <w:sectPr>
          <w:pgSz w:w="11900" w:h="16838" w:orient="portrait"/>
          <w:cols w:equalWidth="0" w:num="2">
            <w:col w:w="8240" w:space="720"/>
            <w:col w:w="1199"/>
          </w:cols>
          <w:pgMar w:left="300" w:top="875"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6"/>
          <w:szCs w:val="16"/>
          <w:color w:val="auto"/>
        </w:rPr>
        <w:t>Exhibit 23.1</w:t>
      </w: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193"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We hereby consent to the incorporation by reference in the Registration Statements on Form S-8 (Nos. 333-234626 and 333-231387) of Parsons Corporation of our report dated February 24, 2021 relating to the financial statements and financial statement schedule and the effectiveness of internal control over financial reporting, which appears in this Form 10-K.</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color w:val="auto"/>
        </w:rPr>
        <w:t>/s/ PricewaterhouseCoopers LLP</w:t>
      </w:r>
    </w:p>
    <w:p>
      <w:pPr>
        <w:spacing w:after="0" w:line="231" w:lineRule="auto"/>
        <w:rPr>
          <w:sz w:val="20"/>
          <w:szCs w:val="20"/>
          <w:color w:val="auto"/>
        </w:rPr>
      </w:pPr>
      <w:r>
        <w:rPr>
          <w:rFonts w:ascii="Arial" w:cs="Arial" w:eastAsia="Arial" w:hAnsi="Arial"/>
          <w:sz w:val="15"/>
          <w:szCs w:val="15"/>
          <w:color w:val="auto"/>
        </w:rPr>
        <w:t>Los Angeles, California</w:t>
      </w:r>
    </w:p>
    <w:p>
      <w:pPr>
        <w:spacing w:after="0"/>
        <w:rPr>
          <w:sz w:val="20"/>
          <w:szCs w:val="20"/>
          <w:color w:val="auto"/>
        </w:rPr>
      </w:pPr>
      <w:r>
        <w:rPr>
          <w:rFonts w:ascii="Arial" w:cs="Arial" w:eastAsia="Arial" w:hAnsi="Arial"/>
          <w:sz w:val="15"/>
          <w:szCs w:val="15"/>
          <w:color w:val="auto"/>
        </w:rPr>
        <w:t>February 24, 2021</w:t>
      </w:r>
    </w:p>
    <w:p>
      <w:pPr>
        <w:sectPr>
          <w:pgSz w:w="11900" w:h="16838" w:orient="portrait"/>
          <w:cols w:equalWidth="0" w:num="1">
            <w:col w:w="11280"/>
          </w:cols>
          <w:pgMar w:left="300" w:top="132" w:right="319" w:bottom="1440" w:gutter="0" w:footer="0" w:header="0"/>
        </w:sectPr>
      </w:pPr>
    </w:p>
    <w:bookmarkStart w:id="241" w:name="page242"/>
    <w:bookmarkEnd w:id="241"/>
    <w:p>
      <w:pPr>
        <w:jc w:val="right"/>
        <w:spacing w:after="0"/>
        <w:rPr>
          <w:sz w:val="20"/>
          <w:szCs w:val="20"/>
          <w:color w:val="auto"/>
        </w:rPr>
      </w:pPr>
      <w:r>
        <w:rPr>
          <w:rFonts w:ascii="Arial" w:cs="Arial" w:eastAsia="Arial" w:hAnsi="Arial"/>
          <w:sz w:val="15"/>
          <w:szCs w:val="15"/>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 Charles L. Harrington, certify that:</w:t>
      </w:r>
    </w:p>
    <w:p>
      <w:pPr>
        <w:spacing w:after="0" w:line="171" w:lineRule="exact"/>
        <w:rPr>
          <w:sz w:val="20"/>
          <w:szCs w:val="20"/>
          <w:color w:val="auto"/>
        </w:rPr>
      </w:pPr>
    </w:p>
    <w:p>
      <w:pPr>
        <w:ind w:left="520" w:hanging="511"/>
        <w:spacing w:after="0"/>
        <w:tabs>
          <w:tab w:leader="none" w:pos="5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Parsons Corporation;</w:t>
      </w:r>
    </w:p>
    <w:p>
      <w:pPr>
        <w:spacing w:after="0" w:line="292" w:lineRule="exact"/>
        <w:rPr>
          <w:rFonts w:ascii="Arial" w:cs="Arial" w:eastAsia="Arial" w:hAnsi="Arial"/>
          <w:sz w:val="15"/>
          <w:szCs w:val="15"/>
          <w:color w:val="auto"/>
        </w:rPr>
      </w:pPr>
    </w:p>
    <w:p>
      <w:pPr>
        <w:ind w:left="520" w:right="440" w:hanging="511"/>
        <w:spacing w:after="0" w:line="239" w:lineRule="auto"/>
        <w:tabs>
          <w:tab w:leader="none" w:pos="5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8" w:lineRule="exact"/>
        <w:rPr>
          <w:rFonts w:ascii="Arial" w:cs="Arial" w:eastAsia="Arial" w:hAnsi="Arial"/>
          <w:sz w:val="15"/>
          <w:szCs w:val="15"/>
          <w:color w:val="auto"/>
        </w:rPr>
      </w:pPr>
    </w:p>
    <w:p>
      <w:pPr>
        <w:ind w:left="520" w:right="60" w:hanging="511"/>
        <w:spacing w:after="0" w:line="239" w:lineRule="auto"/>
        <w:tabs>
          <w:tab w:leader="none" w:pos="5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88" w:lineRule="exact"/>
        <w:rPr>
          <w:rFonts w:ascii="Arial" w:cs="Arial" w:eastAsia="Arial" w:hAnsi="Arial"/>
          <w:sz w:val="15"/>
          <w:szCs w:val="15"/>
          <w:color w:val="auto"/>
        </w:rPr>
      </w:pPr>
    </w:p>
    <w:p>
      <w:pPr>
        <w:ind w:left="520" w:right="120" w:hanging="511"/>
        <w:spacing w:after="0" w:line="272" w:lineRule="auto"/>
        <w:tabs>
          <w:tab w:leader="none" w:pos="520" w:val="left"/>
        </w:tabs>
        <w:numPr>
          <w:ilvl w:val="0"/>
          <w:numId w:val="15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66" w:lineRule="exact"/>
        <w:rPr>
          <w:rFonts w:ascii="Arial" w:cs="Arial" w:eastAsia="Arial" w:hAnsi="Arial"/>
          <w:sz w:val="14"/>
          <w:szCs w:val="14"/>
          <w:color w:val="auto"/>
        </w:rPr>
      </w:pPr>
    </w:p>
    <w:p>
      <w:pPr>
        <w:ind w:left="1060" w:right="40" w:hanging="530"/>
        <w:spacing w:after="0" w:line="236" w:lineRule="auto"/>
        <w:tabs>
          <w:tab w:leader="none" w:pos="10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5"/>
          <w:szCs w:val="15"/>
          <w:color w:val="auto"/>
        </w:rPr>
      </w:pPr>
    </w:p>
    <w:p>
      <w:pPr>
        <w:ind w:left="1060" w:right="140" w:hanging="530"/>
        <w:spacing w:after="0" w:line="236" w:lineRule="auto"/>
        <w:tabs>
          <w:tab w:leader="none" w:pos="10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5"/>
          <w:szCs w:val="15"/>
          <w:color w:val="auto"/>
        </w:rPr>
      </w:pPr>
    </w:p>
    <w:p>
      <w:pPr>
        <w:ind w:left="1060" w:right="40" w:hanging="530"/>
        <w:spacing w:after="0" w:line="239" w:lineRule="auto"/>
        <w:tabs>
          <w:tab w:leader="none" w:pos="10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ind w:left="1060" w:right="160" w:hanging="530"/>
        <w:spacing w:after="0" w:line="236" w:lineRule="auto"/>
        <w:tabs>
          <w:tab w:leader="none" w:pos="10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5"/>
          <w:szCs w:val="15"/>
          <w:color w:val="auto"/>
        </w:rPr>
      </w:pPr>
    </w:p>
    <w:p>
      <w:pPr>
        <w:ind w:left="520" w:right="340" w:hanging="511"/>
        <w:spacing w:after="0" w:line="239" w:lineRule="auto"/>
        <w:tabs>
          <w:tab w:leader="none" w:pos="52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88" w:lineRule="exact"/>
        <w:rPr>
          <w:rFonts w:ascii="Arial" w:cs="Arial" w:eastAsia="Arial" w:hAnsi="Arial"/>
          <w:sz w:val="15"/>
          <w:szCs w:val="15"/>
          <w:color w:val="auto"/>
        </w:rPr>
      </w:pPr>
    </w:p>
    <w:p>
      <w:pPr>
        <w:ind w:left="1060" w:right="460" w:hanging="530"/>
        <w:spacing w:after="0" w:line="239" w:lineRule="auto"/>
        <w:tabs>
          <w:tab w:leader="none" w:pos="10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1060" w:right="20" w:hanging="530"/>
        <w:spacing w:after="0" w:line="239" w:lineRule="auto"/>
        <w:tabs>
          <w:tab w:leader="none" w:pos="1060" w:val="left"/>
        </w:tabs>
        <w:numPr>
          <w:ilvl w:val="1"/>
          <w:numId w:val="159"/>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tabs>
          <w:tab w:leader="none" w:pos="5920" w:val="left"/>
          <w:tab w:leader="none" w:pos="7920" w:val="left"/>
        </w:tabs>
        <w:rPr>
          <w:sz w:val="20"/>
          <w:szCs w:val="20"/>
          <w:color w:val="auto"/>
        </w:rPr>
      </w:pPr>
      <w:r>
        <w:rPr>
          <w:rFonts w:ascii="Arial" w:cs="Arial" w:eastAsia="Arial" w:hAnsi="Arial"/>
          <w:sz w:val="15"/>
          <w:szCs w:val="15"/>
          <w:color w:val="auto"/>
        </w:rPr>
        <w:t>Date: February 24,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wp:posOffset>
            </wp:positionV>
            <wp:extent cx="3230245" cy="698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4">
                      <a:extLst>
                        <a:ext uri="{28A0092B-C50C-407E-A947-70E740481C1C}"/>
                      </a:extLst>
                    </a:blip>
                    <a:srcRect/>
                    <a:stretch>
                      <a:fillRect/>
                    </a:stretch>
                  </pic:blipFill>
                  <pic:spPr bwMode="auto">
                    <a:xfrm>
                      <a:off x="0" y="0"/>
                      <a:ext cx="3230245" cy="6985"/>
                    </a:xfrm>
                    <a:prstGeom prst="rect">
                      <a:avLst/>
                    </a:prstGeom>
                    <a:noFill/>
                  </pic:spPr>
                </pic:pic>
              </a:graphicData>
            </a:graphic>
          </wp:anchor>
        </w:drawing>
      </w:r>
    </w:p>
    <w:p>
      <w:pPr>
        <w:ind w:left="8040"/>
        <w:spacing w:after="0" w:line="238" w:lineRule="auto"/>
        <w:rPr>
          <w:sz w:val="20"/>
          <w:szCs w:val="20"/>
          <w:color w:val="auto"/>
        </w:rPr>
      </w:pPr>
      <w:r>
        <w:rPr>
          <w:rFonts w:ascii="Arial" w:cs="Arial" w:eastAsia="Arial" w:hAnsi="Arial"/>
          <w:sz w:val="15"/>
          <w:szCs w:val="15"/>
          <w:color w:val="auto"/>
        </w:rPr>
        <w:t>Charles L. Harrington</w:t>
      </w:r>
    </w:p>
    <w:p>
      <w:pPr>
        <w:ind w:left="798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310" w:right="3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5"/>
          <w:szCs w:val="15"/>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 George L. Ball, certify that:</w:t>
      </w:r>
    </w:p>
    <w:p>
      <w:pPr>
        <w:spacing w:after="0" w:line="171" w:lineRule="exact"/>
        <w:rPr>
          <w:sz w:val="20"/>
          <w:szCs w:val="20"/>
          <w:color w:val="auto"/>
        </w:rPr>
      </w:pPr>
    </w:p>
    <w:p>
      <w:pPr>
        <w:ind w:left="520" w:hanging="511"/>
        <w:spacing w:after="0"/>
        <w:tabs>
          <w:tab w:leader="none" w:pos="5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Parsons Corporation;</w:t>
      </w:r>
    </w:p>
    <w:p>
      <w:pPr>
        <w:spacing w:after="0" w:line="171" w:lineRule="exact"/>
        <w:rPr>
          <w:rFonts w:ascii="Arial" w:cs="Arial" w:eastAsia="Arial" w:hAnsi="Arial"/>
          <w:sz w:val="15"/>
          <w:szCs w:val="15"/>
          <w:color w:val="auto"/>
        </w:rPr>
      </w:pPr>
    </w:p>
    <w:p>
      <w:pPr>
        <w:ind w:left="520" w:right="440" w:hanging="511"/>
        <w:spacing w:after="0" w:line="239" w:lineRule="auto"/>
        <w:tabs>
          <w:tab w:leader="none" w:pos="5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5"/>
          <w:szCs w:val="15"/>
          <w:color w:val="auto"/>
        </w:rPr>
      </w:pPr>
    </w:p>
    <w:p>
      <w:pPr>
        <w:ind w:left="520" w:right="60" w:hanging="511"/>
        <w:spacing w:after="0" w:line="239" w:lineRule="auto"/>
        <w:tabs>
          <w:tab w:leader="none" w:pos="5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5"/>
          <w:szCs w:val="15"/>
          <w:color w:val="auto"/>
        </w:rPr>
      </w:pPr>
    </w:p>
    <w:p>
      <w:pPr>
        <w:ind w:left="380" w:hanging="371"/>
        <w:spacing w:after="0"/>
        <w:tabs>
          <w:tab w:leader="none" w:pos="3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5"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92" w:lineRule="exact"/>
        <w:rPr>
          <w:rFonts w:ascii="Arial" w:cs="Arial" w:eastAsia="Arial" w:hAnsi="Arial"/>
          <w:sz w:val="14"/>
          <w:szCs w:val="14"/>
          <w:color w:val="auto"/>
        </w:rPr>
      </w:pPr>
    </w:p>
    <w:p>
      <w:pPr>
        <w:ind w:left="1060" w:right="40" w:hanging="530"/>
        <w:spacing w:after="0" w:line="236" w:lineRule="auto"/>
        <w:tabs>
          <w:tab w:leader="none" w:pos="106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5"/>
          <w:szCs w:val="15"/>
          <w:color w:val="auto"/>
        </w:rPr>
      </w:pPr>
    </w:p>
    <w:p>
      <w:pPr>
        <w:ind w:left="1060" w:right="140" w:hanging="530"/>
        <w:spacing w:after="0" w:line="236" w:lineRule="auto"/>
        <w:tabs>
          <w:tab w:leader="none" w:pos="106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5"/>
          <w:szCs w:val="15"/>
          <w:color w:val="auto"/>
        </w:rPr>
      </w:pPr>
    </w:p>
    <w:p>
      <w:pPr>
        <w:ind w:left="1060" w:right="40" w:hanging="530"/>
        <w:spacing w:after="0" w:line="239" w:lineRule="auto"/>
        <w:tabs>
          <w:tab w:leader="none" w:pos="106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5"/>
          <w:szCs w:val="15"/>
          <w:color w:val="auto"/>
        </w:rPr>
      </w:pPr>
    </w:p>
    <w:p>
      <w:pPr>
        <w:ind w:left="1060" w:right="160" w:hanging="530"/>
        <w:spacing w:after="0" w:line="236" w:lineRule="auto"/>
        <w:tabs>
          <w:tab w:leader="none" w:pos="106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5"/>
          <w:szCs w:val="15"/>
          <w:color w:val="auto"/>
        </w:rPr>
      </w:pPr>
    </w:p>
    <w:p>
      <w:pPr>
        <w:ind w:left="520" w:right="340" w:hanging="511"/>
        <w:spacing w:after="0" w:line="239" w:lineRule="auto"/>
        <w:tabs>
          <w:tab w:leader="none" w:pos="520" w:val="left"/>
        </w:tabs>
        <w:numPr>
          <w:ilvl w:val="0"/>
          <w:numId w:val="16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5"/>
          <w:szCs w:val="15"/>
          <w:color w:val="auto"/>
        </w:rPr>
      </w:pPr>
    </w:p>
    <w:p>
      <w:pPr>
        <w:ind w:left="1060" w:right="460" w:hanging="530"/>
        <w:spacing w:after="0" w:line="239" w:lineRule="auto"/>
        <w:tabs>
          <w:tab w:leader="none" w:pos="106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5"/>
          <w:szCs w:val="15"/>
          <w:color w:val="auto"/>
        </w:rPr>
      </w:pPr>
    </w:p>
    <w:p>
      <w:pPr>
        <w:ind w:left="1060" w:right="20" w:hanging="530"/>
        <w:spacing w:after="0" w:line="239" w:lineRule="auto"/>
        <w:tabs>
          <w:tab w:leader="none" w:pos="1060" w:val="left"/>
        </w:tabs>
        <w:numPr>
          <w:ilvl w:val="1"/>
          <w:numId w:val="160"/>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88" w:lineRule="exact"/>
        <w:rPr>
          <w:sz w:val="20"/>
          <w:szCs w:val="20"/>
          <w:color w:val="auto"/>
        </w:rPr>
      </w:pPr>
    </w:p>
    <w:p>
      <w:pPr>
        <w:spacing w:after="0"/>
        <w:tabs>
          <w:tab w:leader="none" w:pos="5920" w:val="left"/>
          <w:tab w:leader="none" w:pos="8140" w:val="left"/>
        </w:tabs>
        <w:rPr>
          <w:sz w:val="20"/>
          <w:szCs w:val="20"/>
          <w:color w:val="auto"/>
        </w:rPr>
      </w:pPr>
      <w:r>
        <w:rPr>
          <w:rFonts w:ascii="Arial" w:cs="Arial" w:eastAsia="Arial" w:hAnsi="Arial"/>
          <w:sz w:val="15"/>
          <w:szCs w:val="15"/>
          <w:color w:val="auto"/>
        </w:rPr>
        <w:t>Date: February 24,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-3175</wp:posOffset>
            </wp:positionV>
            <wp:extent cx="323024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5">
                      <a:extLst>
                        <a:ext uri="{28A0092B-C50C-407E-A947-70E740481C1C}"/>
                      </a:extLst>
                    </a:blip>
                    <a:srcRect/>
                    <a:stretch>
                      <a:fillRect/>
                    </a:stretch>
                  </pic:blipFill>
                  <pic:spPr bwMode="auto">
                    <a:xfrm>
                      <a:off x="0" y="0"/>
                      <a:ext cx="3230245" cy="6985"/>
                    </a:xfrm>
                    <a:prstGeom prst="rect">
                      <a:avLst/>
                    </a:prstGeom>
                    <a:noFill/>
                  </pic:spPr>
                </pic:pic>
              </a:graphicData>
            </a:graphic>
          </wp:anchor>
        </w:drawing>
      </w:r>
    </w:p>
    <w:p>
      <w:pPr>
        <w:jc w:val="center"/>
        <w:ind w:left="6180"/>
        <w:spacing w:after="0" w:line="238" w:lineRule="auto"/>
        <w:rPr>
          <w:sz w:val="20"/>
          <w:szCs w:val="20"/>
          <w:color w:val="auto"/>
        </w:rPr>
      </w:pPr>
      <w:r>
        <w:rPr>
          <w:rFonts w:ascii="Arial" w:cs="Arial" w:eastAsia="Arial" w:hAnsi="Arial"/>
          <w:sz w:val="15"/>
          <w:szCs w:val="15"/>
          <w:color w:val="auto"/>
        </w:rPr>
        <w:t>George L. Ball</w:t>
      </w:r>
    </w:p>
    <w:p>
      <w:pPr>
        <w:jc w:val="center"/>
        <w:ind w:left="618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280"/>
          </w:cols>
          <w:pgMar w:left="300" w:top="310" w:right="319" w:bottom="1440" w:gutter="0" w:footer="0" w:header="0"/>
        </w:sectPr>
      </w:pPr>
    </w:p>
    <w:bookmarkStart w:id="243" w:name="page244"/>
    <w:bookmarkEnd w:id="243"/>
    <w:p>
      <w:pPr>
        <w:jc w:val="right"/>
        <w:spacing w:after="0"/>
        <w:rPr>
          <w:sz w:val="20"/>
          <w:szCs w:val="20"/>
          <w:color w:val="auto"/>
        </w:rPr>
      </w:pPr>
      <w:r>
        <w:rPr>
          <w:rFonts w:ascii="Arial" w:cs="Arial" w:eastAsia="Arial" w:hAnsi="Arial"/>
          <w:sz w:val="15"/>
          <w:szCs w:val="15"/>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18 U.S.C. SECTION 1350, AS ADOPTED PURSUANT TO</w:t>
      </w:r>
    </w:p>
    <w:p>
      <w:pPr>
        <w:ind w:left="370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1" w:lineRule="exact"/>
        <w:rPr>
          <w:sz w:val="20"/>
          <w:szCs w:val="20"/>
          <w:color w:val="auto"/>
        </w:rPr>
      </w:pPr>
    </w:p>
    <w:p>
      <w:pPr>
        <w:ind w:right="140" w:firstLine="612"/>
        <w:spacing w:after="0" w:line="236" w:lineRule="auto"/>
        <w:rPr>
          <w:sz w:val="20"/>
          <w:szCs w:val="20"/>
          <w:color w:val="auto"/>
        </w:rPr>
      </w:pPr>
      <w:r>
        <w:rPr>
          <w:rFonts w:ascii="Arial" w:cs="Arial" w:eastAsia="Arial" w:hAnsi="Arial"/>
          <w:sz w:val="15"/>
          <w:szCs w:val="15"/>
          <w:color w:val="auto"/>
        </w:rPr>
        <w:t>In connection with the Annual Report of Parsons Corporation (the “Company”) on Form 10-K for the period ending December 31, 2020 as filed with the Securities and Exchange Commission on the date hereof (the “Report”), I, Charles L. Harrington, Chief Executive Officer of the Company, certify, pursuant to 18 U.S.C. § 1350, as adopted pursuant to § 906 of the Sarbanes-Oxley Act of 2002, that:</w:t>
      </w:r>
    </w:p>
    <w:p>
      <w:pPr>
        <w:spacing w:after="0" w:line="167" w:lineRule="exact"/>
        <w:rPr>
          <w:sz w:val="20"/>
          <w:szCs w:val="20"/>
          <w:color w:val="auto"/>
        </w:rPr>
      </w:pPr>
    </w:p>
    <w:p>
      <w:pPr>
        <w:ind w:left="1220" w:hanging="602"/>
        <w:spacing w:after="0"/>
        <w:tabs>
          <w:tab w:leader="none" w:pos="12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1" w:lineRule="exact"/>
        <w:rPr>
          <w:rFonts w:ascii="Arial" w:cs="Arial" w:eastAsia="Arial" w:hAnsi="Arial"/>
          <w:sz w:val="15"/>
          <w:szCs w:val="15"/>
          <w:color w:val="auto"/>
        </w:rPr>
      </w:pPr>
    </w:p>
    <w:p>
      <w:pPr>
        <w:ind w:left="1220" w:hanging="602"/>
        <w:spacing w:after="0"/>
        <w:tabs>
          <w:tab w:leader="none" w:pos="1220" w:val="left"/>
        </w:tabs>
        <w:numPr>
          <w:ilvl w:val="0"/>
          <w:numId w:val="161"/>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04" w:lineRule="exact"/>
        <w:rPr>
          <w:sz w:val="20"/>
          <w:szCs w:val="20"/>
          <w:color w:val="auto"/>
        </w:rPr>
      </w:pPr>
    </w:p>
    <w:p>
      <w:pPr>
        <w:spacing w:after="0"/>
        <w:tabs>
          <w:tab w:leader="none" w:pos="5700" w:val="left"/>
          <w:tab w:leader="none" w:pos="7840" w:val="left"/>
        </w:tabs>
        <w:rPr>
          <w:sz w:val="20"/>
          <w:szCs w:val="20"/>
          <w:color w:val="auto"/>
        </w:rPr>
      </w:pPr>
      <w:r>
        <w:rPr>
          <w:rFonts w:ascii="Arial" w:cs="Arial" w:eastAsia="Arial" w:hAnsi="Arial"/>
          <w:sz w:val="15"/>
          <w:szCs w:val="15"/>
          <w:color w:val="auto"/>
        </w:rPr>
        <w:t>Date: February 24,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Charles L.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-3175</wp:posOffset>
            </wp:positionV>
            <wp:extent cx="332168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6">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ind w:left="7960"/>
        <w:spacing w:after="0"/>
        <w:rPr>
          <w:sz w:val="20"/>
          <w:szCs w:val="20"/>
          <w:color w:val="auto"/>
        </w:rPr>
      </w:pPr>
      <w:r>
        <w:rPr>
          <w:rFonts w:ascii="Arial" w:cs="Arial" w:eastAsia="Arial" w:hAnsi="Arial"/>
          <w:sz w:val="15"/>
          <w:szCs w:val="15"/>
          <w:color w:val="auto"/>
        </w:rPr>
        <w:t>Charles L. Harrington</w:t>
      </w:r>
    </w:p>
    <w:p>
      <w:pPr>
        <w:spacing w:after="0" w:line="5" w:lineRule="exact"/>
        <w:rPr>
          <w:sz w:val="20"/>
          <w:szCs w:val="20"/>
          <w:color w:val="auto"/>
        </w:rPr>
      </w:pPr>
    </w:p>
    <w:p>
      <w:pPr>
        <w:ind w:left="7900"/>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280"/>
          </w:cols>
          <w:pgMar w:left="300" w:top="310" w:right="319" w:bottom="1440" w:gutter="0" w:footer="0" w:header="0"/>
        </w:sectPr>
      </w:pPr>
    </w:p>
    <w:bookmarkStart w:id="244" w:name="page245"/>
    <w:bookmarkEnd w:id="244"/>
    <w:p>
      <w:pPr>
        <w:jc w:val="right"/>
        <w:spacing w:after="0"/>
        <w:rPr>
          <w:sz w:val="20"/>
          <w:szCs w:val="20"/>
          <w:color w:val="auto"/>
        </w:rPr>
      </w:pPr>
      <w:r>
        <w:rPr>
          <w:rFonts w:ascii="Arial" w:cs="Arial" w:eastAsia="Arial" w:hAnsi="Arial"/>
          <w:sz w:val="15"/>
          <w:szCs w:val="15"/>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6" w:lineRule="exact"/>
        <w:rPr>
          <w:sz w:val="20"/>
          <w:szCs w:val="20"/>
          <w:color w:val="auto"/>
        </w:rPr>
      </w:pPr>
    </w:p>
    <w:p>
      <w:pPr>
        <w:ind w:left="3720"/>
        <w:spacing w:after="0"/>
        <w:rPr>
          <w:sz w:val="20"/>
          <w:szCs w:val="20"/>
          <w:color w:val="auto"/>
        </w:rPr>
      </w:pPr>
      <w:r>
        <w:rPr>
          <w:rFonts w:ascii="Arial" w:cs="Arial" w:eastAsia="Arial" w:hAnsi="Arial"/>
          <w:sz w:val="15"/>
          <w:szCs w:val="15"/>
          <w:b w:val="1"/>
          <w:bCs w:val="1"/>
          <w:color w:val="auto"/>
        </w:rPr>
        <w:t>18 U.S.C. SECTION 1350, AS ADOPTED PURSUANT TO</w:t>
      </w:r>
    </w:p>
    <w:p>
      <w:pPr>
        <w:ind w:left="3700"/>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71" w:lineRule="exact"/>
        <w:rPr>
          <w:sz w:val="20"/>
          <w:szCs w:val="20"/>
          <w:color w:val="auto"/>
        </w:rPr>
      </w:pPr>
    </w:p>
    <w:p>
      <w:pPr>
        <w:ind w:right="140" w:firstLine="612"/>
        <w:spacing w:after="0" w:line="236" w:lineRule="auto"/>
        <w:rPr>
          <w:sz w:val="20"/>
          <w:szCs w:val="20"/>
          <w:color w:val="auto"/>
        </w:rPr>
      </w:pPr>
      <w:r>
        <w:rPr>
          <w:rFonts w:ascii="Arial" w:cs="Arial" w:eastAsia="Arial" w:hAnsi="Arial"/>
          <w:sz w:val="15"/>
          <w:szCs w:val="15"/>
          <w:color w:val="auto"/>
        </w:rPr>
        <w:t>In connection with the Annual Report of Parsons Corporation (the “Company”) on Form 10-K for the period ending December 31, 2020 as filed with the Securities and Exchange Commission on the date hereof (the “Report”), I, George L. Ball, Chief Financial Officer of the Company, certify, pursuant to 18 U.S.C. § 1350, as adopted pursuant to § 906 of the Sarbanes-Oxley Act of 2002, that:</w:t>
      </w:r>
    </w:p>
    <w:p>
      <w:pPr>
        <w:spacing w:after="0" w:line="167" w:lineRule="exact"/>
        <w:rPr>
          <w:sz w:val="20"/>
          <w:szCs w:val="20"/>
          <w:color w:val="auto"/>
        </w:rPr>
      </w:pPr>
    </w:p>
    <w:p>
      <w:pPr>
        <w:ind w:left="1220" w:hanging="602"/>
        <w:spacing w:after="0"/>
        <w:tabs>
          <w:tab w:leader="none" w:pos="12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171" w:lineRule="exact"/>
        <w:rPr>
          <w:rFonts w:ascii="Arial" w:cs="Arial" w:eastAsia="Arial" w:hAnsi="Arial"/>
          <w:sz w:val="15"/>
          <w:szCs w:val="15"/>
          <w:color w:val="auto"/>
        </w:rPr>
      </w:pPr>
    </w:p>
    <w:p>
      <w:pPr>
        <w:ind w:left="1220" w:hanging="602"/>
        <w:spacing w:after="0"/>
        <w:tabs>
          <w:tab w:leader="none" w:pos="1220"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04" w:lineRule="exact"/>
        <w:rPr>
          <w:sz w:val="20"/>
          <w:szCs w:val="20"/>
          <w:color w:val="auto"/>
        </w:rPr>
      </w:pPr>
    </w:p>
    <w:p>
      <w:pPr>
        <w:spacing w:after="0"/>
        <w:tabs>
          <w:tab w:leader="none" w:pos="5700" w:val="left"/>
          <w:tab w:leader="none" w:pos="8060" w:val="left"/>
        </w:tabs>
        <w:rPr>
          <w:sz w:val="20"/>
          <w:szCs w:val="20"/>
          <w:color w:val="auto"/>
        </w:rPr>
      </w:pPr>
      <w:r>
        <w:rPr>
          <w:rFonts w:ascii="Arial" w:cs="Arial" w:eastAsia="Arial" w:hAnsi="Arial"/>
          <w:sz w:val="15"/>
          <w:szCs w:val="15"/>
          <w:color w:val="auto"/>
        </w:rPr>
        <w:t>Date: February 24,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George L.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3841115</wp:posOffset>
            </wp:positionH>
            <wp:positionV relativeFrom="paragraph">
              <wp:posOffset>-3175</wp:posOffset>
            </wp:positionV>
            <wp:extent cx="332168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7">
                      <a:extLst>
                        <a:ext uri="{28A0092B-C50C-407E-A947-70E740481C1C}"/>
                      </a:extLst>
                    </a:blip>
                    <a:srcRect/>
                    <a:stretch>
                      <a:fillRect/>
                    </a:stretch>
                  </pic:blipFill>
                  <pic:spPr bwMode="auto">
                    <a:xfrm>
                      <a:off x="0" y="0"/>
                      <a:ext cx="3321685" cy="698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5"/>
          <w:szCs w:val="15"/>
          <w:color w:val="auto"/>
        </w:rPr>
        <w:t>George L. Ball</w:t>
      </w:r>
    </w:p>
    <w:p>
      <w:pPr>
        <w:spacing w:after="0" w:line="5" w:lineRule="exact"/>
        <w:rPr>
          <w:sz w:val="20"/>
          <w:szCs w:val="20"/>
          <w:color w:val="auto"/>
        </w:rPr>
      </w:pPr>
    </w:p>
    <w:p>
      <w:pPr>
        <w:jc w:val="center"/>
        <w:ind w:left="6020"/>
        <w:spacing w:after="0"/>
        <w:rPr>
          <w:sz w:val="20"/>
          <w:szCs w:val="20"/>
          <w:color w:val="auto"/>
        </w:rPr>
      </w:pPr>
      <w:r>
        <w:rPr>
          <w:rFonts w:ascii="Arial" w:cs="Arial" w:eastAsia="Arial" w:hAnsi="Arial"/>
          <w:sz w:val="15"/>
          <w:szCs w:val="15"/>
          <w:color w:val="auto"/>
        </w:rPr>
        <w:t>Chief Financial Officer</w:t>
      </w:r>
    </w:p>
    <w:sectPr>
      <w:pgSz w:w="11900" w:h="16838" w:orient="portrait"/>
      <w:cols w:equalWidth="0" w:num="1">
        <w:col w:w="11280"/>
      </w:cols>
      <w:pgMar w:left="300" w:top="30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lvl w:ilvl="1">
      <w:lvlJc w:val="left"/>
      <w:lvlText w:val="•"/>
      <w:numFmt w:val="bullet"/>
      <w:start w:val="1"/>
    </w:lvl>
  </w:abstractNum>
  <w:abstractNum w:abstractNumId="4">
    <w:nsid w:val="71EA1109"/>
    <w:multiLevelType w:val="hybridMultilevel"/>
    <w:lvl w:ilvl="0">
      <w:lvlJc w:val="left"/>
      <w:lvlText w:val="•"/>
      <w:numFmt w:val="bullet"/>
      <w:start w:val="1"/>
    </w:lvl>
    <w:lvl w:ilvl="1">
      <w:lvlJc w:val="left"/>
      <w:lvlText w:val="•"/>
      <w:numFmt w:val="bullet"/>
      <w:start w:val="1"/>
    </w:lvl>
  </w:abstractNum>
  <w:abstractNum w:abstractNumId="5">
    <w:nsid w:val="100F59DC"/>
    <w:multiLevelType w:val="hybridMultilevel"/>
    <w:lvl w:ilvl="0">
      <w:lvlJc w:val="left"/>
      <w:lvlText w:val="(%1)"/>
      <w:numFmt w:val="upperLetter"/>
      <w:start w:val="29"/>
    </w:lvl>
    <w:lvl w:ilvl="1">
      <w:lvlJc w:val="left"/>
      <w:lvlText w:val="•"/>
      <w:numFmt w:val="bullet"/>
      <w:start w:val="1"/>
    </w:lvl>
    <w:lvl w:ilvl="2">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lvl w:ilvl="1">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1)"/>
      <w:numFmt w:val="decimal"/>
      <w:start w:val="1"/>
    </w:lvl>
  </w:abstractNum>
  <w:abstractNum w:abstractNumId="35">
    <w:nsid w:val="7672BD23"/>
    <w:multiLevelType w:val="hybridMultilevel"/>
    <w:lvl w:ilvl="0">
      <w:lvlJc w:val="left"/>
      <w:lvlText w:val="(%1)"/>
      <w:numFmt w:val="decimal"/>
      <w:start w:val="1"/>
    </w:lvl>
  </w:abstractNum>
  <w:abstractNum w:abstractNumId="36">
    <w:nsid w:val="6FC75AF8"/>
    <w:multiLevelType w:val="hybridMultilevel"/>
    <w:lvl w:ilvl="0">
      <w:lvlJc w:val="left"/>
      <w:lvlText w:val="(%1)"/>
      <w:numFmt w:val="decimal"/>
      <w:start w:val="1"/>
    </w:lvl>
  </w:abstractNum>
  <w:abstractNum w:abstractNumId="37">
    <w:nsid w:val="6A5F7029"/>
    <w:multiLevelType w:val="hybridMultilevel"/>
    <w:lvl w:ilvl="0">
      <w:lvlJc w:val="left"/>
      <w:lvlText w:val="(%1)"/>
      <w:numFmt w:val="lowerLetter"/>
      <w:start w:val="1"/>
    </w:lvl>
  </w:abstractNum>
  <w:abstractNum w:abstractNumId="38">
    <w:nsid w:val="7D5E18F8"/>
    <w:multiLevelType w:val="hybridMultilevel"/>
    <w:lvl w:ilvl="0">
      <w:lvlJc w:val="left"/>
      <w:lvlText w:val="(%1)"/>
      <w:numFmt w:val="decimal"/>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1)"/>
      <w:numFmt w:val="lowerLetter"/>
      <w:start w:val="1"/>
    </w:lvl>
    <w:lvl w:ilvl="1">
      <w:lvlJc w:val="left"/>
      <w:lvlText w:val="(%2)"/>
      <w:numFmt w:val="decimal"/>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1."/>
      <w:numFmt w:val="decimal"/>
      <w:start w:val="1"/>
    </w:lvl>
  </w:abstractNum>
  <w:abstractNum w:abstractNumId="46">
    <w:nsid w:val="71C91298"/>
    <w:multiLevelType w:val="hybridMultilevel"/>
    <w:lvl w:ilvl="0">
      <w:lvlJc w:val="left"/>
      <w:lvlText w:val="%1."/>
      <w:numFmt w:val="decimal"/>
      <w:start w:val="2"/>
    </w:lvl>
  </w:abstractNum>
  <w:abstractNum w:abstractNumId="47">
    <w:nsid w:val="9DAF632"/>
    <w:multiLevelType w:val="hybridMultilevel"/>
    <w:lvl w:ilvl="0">
      <w:lvlJc w:val="left"/>
      <w:lvlText w:val="%1."/>
      <w:numFmt w:val="decimal"/>
      <w:start w:val="1"/>
    </w:lvl>
  </w:abstractNum>
  <w:abstractNum w:abstractNumId="48">
    <w:nsid w:val="53299938"/>
    <w:multiLevelType w:val="hybridMultilevel"/>
    <w:lvl w:ilvl="0">
      <w:lvlJc w:val="left"/>
      <w:lvlText w:val="%1."/>
      <w:numFmt w:val="decimal"/>
      <w:start w:val="3"/>
    </w:lvl>
  </w:abstractNum>
  <w:abstractNum w:abstractNumId="49">
    <w:nsid w:val="1FBFE8E0"/>
    <w:multiLevelType w:val="hybridMultilevel"/>
    <w:lvl w:ilvl="0">
      <w:lvlJc w:val="left"/>
      <w:lvlText w:val="%1."/>
      <w:numFmt w:val="decimal"/>
      <w:start w:val="4"/>
    </w:lvl>
  </w:abstractNum>
  <w:abstractNum w:abstractNumId="50">
    <w:nsid w:val="5092CA79"/>
    <w:multiLevelType w:val="hybridMultilevel"/>
    <w:lvl w:ilvl="0">
      <w:lvlJc w:val="left"/>
      <w:lvlText w:val="(%1)"/>
      <w:numFmt w:val="decimal"/>
      <w:start w:val="1"/>
    </w:lvl>
  </w:abstractNum>
  <w:abstractNum w:abstractNumId="51">
    <w:nsid w:val="1D545C4D"/>
    <w:multiLevelType w:val="hybridMultilevel"/>
    <w:lvl w:ilvl="0">
      <w:lvlJc w:val="left"/>
      <w:lvlText w:val="%1."/>
      <w:numFmt w:val="decimal"/>
      <w:start w:val="5"/>
    </w:lvl>
  </w:abstractNum>
  <w:abstractNum w:abstractNumId="52">
    <w:nsid w:val="59ADEA3D"/>
    <w:multiLevelType w:val="hybridMultilevel"/>
    <w:lvl w:ilvl="0">
      <w:lvlJc w:val="left"/>
      <w:lvlText w:val="%1."/>
      <w:numFmt w:val="decimal"/>
      <w:start w:val="6"/>
    </w:lvl>
  </w:abstractNum>
  <w:abstractNum w:abstractNumId="53">
    <w:nsid w:val="288F1A34"/>
    <w:multiLevelType w:val="hybridMultilevel"/>
    <w:lvl w:ilvl="0">
      <w:lvlJc w:val="left"/>
      <w:lvlText w:val="%1."/>
      <w:numFmt w:val="decimal"/>
      <w:start w:val="7"/>
    </w:lvl>
  </w:abstractNum>
  <w:abstractNum w:abstractNumId="54">
    <w:nsid w:val="2A155DBC"/>
    <w:multiLevelType w:val="hybridMultilevel"/>
    <w:lvl w:ilvl="0">
      <w:lvlJc w:val="left"/>
      <w:lvlText w:val="%1."/>
      <w:numFmt w:val="decimal"/>
      <w:start w:val="8"/>
    </w:lvl>
  </w:abstractNum>
  <w:abstractNum w:abstractNumId="55">
    <w:nsid w:val="1D9F6E5F"/>
    <w:multiLevelType w:val="hybridMultilevel"/>
    <w:lvl w:ilvl="0">
      <w:lvlJc w:val="left"/>
      <w:lvlText w:val="%1."/>
      <w:numFmt w:val="decimal"/>
      <w:start w:val="9"/>
    </w:lvl>
  </w:abstractNum>
  <w:abstractNum w:abstractNumId="56">
    <w:nsid w:val="97E1B4E"/>
    <w:multiLevelType w:val="hybridMultilevel"/>
    <w:lvl w:ilvl="0">
      <w:lvlJc w:val="left"/>
      <w:lvlText w:val="%1."/>
      <w:numFmt w:val="decimal"/>
      <w:start w:val="10"/>
    </w:lvl>
  </w:abstractNum>
  <w:abstractNum w:abstractNumId="57">
    <w:nsid w:val="51088277"/>
    <w:multiLevelType w:val="hybridMultilevel"/>
    <w:lvl w:ilvl="0">
      <w:lvlJc w:val="left"/>
      <w:lvlText w:val="%1."/>
      <w:numFmt w:val="decimal"/>
      <w:start w:val="11"/>
    </w:lvl>
  </w:abstractNum>
  <w:abstractNum w:abstractNumId="58">
    <w:nsid w:val="1CA0C5FA"/>
    <w:multiLevelType w:val="hybridMultilevel"/>
    <w:lvl w:ilvl="0">
      <w:lvlJc w:val="left"/>
      <w:lvlText w:val="%1."/>
      <w:numFmt w:val="decimal"/>
      <w:start w:val="12"/>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1."/>
      <w:numFmt w:val="decimal"/>
      <w:start w:val="13"/>
    </w:lvl>
  </w:abstractNum>
  <w:abstractNum w:abstractNumId="61">
    <w:nsid w:val="7C58FD05"/>
    <w:multiLevelType w:val="hybridMultilevel"/>
    <w:lvl w:ilvl="0">
      <w:lvlJc w:val="left"/>
      <w:lvlText w:val="%1."/>
      <w:numFmt w:val="decimal"/>
      <w:start w:val="14"/>
    </w:lvl>
  </w:abstractNum>
  <w:abstractNum w:abstractNumId="62">
    <w:nsid w:val="23D86AAC"/>
    <w:multiLevelType w:val="hybridMultilevel"/>
    <w:lvl w:ilvl="0">
      <w:lvlJc w:val="left"/>
      <w:lvlText w:val="%1."/>
      <w:numFmt w:val="decimal"/>
      <w:start w:val="15"/>
    </w:lvl>
  </w:abstractNum>
  <w:abstractNum w:abstractNumId="63">
    <w:nsid w:val="45E6D486"/>
    <w:multiLevelType w:val="hybridMultilevel"/>
    <w:lvl w:ilvl="0">
      <w:lvlJc w:val="left"/>
      <w:lvlText w:val="%1."/>
      <w:numFmt w:val="decimal"/>
      <w:start w:val="16"/>
    </w:lvl>
  </w:abstractNum>
  <w:abstractNum w:abstractNumId="64">
    <w:nsid w:val="5C10FE21"/>
    <w:multiLevelType w:val="hybridMultilevel"/>
    <w:lvl w:ilvl="0">
      <w:lvlJc w:val="left"/>
      <w:lvlText w:val="%1."/>
      <w:numFmt w:val="decimal"/>
      <w:start w:val="17"/>
    </w:lvl>
  </w:abstractNum>
  <w:abstractNum w:abstractNumId="65">
    <w:nsid w:val="E7FFA2B"/>
    <w:multiLevelType w:val="hybridMultilevel"/>
    <w:lvl w:ilvl="0">
      <w:lvlJc w:val="left"/>
      <w:lvlText w:val="%1."/>
      <w:numFmt w:val="decimal"/>
      <w:start w:val="18"/>
    </w:lvl>
  </w:abstractNum>
  <w:abstractNum w:abstractNumId="66">
    <w:nsid w:val="3C5991AA"/>
    <w:multiLevelType w:val="hybridMultilevel"/>
    <w:lvl w:ilvl="0">
      <w:lvlJc w:val="left"/>
      <w:lvlText w:val="%1."/>
      <w:numFmt w:val="decimal"/>
      <w:start w:val="19"/>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1."/>
      <w:numFmt w:val="decimal"/>
      <w:start w:val="20"/>
    </w:lvl>
  </w:abstractNum>
  <w:abstractNum w:abstractNumId="69">
    <w:nsid w:val="39B7AAA2"/>
    <w:multiLevelType w:val="hybridMultilevel"/>
    <w:lvl w:ilvl="0">
      <w:lvlJc w:val="left"/>
      <w:lvlText w:val="%1."/>
      <w:numFmt w:val="decimal"/>
      <w:start w:val="21"/>
    </w:lvl>
  </w:abstractNum>
  <w:abstractNum w:abstractNumId="70">
    <w:nsid w:val="2B0D8DBE"/>
    <w:multiLevelType w:val="hybridMultilevel"/>
    <w:lvl w:ilvl="0">
      <w:lvlJc w:val="left"/>
      <w:lvlText w:val="(%1)"/>
      <w:numFmt w:val="lowerLetter"/>
      <w:start w:val="1"/>
    </w:lvl>
  </w:abstractNum>
  <w:abstractNum w:abstractNumId="71">
    <w:nsid w:val="6C80EC70"/>
    <w:multiLevelType w:val="hybridMultilevel"/>
    <w:lvl w:ilvl="0">
      <w:lvlJc w:val="left"/>
      <w:lvlText w:val="%1."/>
      <w:numFmt w:val="decimal"/>
      <w:start w:val="22"/>
    </w:lvl>
  </w:abstractNum>
  <w:abstractNum w:abstractNumId="72">
    <w:nsid w:val="379E21B5"/>
    <w:multiLevelType w:val="hybridMultilevel"/>
    <w:lvl w:ilvl="0">
      <w:lvlJc w:val="left"/>
      <w:lvlText w:val="(%1)"/>
      <w:numFmt w:val="decimal"/>
      <w:start w:val="1"/>
    </w:lvl>
  </w:abstractNum>
  <w:abstractNum w:abstractNumId="73">
    <w:nsid w:val="69E373"/>
    <w:multiLevelType w:val="hybridMultilevel"/>
    <w:lvl w:ilvl="0">
      <w:lvlJc w:val="left"/>
      <w:lvlText w:val="(%1)"/>
      <w:numFmt w:val="lowerLetter"/>
      <w:start w:val="1"/>
    </w:lvl>
  </w:abstractNum>
  <w:abstractNum w:abstractNumId="74">
    <w:nsid w:val="2C27173B"/>
    <w:multiLevelType w:val="hybridMultilevel"/>
    <w:lvl w:ilvl="0">
      <w:lvlJc w:val="left"/>
      <w:lvlText w:val="%1."/>
      <w:numFmt w:val="decimal"/>
      <w:start w:val="23"/>
    </w:lvl>
  </w:abstractNum>
  <w:abstractNum w:abstractNumId="75">
    <w:nsid w:val="4C9B0904"/>
    <w:multiLevelType w:val="hybridMultilevel"/>
    <w:lvl w:ilvl="0">
      <w:lvlJc w:val="left"/>
      <w:lvlText w:val="(%1)"/>
      <w:numFmt w:val="decimal"/>
      <w:start w:val="1"/>
    </w:lvl>
  </w:abstractNum>
  <w:abstractNum w:abstractNumId="76">
    <w:nsid w:val="6AA7B75C"/>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77">
    <w:nsid w:val="1DF029D3"/>
    <w:multiLevelType w:val="hybridMultilevel"/>
    <w:lvl w:ilvl="0">
      <w:lvlJc w:val="left"/>
      <w:lvlText w:val="(%1)"/>
      <w:numFmt w:val="decimal"/>
      <w:start w:val="2"/>
    </w:lvl>
  </w:abstractNum>
  <w:abstractNum w:abstractNumId="78">
    <w:nsid w:val="5675FF36"/>
    <w:multiLevelType w:val="hybridMultilevel"/>
    <w:lvl w:ilvl="0">
      <w:lvlJc w:val="left"/>
      <w:lvlText w:val="%1"/>
      <w:numFmt w:val="decimal"/>
      <w:start w:val="1"/>
    </w:lvl>
    <w:lvl w:ilvl="1">
      <w:lvlJc w:val="left"/>
      <w:lvlText w:val="%2"/>
      <w:numFmt w:val="decimal"/>
      <w:start w:val="1"/>
    </w:lvl>
    <w:lvl w:ilvl="2">
      <w:lvlJc w:val="left"/>
      <w:lvlText w:val="(%3)"/>
      <w:numFmt w:val="lowerRoman"/>
      <w:start w:val="2"/>
    </w:lvl>
  </w:abstractNum>
  <w:abstractNum w:abstractNumId="79">
    <w:nsid w:val="3DD15094"/>
    <w:multiLevelType w:val="hybridMultilevel"/>
    <w:lvl w:ilvl="0">
      <w:lvlJc w:val="left"/>
      <w:lvlText w:val="%1"/>
      <w:numFmt w:val="decimal"/>
      <w:start w:val="1"/>
    </w:lvl>
    <w:lvl w:ilvl="1">
      <w:lvlJc w:val="left"/>
      <w:lvlText w:val="(%2)"/>
      <w:numFmt w:val="decimal"/>
      <w:start w:val="4"/>
    </w:lvl>
    <w:lvl w:ilvl="2">
      <w:lvlJc w:val="left"/>
      <w:lvlText w:val="%3"/>
      <w:numFmt w:val="lowerRoman"/>
      <w:start w:val="1"/>
    </w:lvl>
  </w:abstractNum>
  <w:abstractNum w:abstractNumId="80">
    <w:nsid w:val="3DB012B3"/>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81">
    <w:nsid w:val="2708C9AF"/>
    <w:multiLevelType w:val="hybridMultilevel"/>
    <w:lvl w:ilvl="0">
      <w:lvlJc w:val="left"/>
      <w:lvlText w:val="(%1)"/>
      <w:numFmt w:val="lowerLetter"/>
      <w:start w:val="1"/>
    </w:lvl>
  </w:abstractNum>
  <w:abstractNum w:abstractNumId="82">
    <w:nsid w:val="5B25ACE2"/>
    <w:multiLevelType w:val="hybridMultilevel"/>
    <w:lvl w:ilvl="0">
      <w:lvlJc w:val="left"/>
      <w:lvlText w:val="(%1)"/>
      <w:numFmt w:val="lowerLetter"/>
      <w:start w:val="4"/>
    </w:lvl>
  </w:abstractNum>
  <w:abstractNum w:abstractNumId="83">
    <w:nsid w:val="175DFCF0"/>
    <w:multiLevelType w:val="hybridMultilevel"/>
    <w:lvl w:ilvl="0">
      <w:lvlJc w:val="left"/>
      <w:lvlText w:val="(%1)"/>
      <w:numFmt w:val="lowerLetter"/>
      <w:start w:val="1"/>
    </w:lvl>
  </w:abstractNum>
  <w:abstractNum w:abstractNumId="84">
    <w:nsid w:val="4F97E3E4"/>
    <w:multiLevelType w:val="hybridMultilevel"/>
    <w:lvl w:ilvl="0">
      <w:lvlJc w:val="left"/>
      <w:lvlText w:val="(%1)"/>
      <w:numFmt w:val="lowerLetter"/>
      <w:start w:val="4"/>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Letter"/>
      <w:start w:val="1"/>
    </w:lvl>
  </w:abstractNum>
  <w:abstractNum w:abstractNumId="87">
    <w:nsid w:val="5915FF32"/>
    <w:multiLevelType w:val="hybridMultilevel"/>
    <w:lvl w:ilvl="0">
      <w:lvlJc w:val="left"/>
      <w:lvlText w:val="(%1)"/>
      <w:numFmt w:val="lowerLetter"/>
      <w:start w:val="1"/>
    </w:lvl>
  </w:abstractNum>
  <w:abstractNum w:abstractNumId="88">
    <w:nsid w:val="56438D15"/>
    <w:multiLevelType w:val="hybridMultilevel"/>
    <w:lvl w:ilvl="0">
      <w:lvlJc w:val="left"/>
      <w:lvlText w:val="(%1)"/>
      <w:numFmt w:val="lowerLetter"/>
      <w:start w:val="4"/>
    </w:lvl>
  </w:abstractNum>
  <w:abstractNum w:abstractNumId="89">
    <w:nsid w:val="519E3149"/>
    <w:multiLevelType w:val="hybridMultilevel"/>
    <w:lvl w:ilvl="0">
      <w:lvlJc w:val="left"/>
      <w:lvlText w:val="(%1)"/>
      <w:numFmt w:val="lowerLetter"/>
      <w:start w:val="1"/>
    </w:lvl>
  </w:abstractNum>
  <w:abstractNum w:abstractNumId="90">
    <w:nsid w:val="2C6E4AFD"/>
    <w:multiLevelType w:val="hybridMultilevel"/>
    <w:lvl w:ilvl="0">
      <w:lvlJc w:val="left"/>
      <w:lvlText w:val="(%1)"/>
      <w:numFmt w:val="lowerLetter"/>
      <w:start w:val="4"/>
    </w:lvl>
  </w:abstractNum>
  <w:abstractNum w:abstractNumId="91">
    <w:nsid w:val="17A1B582"/>
    <w:multiLevelType w:val="hybridMultilevel"/>
    <w:lvl w:ilvl="0">
      <w:lvlJc w:val="left"/>
      <w:lvlText w:val="(%1)"/>
      <w:numFmt w:val="lowerLetter"/>
      <w:start w:val="1"/>
    </w:lvl>
  </w:abstractNum>
  <w:abstractNum w:abstractNumId="92">
    <w:nsid w:val="4DF72E4E"/>
    <w:multiLevelType w:val="hybridMultilevel"/>
    <w:lvl w:ilvl="0">
      <w:lvlJc w:val="left"/>
      <w:lvlText w:val="%1)"/>
      <w:numFmt w:val="lowerLetter"/>
      <w:start w:val="1"/>
    </w:lvl>
  </w:abstractNum>
  <w:abstractNum w:abstractNumId="93">
    <w:nsid w:val="5046B5A9"/>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94">
    <w:nsid w:val="5D888A08"/>
    <w:multiLevelType w:val="hybridMultilevel"/>
    <w:lvl w:ilvl="0">
      <w:lvlJc w:val="left"/>
      <w:lvlText w:val="%1."/>
      <w:numFmt w:val="decimal"/>
      <w:start w:val="365"/>
    </w:lvl>
  </w:abstractNum>
  <w:abstractNum w:abstractNumId="95">
    <w:nsid w:val="2A082C70"/>
    <w:multiLevelType w:val="hybridMultilevel"/>
    <w:lvl w:ilvl="0">
      <w:lvlJc w:val="left"/>
      <w:lvlText w:val="(%1)"/>
      <w:numFmt w:val="lowerLetter"/>
      <w:start w:val="1"/>
    </w:lvl>
  </w:abstractNum>
  <w:abstractNum w:abstractNumId="96">
    <w:nsid w:val="5EC6AFD4"/>
    <w:multiLevelType w:val="hybridMultilevel"/>
    <w:lvl w:ilvl="0">
      <w:lvlJc w:val="left"/>
      <w:lvlText w:val="(%1)"/>
      <w:numFmt w:val="lowerLetter"/>
      <w:start w:val="1"/>
    </w:lvl>
  </w:abstractNum>
  <w:abstractNum w:abstractNumId="97">
    <w:nsid w:val="19E21BB2"/>
    <w:multiLevelType w:val="hybridMultilevel"/>
    <w:lvl w:ilvl="0">
      <w:lvlJc w:val="left"/>
      <w:lvlText w:val="(%1)"/>
      <w:numFmt w:val="lowerLetter"/>
      <w:start w:val="1"/>
    </w:lvl>
  </w:abstractNum>
  <w:abstractNum w:abstractNumId="98">
    <w:nsid w:val="75E0858A"/>
    <w:multiLevelType w:val="hybridMultilevel"/>
    <w:lvl w:ilvl="0">
      <w:lvlJc w:val="left"/>
      <w:lvlText w:val="%1."/>
      <w:numFmt w:val="decimal"/>
      <w:start w:val="1"/>
    </w:lvl>
  </w:abstractNum>
  <w:abstractNum w:abstractNumId="99">
    <w:nsid w:val="57A61A29"/>
    <w:multiLevelType w:val="hybridMultilevel"/>
    <w:lvl w:ilvl="0">
      <w:lvlJc w:val="left"/>
      <w:lvlText w:val="%1."/>
      <w:numFmt w:val="decimal"/>
      <w:start w:val="2"/>
    </w:lvl>
  </w:abstractNum>
  <w:abstractNum w:abstractNumId="100">
    <w:nsid w:val="5399C654"/>
    <w:multiLevelType w:val="hybridMultilevel"/>
    <w:lvl w:ilvl="0">
      <w:lvlJc w:val="left"/>
      <w:lvlText w:val="%1."/>
      <w:numFmt w:val="decimal"/>
      <w:start w:val="1"/>
    </w:lvl>
  </w:abstractNum>
  <w:abstractNum w:abstractNumId="101">
    <w:nsid w:val="20EE1348"/>
    <w:multiLevelType w:val="hybridMultilevel"/>
    <w:lvl w:ilvl="0">
      <w:lvlJc w:val="left"/>
      <w:lvlText w:val="%1."/>
      <w:numFmt w:val="decimal"/>
      <w:start w:val="2"/>
    </w:lvl>
  </w:abstractNum>
  <w:abstractNum w:abstractNumId="102">
    <w:nsid w:val="4427069A"/>
    <w:multiLevelType w:val="hybridMultilevel"/>
    <w:lvl w:ilvl="0">
      <w:lvlJc w:val="left"/>
      <w:lvlText w:val="%1."/>
      <w:numFmt w:val="decimal"/>
      <w:start w:val="1"/>
    </w:lvl>
  </w:abstractNum>
  <w:abstractNum w:abstractNumId="103">
    <w:nsid w:val="B37E80A"/>
    <w:multiLevelType w:val="hybridMultilevel"/>
    <w:lvl w:ilvl="0">
      <w:lvlJc w:val="left"/>
      <w:lvlText w:val="%1."/>
      <w:numFmt w:val="decimal"/>
      <w:start w:val="2"/>
    </w:lvl>
  </w:abstractNum>
  <w:abstractNum w:abstractNumId="104">
    <w:nsid w:val="2157F6BC"/>
    <w:multiLevelType w:val="hybridMultilevel"/>
    <w:lvl w:ilvl="0">
      <w:lvlJc w:val="left"/>
      <w:lvlText w:val="(%1)"/>
      <w:numFmt w:val="lowerLetter"/>
      <w:start w:val="2"/>
    </w:lvl>
  </w:abstractNum>
  <w:abstractNum w:abstractNumId="105">
    <w:nsid w:val="704E1DD5"/>
    <w:multiLevelType w:val="hybridMultilevel"/>
    <w:lvl w:ilvl="0">
      <w:lvlJc w:val="left"/>
      <w:lvlText w:val="%1."/>
      <w:numFmt w:val="decimal"/>
      <w:start w:val="1"/>
    </w:lvl>
  </w:abstractNum>
  <w:abstractNum w:abstractNumId="106">
    <w:nsid w:val="57D2F10E"/>
    <w:multiLevelType w:val="hybridMultilevel"/>
    <w:lvl w:ilvl="0">
      <w:lvlJc w:val="left"/>
      <w:lvlText w:val="%1."/>
      <w:numFmt w:val="decimal"/>
      <w:start w:val="2"/>
    </w:lvl>
  </w:abstractNum>
  <w:abstractNum w:abstractNumId="107">
    <w:nsid w:val="BFFAE18"/>
    <w:multiLevelType w:val="hybridMultilevel"/>
    <w:lvl w:ilvl="0">
      <w:lvlJc w:val="left"/>
      <w:lvlText w:val="%1."/>
      <w:numFmt w:val="decimal"/>
      <w:start w:val="3"/>
    </w:lvl>
  </w:abstractNum>
  <w:abstractNum w:abstractNumId="108">
    <w:nsid w:val="E3E47A8"/>
    <w:multiLevelType w:val="hybridMultilevel"/>
    <w:lvl w:ilvl="0">
      <w:lvlJc w:val="left"/>
      <w:lvlText w:val="%1."/>
      <w:numFmt w:val="decimal"/>
      <w:start w:val="4"/>
    </w:lvl>
  </w:abstractNum>
  <w:abstractNum w:abstractNumId="109">
    <w:nsid w:val="2E48F044"/>
    <w:multiLevelType w:val="hybridMultilevel"/>
    <w:lvl w:ilvl="0">
      <w:lvlJc w:val="left"/>
      <w:lvlText w:val="%1."/>
      <w:numFmt w:val="decimal"/>
      <w:start w:val="5"/>
    </w:lvl>
  </w:abstractNum>
  <w:abstractNum w:abstractNumId="110">
    <w:nsid w:val="49D0FEAC"/>
    <w:multiLevelType w:val="hybridMultilevel"/>
    <w:lvl w:ilvl="0">
      <w:lvlJc w:val="left"/>
      <w:lvlText w:val="%1)"/>
      <w:numFmt w:val="lowerLetter"/>
      <w:start w:val="3"/>
    </w:lvl>
  </w:abstractNum>
  <w:abstractNum w:abstractNumId="111">
    <w:nsid w:val="4BEE5A5B"/>
    <w:multiLevelType w:val="hybridMultilevel"/>
    <w:lvl w:ilvl="0">
      <w:lvlJc w:val="left"/>
      <w:lvlText w:val="%1."/>
      <w:numFmt w:val="decimal"/>
      <w:start w:val="6"/>
    </w:lvl>
  </w:abstractNum>
  <w:abstractNum w:abstractNumId="112">
    <w:nsid w:val="5551B9F3"/>
    <w:multiLevelType w:val="hybridMultilevel"/>
    <w:lvl w:ilvl="0">
      <w:lvlJc w:val="left"/>
      <w:lvlText w:val="%1)"/>
      <w:numFmt w:val="lowerLetter"/>
      <w:start w:val="3"/>
    </w:lvl>
  </w:abstractNum>
  <w:abstractNum w:abstractNumId="113">
    <w:nsid w:val="24F6AB8E"/>
    <w:multiLevelType w:val="hybridMultilevel"/>
    <w:lvl w:ilvl="0">
      <w:lvlJc w:val="left"/>
      <w:lvlText w:val="%1."/>
      <w:numFmt w:val="decimal"/>
      <w:start w:val="7"/>
    </w:lvl>
  </w:abstractNum>
  <w:abstractNum w:abstractNumId="114">
    <w:nsid w:val="634C574C"/>
    <w:multiLevelType w:val="hybridMultilevel"/>
    <w:lvl w:ilvl="0">
      <w:lvlJc w:val="left"/>
      <w:lvlText w:val="%1."/>
      <w:numFmt w:val="decimal"/>
      <w:start w:val="1"/>
    </w:lvl>
  </w:abstractNum>
  <w:abstractNum w:abstractNumId="115">
    <w:nsid w:val="24E99DD7"/>
    <w:multiLevelType w:val="hybridMultilevel"/>
    <w:lvl w:ilvl="0">
      <w:lvlJc w:val="left"/>
      <w:lvlText w:val="%1."/>
      <w:numFmt w:val="decimal"/>
      <w:start w:val="2"/>
    </w:lvl>
  </w:abstractNum>
  <w:abstractNum w:abstractNumId="116">
    <w:nsid w:val="2A31B62D"/>
    <w:multiLevelType w:val="hybridMultilevel"/>
    <w:lvl w:ilvl="0">
      <w:lvlJc w:val="left"/>
      <w:lvlText w:val="%1."/>
      <w:numFmt w:val="decimal"/>
      <w:start w:val="3"/>
    </w:lvl>
  </w:abstractNum>
  <w:abstractNum w:abstractNumId="117">
    <w:nsid w:val="1849C29B"/>
    <w:multiLevelType w:val="hybridMultilevel"/>
    <w:lvl w:ilvl="0">
      <w:lvlJc w:val="left"/>
      <w:lvlText w:val="%1."/>
      <w:numFmt w:val="decimal"/>
      <w:start w:val="4"/>
    </w:lvl>
  </w:abstractNum>
  <w:abstractNum w:abstractNumId="118">
    <w:nsid w:val="7DFF9D09"/>
    <w:multiLevelType w:val="hybridMultilevel"/>
    <w:lvl w:ilvl="0">
      <w:lvlJc w:val="left"/>
      <w:lvlText w:val="%1."/>
      <w:numFmt w:val="decimal"/>
      <w:start w:val="5"/>
    </w:lvl>
  </w:abstractNum>
  <w:abstractNum w:abstractNumId="119">
    <w:nsid w:val="754342"/>
    <w:multiLevelType w:val="hybridMultilevel"/>
    <w:lvl w:ilvl="0">
      <w:lvlJc w:val="left"/>
      <w:lvlText w:val="%1)"/>
      <w:numFmt w:val="lowerLetter"/>
      <w:start w:val="3"/>
    </w:lvl>
  </w:abstractNum>
  <w:abstractNum w:abstractNumId="120">
    <w:nsid w:val="69E7F3E5"/>
    <w:multiLevelType w:val="hybridMultilevel"/>
    <w:lvl w:ilvl="0">
      <w:lvlJc w:val="left"/>
      <w:lvlText w:val="%1."/>
      <w:numFmt w:val="decimal"/>
      <w:start w:val="6"/>
    </w:lvl>
  </w:abstractNum>
  <w:abstractNum w:abstractNumId="121">
    <w:nsid w:val="2A6DE806"/>
    <w:multiLevelType w:val="hybridMultilevel"/>
    <w:lvl w:ilvl="0">
      <w:lvlJc w:val="left"/>
      <w:lvlText w:val="%1)"/>
      <w:numFmt w:val="lowerLetter"/>
      <w:start w:val="3"/>
    </w:lvl>
  </w:abstractNum>
  <w:abstractNum w:abstractNumId="122">
    <w:nsid w:val="1816F8C4"/>
    <w:multiLevelType w:val="hybridMultilevel"/>
    <w:lvl w:ilvl="0">
      <w:lvlJc w:val="left"/>
      <w:lvlText w:val="%1."/>
      <w:numFmt w:val="decimal"/>
      <w:start w:val="7"/>
    </w:lvl>
  </w:abstractNum>
  <w:abstractNum w:abstractNumId="123">
    <w:nsid w:val="37DF2233"/>
    <w:multiLevelType w:val="hybridMultilevel"/>
    <w:lvl w:ilvl="0">
      <w:lvlJc w:val="left"/>
      <w:lvlText w:val="%1."/>
      <w:numFmt w:val="decimal"/>
      <w:start w:val="1"/>
    </w:lvl>
  </w:abstractNum>
  <w:abstractNum w:abstractNumId="124">
    <w:nsid w:val="7AB49DAF"/>
    <w:multiLevelType w:val="hybridMultilevel"/>
    <w:lvl w:ilvl="0">
      <w:lvlJc w:val="left"/>
      <w:lvlText w:val="%1."/>
      <w:numFmt w:val="decimal"/>
      <w:start w:val="2"/>
    </w:lvl>
  </w:abstractNum>
  <w:abstractNum w:abstractNumId="125">
    <w:nsid w:val="759F82CD"/>
    <w:multiLevelType w:val="hybridMultilevel"/>
    <w:lvl w:ilvl="0">
      <w:lvlJc w:val="left"/>
      <w:lvlText w:val="%1."/>
      <w:numFmt w:val="decimal"/>
      <w:start w:val="3"/>
    </w:lvl>
  </w:abstractNum>
  <w:abstractNum w:abstractNumId="126">
    <w:nsid w:val="61E74EA3"/>
    <w:multiLevelType w:val="hybridMultilevel"/>
    <w:lvl w:ilvl="0">
      <w:lvlJc w:val="left"/>
      <w:lvlText w:val="%1."/>
      <w:numFmt w:val="decimal"/>
      <w:start w:val="4"/>
    </w:lvl>
  </w:abstractNum>
  <w:abstractNum w:abstractNumId="127">
    <w:nsid w:val="597B4D84"/>
    <w:multiLevelType w:val="hybridMultilevel"/>
    <w:lvl w:ilvl="0">
      <w:lvlJc w:val="left"/>
      <w:lvlText w:val="%1."/>
      <w:numFmt w:val="decimal"/>
      <w:start w:val="5"/>
    </w:lvl>
  </w:abstractNum>
  <w:abstractNum w:abstractNumId="128">
    <w:nsid w:val="F819E7F"/>
    <w:multiLevelType w:val="hybridMultilevel"/>
    <w:lvl w:ilvl="0">
      <w:lvlJc w:val="left"/>
      <w:lvlText w:val="%1)"/>
      <w:numFmt w:val="lowerLetter"/>
      <w:start w:val="3"/>
    </w:lvl>
  </w:abstractNum>
  <w:abstractNum w:abstractNumId="129">
    <w:nsid w:val="57C7D42D"/>
    <w:multiLevelType w:val="hybridMultilevel"/>
    <w:lvl w:ilvl="0">
      <w:lvlJc w:val="left"/>
      <w:lvlText w:val="%1."/>
      <w:numFmt w:val="decimal"/>
      <w:start w:val="6"/>
    </w:lvl>
  </w:abstractNum>
  <w:abstractNum w:abstractNumId="130">
    <w:nsid w:val="312167AD"/>
    <w:multiLevelType w:val="hybridMultilevel"/>
    <w:lvl w:ilvl="0">
      <w:lvlJc w:val="left"/>
      <w:lvlText w:val="%1)"/>
      <w:numFmt w:val="lowerLetter"/>
      <w:start w:val="3"/>
    </w:lvl>
  </w:abstractNum>
  <w:abstractNum w:abstractNumId="131">
    <w:nsid w:val="631B64D4"/>
    <w:multiLevelType w:val="hybridMultilevel"/>
    <w:lvl w:ilvl="0">
      <w:lvlJc w:val="left"/>
      <w:lvlText w:val="%1."/>
      <w:numFmt w:val="decimal"/>
      <w:start w:val="7"/>
    </w:lvl>
  </w:abstractNum>
  <w:abstractNum w:abstractNumId="132">
    <w:nsid w:val="78B5E776"/>
    <w:multiLevelType w:val="hybridMultilevel"/>
    <w:lvl w:ilvl="0">
      <w:lvlJc w:val="left"/>
      <w:lvlText w:val="%1."/>
      <w:numFmt w:val="decimal"/>
      <w:start w:val="1"/>
    </w:lvl>
  </w:abstractNum>
  <w:abstractNum w:abstractNumId="133">
    <w:nsid w:val="75486E47"/>
    <w:multiLevelType w:val="hybridMultilevel"/>
    <w:lvl w:ilvl="0">
      <w:lvlJc w:val="left"/>
      <w:lvlText w:val="%1."/>
      <w:numFmt w:val="decimal"/>
      <w:start w:val="2"/>
    </w:lvl>
  </w:abstractNum>
  <w:abstractNum w:abstractNumId="134">
    <w:nsid w:val="6E534CDE"/>
    <w:multiLevelType w:val="hybridMultilevel"/>
    <w:lvl w:ilvl="0">
      <w:lvlJc w:val="left"/>
      <w:lvlText w:val="%1."/>
      <w:numFmt w:val="decimal"/>
      <w:start w:val="3"/>
    </w:lvl>
  </w:abstractNum>
  <w:abstractNum w:abstractNumId="135">
    <w:nsid w:val="1A0DDE32"/>
    <w:multiLevelType w:val="hybridMultilevel"/>
    <w:lvl w:ilvl="0">
      <w:lvlJc w:val="left"/>
      <w:lvlText w:val="%1."/>
      <w:numFmt w:val="decimal"/>
      <w:start w:val="4"/>
    </w:lvl>
  </w:abstractNum>
  <w:abstractNum w:abstractNumId="136">
    <w:nsid w:val="65968C1C"/>
    <w:multiLevelType w:val="hybridMultilevel"/>
    <w:lvl w:ilvl="0">
      <w:lvlJc w:val="left"/>
      <w:lvlText w:val="%1."/>
      <w:numFmt w:val="decimal"/>
      <w:start w:val="5"/>
    </w:lvl>
  </w:abstractNum>
  <w:abstractNum w:abstractNumId="137">
    <w:nsid w:val="46263DEC"/>
    <w:multiLevelType w:val="hybridMultilevel"/>
    <w:lvl w:ilvl="0">
      <w:lvlJc w:val="left"/>
      <w:lvlText w:val="%1)"/>
      <w:numFmt w:val="lowerLetter"/>
      <w:start w:val="3"/>
    </w:lvl>
  </w:abstractNum>
  <w:abstractNum w:abstractNumId="138">
    <w:nsid w:val="260D8C4A"/>
    <w:multiLevelType w:val="hybridMultilevel"/>
    <w:lvl w:ilvl="0">
      <w:lvlJc w:val="left"/>
      <w:lvlText w:val="%1."/>
      <w:numFmt w:val="decimal"/>
      <w:start w:val="6"/>
    </w:lvl>
  </w:abstractNum>
  <w:abstractNum w:abstractNumId="139">
    <w:nsid w:val="73D4D3C4"/>
    <w:multiLevelType w:val="hybridMultilevel"/>
    <w:lvl w:ilvl="0">
      <w:lvlJc w:val="left"/>
      <w:lvlText w:val="%1)"/>
      <w:numFmt w:val="lowerLetter"/>
      <w:start w:val="3"/>
    </w:lvl>
  </w:abstractNum>
  <w:abstractNum w:abstractNumId="140">
    <w:nsid w:val="746F2E30"/>
    <w:multiLevelType w:val="hybridMultilevel"/>
    <w:lvl w:ilvl="0">
      <w:lvlJc w:val="left"/>
      <w:lvlText w:val="%1."/>
      <w:numFmt w:val="decimal"/>
      <w:start w:val="7"/>
    </w:lvl>
  </w:abstractNum>
  <w:abstractNum w:abstractNumId="141">
    <w:nsid w:val="6FDE8AF6"/>
    <w:multiLevelType w:val="hybridMultilevel"/>
    <w:lvl w:ilvl="0">
      <w:lvlJc w:val="left"/>
      <w:lvlText w:val="%1."/>
      <w:numFmt w:val="decimal"/>
      <w:start w:val="1"/>
    </w:lvl>
  </w:abstractNum>
  <w:abstractNum w:abstractNumId="142">
    <w:nsid w:val="3FC32E20"/>
    <w:multiLevelType w:val="hybridMultilevel"/>
    <w:lvl w:ilvl="0">
      <w:lvlJc w:val="left"/>
      <w:lvlText w:val="%1."/>
      <w:numFmt w:val="decimal"/>
      <w:start w:val="2"/>
    </w:lvl>
  </w:abstractNum>
  <w:abstractNum w:abstractNumId="143">
    <w:nsid w:val="49C0E823"/>
    <w:multiLevelType w:val="hybridMultilevel"/>
    <w:lvl w:ilvl="0">
      <w:lvlJc w:val="left"/>
      <w:lvlText w:val="%1."/>
      <w:numFmt w:val="decimal"/>
      <w:start w:val="3"/>
    </w:lvl>
  </w:abstractNum>
  <w:abstractNum w:abstractNumId="144">
    <w:nsid w:val="14D53685"/>
    <w:multiLevelType w:val="hybridMultilevel"/>
    <w:lvl w:ilvl="0">
      <w:lvlJc w:val="left"/>
      <w:lvlText w:val="%1."/>
      <w:numFmt w:val="decimal"/>
      <w:start w:val="4"/>
    </w:lvl>
  </w:abstractNum>
  <w:abstractNum w:abstractNumId="145">
    <w:nsid w:val="230F856C"/>
    <w:multiLevelType w:val="hybridMultilevel"/>
    <w:lvl w:ilvl="0">
      <w:lvlJc w:val="left"/>
      <w:lvlText w:val="%1."/>
      <w:numFmt w:val="decimal"/>
      <w:start w:val="5"/>
    </w:lvl>
  </w:abstractNum>
  <w:abstractNum w:abstractNumId="146">
    <w:nsid w:val="6EAA85FB"/>
    <w:multiLevelType w:val="hybridMultilevel"/>
    <w:lvl w:ilvl="0">
      <w:lvlJc w:val="left"/>
      <w:lvlText w:val="%1)"/>
      <w:numFmt w:val="lowerLetter"/>
      <w:start w:val="3"/>
    </w:lvl>
  </w:abstractNum>
  <w:abstractNum w:abstractNumId="147">
    <w:nsid w:val="3F06ECB2"/>
    <w:multiLevelType w:val="hybridMultilevel"/>
    <w:lvl w:ilvl="0">
      <w:lvlJc w:val="left"/>
      <w:lvlText w:val="%1."/>
      <w:numFmt w:val="decimal"/>
      <w:start w:val="6"/>
    </w:lvl>
  </w:abstractNum>
  <w:abstractNum w:abstractNumId="148">
    <w:nsid w:val="3B594807"/>
    <w:multiLevelType w:val="hybridMultilevel"/>
    <w:lvl w:ilvl="0">
      <w:lvlJc w:val="left"/>
      <w:lvlText w:val="%1)"/>
      <w:numFmt w:val="lowerLetter"/>
      <w:start w:val="3"/>
    </w:lvl>
  </w:abstractNum>
  <w:abstractNum w:abstractNumId="149">
    <w:nsid w:val="6CAA2304"/>
    <w:multiLevelType w:val="hybridMultilevel"/>
    <w:lvl w:ilvl="0">
      <w:lvlJc w:val="left"/>
      <w:lvlText w:val="%1."/>
      <w:numFmt w:val="decimal"/>
      <w:start w:val="7"/>
    </w:lvl>
  </w:abstractNum>
  <w:abstractNum w:abstractNumId="150">
    <w:nsid w:val="3F7C2FF4"/>
    <w:multiLevelType w:val="hybridMultilevel"/>
    <w:lvl w:ilvl="0">
      <w:lvlJc w:val="left"/>
      <w:lvlText w:val="%1"/>
      <w:numFmt w:val="lowerLetter"/>
      <w:start w:val="1"/>
    </w:lvl>
    <w:lvl w:ilvl="1">
      <w:lvlJc w:val="left"/>
      <w:lvlText w:val="(%2)"/>
      <w:numFmt w:val="lowerRoman"/>
      <w:start w:val="4"/>
    </w:lvl>
  </w:abstractNum>
  <w:abstractNum w:abstractNumId="151">
    <w:nsid w:val="25413BEC"/>
    <w:multiLevelType w:val="hybridMultilevel"/>
    <w:lvl w:ilvl="0">
      <w:lvlJc w:val="left"/>
      <w:lvlText w:val="(%1)"/>
      <w:numFmt w:val="lowerLetter"/>
      <w:start w:val="2"/>
    </w:lvl>
    <w:lvl w:ilvl="1">
      <w:lvlJc w:val="left"/>
      <w:lvlText w:val="%2"/>
      <w:numFmt w:val="lowerRoman"/>
      <w:start w:val="1"/>
    </w:lvl>
  </w:abstractNum>
  <w:abstractNum w:abstractNumId="152">
    <w:nsid w:val="17180B0B"/>
    <w:multiLevelType w:val="hybridMultilevel"/>
    <w:lvl w:ilvl="0">
      <w:lvlJc w:val="left"/>
      <w:lvlText w:val="(%1)"/>
      <w:numFmt w:val="lowerLetter"/>
      <w:start w:val="2"/>
    </w:lvl>
  </w:abstractNum>
  <w:abstractNum w:abstractNumId="153">
    <w:nsid w:val="579328B9"/>
    <w:multiLevelType w:val="hybridMultilevel"/>
    <w:lvl w:ilvl="0">
      <w:lvlJc w:val="left"/>
      <w:lvlText w:val="%1"/>
      <w:numFmt w:val="lowerLetter"/>
      <w:start w:val="1"/>
    </w:lvl>
    <w:lvl w:ilvl="1">
      <w:lvlJc w:val="left"/>
      <w:lvlText w:val="(%2)"/>
      <w:numFmt w:val="lowerLetter"/>
      <w:start w:val="1"/>
    </w:lvl>
  </w:abstractNum>
  <w:abstractNum w:abstractNumId="154">
    <w:nsid w:val="5D205E20"/>
    <w:multiLevelType w:val="hybridMultilevel"/>
    <w:lvl w:ilvl="0">
      <w:lvlJc w:val="left"/>
      <w:lvlText w:val="(%1)"/>
      <w:numFmt w:val="lowerLetter"/>
      <w:start w:val="2"/>
    </w:lvl>
    <w:lvl w:ilvl="1">
      <w:lvlJc w:val="left"/>
      <w:lvlText w:val="%2"/>
      <w:numFmt w:val="lowerLetter"/>
      <w:start w:val="1"/>
    </w:lvl>
  </w:abstractNum>
  <w:abstractNum w:abstractNumId="155">
    <w:nsid w:val="11CCA8B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lvl w:ilvl="3">
      <w:lvlJc w:val="left"/>
      <w:lvlText w:val="%4."/>
      <w:numFmt w:val="lowerRoman"/>
      <w:start w:val="1"/>
    </w:lvl>
  </w:abstractNum>
  <w:abstractNum w:abstractNumId="156">
    <w:nsid w:val="4D32AB86"/>
    <w:multiLevelType w:val="hybridMultilevel"/>
    <w:lvl w:ilvl="0">
      <w:lvlJc w:val="left"/>
      <w:lvlText w:val="%1."/>
      <w:numFmt w:val="decimal"/>
      <w:start w:val="1"/>
    </w:lvl>
  </w:abstractNum>
  <w:abstractNum w:abstractNumId="157">
    <w:nsid w:val="3F07ACC3"/>
    <w:multiLevelType w:val="hybridMultilevel"/>
    <w:lvl w:ilvl="0">
      <w:lvlJc w:val="left"/>
      <w:lvlText w:val="%1."/>
      <w:numFmt w:val="decimal"/>
      <w:start w:val="1"/>
    </w:lvl>
  </w:abstractNum>
  <w:abstractNum w:abstractNumId="158">
    <w:nsid w:val="6B47F63E"/>
    <w:multiLevelType w:val="hybridMultilevel"/>
    <w:lvl w:ilvl="0">
      <w:lvlJc w:val="left"/>
      <w:lvlText w:val="%1."/>
      <w:numFmt w:val="decimal"/>
      <w:start w:val="1"/>
    </w:lvl>
    <w:lvl w:ilvl="1">
      <w:lvlJc w:val="left"/>
      <w:lvlText w:val="(%2)"/>
      <w:numFmt w:val="lowerLetter"/>
      <w:start w:val="1"/>
    </w:lvl>
  </w:abstractNum>
  <w:abstractNum w:abstractNumId="159">
    <w:nsid w:val="5CB44A05"/>
    <w:multiLevelType w:val="hybridMultilevel"/>
    <w:lvl w:ilvl="0">
      <w:lvlJc w:val="left"/>
      <w:lvlText w:val="%1."/>
      <w:numFmt w:val="decimal"/>
      <w:start w:val="1"/>
    </w:lvl>
    <w:lvl w:ilvl="1">
      <w:lvlJc w:val="left"/>
      <w:lvlText w:val="(%2)"/>
      <w:numFmt w:val="lowerLetter"/>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31" Type="http://schemas.openxmlformats.org/officeDocument/2006/relationships/image" Target="media/image102.png"/><Relationship Id="rId132" Type="http://schemas.openxmlformats.org/officeDocument/2006/relationships/image" Target="media/image103.png"/><Relationship Id="rId143" Type="http://schemas.openxmlformats.org/officeDocument/2006/relationships/image" Target="media/image104.png"/><Relationship Id="rId144" Type="http://schemas.openxmlformats.org/officeDocument/2006/relationships/image" Target="media/image105.png"/><Relationship Id="rId145" Type="http://schemas.openxmlformats.org/officeDocument/2006/relationships/image" Target="media/image106.png"/><Relationship Id="rId146" Type="http://schemas.openxmlformats.org/officeDocument/2006/relationships/image" Target="media/image107.png"/><Relationship Id="rId147" Type="http://schemas.openxmlformats.org/officeDocument/2006/relationships/image" Target="media/image108.png"/><Relationship Id="rId148" Type="http://schemas.openxmlformats.org/officeDocument/2006/relationships/image" Target="media/image109.png"/><Relationship Id="rId149"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63" Type="http://schemas.openxmlformats.org/officeDocument/2006/relationships/image" Target="media/image124.png"/><Relationship Id="rId164" Type="http://schemas.openxmlformats.org/officeDocument/2006/relationships/image" Target="media/image125.png"/><Relationship Id="rId165" Type="http://schemas.openxmlformats.org/officeDocument/2006/relationships/image" Target="media/image126.png"/><Relationship Id="rId166" Type="http://schemas.openxmlformats.org/officeDocument/2006/relationships/image" Target="media/image127.png"/><Relationship Id="rId167"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pn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pn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342" Type="http://schemas.openxmlformats.org/officeDocument/2006/relationships/image" Target="media/image303.png"/><Relationship Id="rId343" Type="http://schemas.openxmlformats.org/officeDocument/2006/relationships/image" Target="media/image304.png"/><Relationship Id="rId344" Type="http://schemas.openxmlformats.org/officeDocument/2006/relationships/image" Target="media/image305.png"/><Relationship Id="rId345" Type="http://schemas.openxmlformats.org/officeDocument/2006/relationships/image" Target="media/image306.png"/><Relationship Id="rId346" Type="http://schemas.openxmlformats.org/officeDocument/2006/relationships/image" Target="media/image307.png"/><Relationship Id="rId347" Type="http://schemas.openxmlformats.org/officeDocument/2006/relationships/image" Target="media/image308.png"/><Relationship Id="rId348" Type="http://schemas.openxmlformats.org/officeDocument/2006/relationships/image" Target="media/image309.png"/><Relationship Id="rId349" Type="http://schemas.openxmlformats.org/officeDocument/2006/relationships/image" Target="media/image310.png"/><Relationship Id="rId350" Type="http://schemas.openxmlformats.org/officeDocument/2006/relationships/image" Target="media/image311.png"/><Relationship Id="rId351" Type="http://schemas.openxmlformats.org/officeDocument/2006/relationships/image" Target="media/image312.png"/><Relationship Id="rId352" Type="http://schemas.openxmlformats.org/officeDocument/2006/relationships/image" Target="media/image313.png"/><Relationship Id="rId353" Type="http://schemas.openxmlformats.org/officeDocument/2006/relationships/image" Target="media/image314.png"/><Relationship Id="rId354" Type="http://schemas.openxmlformats.org/officeDocument/2006/relationships/image" Target="media/image315.png"/><Relationship Id="rId355" Type="http://schemas.openxmlformats.org/officeDocument/2006/relationships/image" Target="media/image316.png"/><Relationship Id="rId356" Type="http://schemas.openxmlformats.org/officeDocument/2006/relationships/image" Target="media/image317.png"/><Relationship Id="rId357" Type="http://schemas.openxmlformats.org/officeDocument/2006/relationships/image" Target="media/image318.png"/><Relationship Id="rId358" Type="http://schemas.openxmlformats.org/officeDocument/2006/relationships/image" Target="media/image319.png"/><Relationship Id="rId359" Type="http://schemas.openxmlformats.org/officeDocument/2006/relationships/image" Target="media/image320.png"/><Relationship Id="rId360" Type="http://schemas.openxmlformats.org/officeDocument/2006/relationships/image" Target="media/image321.png"/><Relationship Id="rId361" Type="http://schemas.openxmlformats.org/officeDocument/2006/relationships/image" Target="media/image322.png"/><Relationship Id="rId362" Type="http://schemas.openxmlformats.org/officeDocument/2006/relationships/image" Target="media/image323.png"/><Relationship Id="rId363" Type="http://schemas.openxmlformats.org/officeDocument/2006/relationships/image" Target="media/image324.png"/><Relationship Id="rId364" Type="http://schemas.openxmlformats.org/officeDocument/2006/relationships/image" Target="media/image325.png"/><Relationship Id="rId365" Type="http://schemas.openxmlformats.org/officeDocument/2006/relationships/image" Target="media/image326.png"/><Relationship Id="rId366" Type="http://schemas.openxmlformats.org/officeDocument/2006/relationships/image" Target="media/image327.png"/><Relationship Id="rId367" Type="http://schemas.openxmlformats.org/officeDocument/2006/relationships/image" Target="media/image328.png"/><Relationship Id="rId368" Type="http://schemas.openxmlformats.org/officeDocument/2006/relationships/image" Target="media/image329.png"/><Relationship Id="rId369" Type="http://schemas.openxmlformats.org/officeDocument/2006/relationships/image" Target="media/image330.png"/><Relationship Id="rId370" Type="http://schemas.openxmlformats.org/officeDocument/2006/relationships/image" Target="media/image331.png"/><Relationship Id="rId371" Type="http://schemas.openxmlformats.org/officeDocument/2006/relationships/image" Target="media/image332.png"/><Relationship Id="rId372" Type="http://schemas.openxmlformats.org/officeDocument/2006/relationships/image" Target="media/image333.png"/><Relationship Id="rId373" Type="http://schemas.openxmlformats.org/officeDocument/2006/relationships/image" Target="media/image334.png"/><Relationship Id="rId374" Type="http://schemas.openxmlformats.org/officeDocument/2006/relationships/image" Target="media/image335.png"/><Relationship Id="rId375" Type="http://schemas.openxmlformats.org/officeDocument/2006/relationships/image" Target="media/image336.png"/><Relationship Id="rId376" Type="http://schemas.openxmlformats.org/officeDocument/2006/relationships/image" Target="media/image337.png"/><Relationship Id="rId377" Type="http://schemas.openxmlformats.org/officeDocument/2006/relationships/image" Target="media/image338.png"/><Relationship Id="rId109" Type="http://schemas.openxmlformats.org/officeDocument/2006/relationships/hyperlink" Target="http://www.sec.gov/Archives/edgar/data/275880/000119312519144517/d730409dex31.htm" TargetMode="External"/><Relationship Id="rId110" Type="http://schemas.openxmlformats.org/officeDocument/2006/relationships/hyperlink" Target="http://www.sec.gov/Archives/edgar/data/275880/000119312519144517/d730409dex32.htm" TargetMode="External"/><Relationship Id="rId111" Type="http://schemas.openxmlformats.org/officeDocument/2006/relationships/hyperlink" Target="http://www.sec.gov/Archives/edgar/data/275880/000156459020009791/psn-ex41_813.htm" TargetMode="External"/><Relationship Id="rId112" Type="http://schemas.openxmlformats.org/officeDocument/2006/relationships/hyperlink" Target="http://www.sec.gov/Archives/edgar/data/275880/000119312520225229/d51070dex41.htm" TargetMode="External"/><Relationship Id="rId113" Type="http://schemas.openxmlformats.org/officeDocument/2006/relationships/hyperlink" Target="http://www.sec.gov/Archives/edgar/data/275880/000119312519105051/d625480dex101.htm" TargetMode="External"/><Relationship Id="rId114" Type="http://schemas.openxmlformats.org/officeDocument/2006/relationships/hyperlink" Target="http://www.sec.gov/Archives/edgar/data/275880/000119312519123626/d625480dex102.htm" TargetMode="External"/><Relationship Id="rId115" Type="http://schemas.openxmlformats.org/officeDocument/2006/relationships/hyperlink" Target="http://www.sec.gov/Archives/edgar/data/275880/000156459020009791/psn-ex103_702.htm" TargetMode="External"/><Relationship Id="rId116" Type="http://schemas.openxmlformats.org/officeDocument/2006/relationships/hyperlink" Target="http://www.sec.gov/Archives/edgar/data/275880/000119312519105051/d625480dex103.htm" TargetMode="External"/><Relationship Id="rId117" Type="http://schemas.openxmlformats.org/officeDocument/2006/relationships/hyperlink" Target="http://www.sec.gov/Archives/edgar/data/275880/000119312519105051/d625480dex104.htm" TargetMode="External"/><Relationship Id="rId118" Type="http://schemas.openxmlformats.org/officeDocument/2006/relationships/hyperlink" Target="http://www.sec.gov/Archives/edgar/data/275880/000119312519105051/d625480dex105.htm" TargetMode="External"/><Relationship Id="rId119" Type="http://schemas.openxmlformats.org/officeDocument/2006/relationships/hyperlink" Target="http://www.sec.gov/Archives/edgar/data/275880/000119312519105051/d625480dex107.htm" TargetMode="External"/><Relationship Id="rId120" Type="http://schemas.openxmlformats.org/officeDocument/2006/relationships/hyperlink" Target="http://www.sec.gov/Archives/edgar/data/275880/000119312519105051/d625480dex108.htm" TargetMode="External"/><Relationship Id="rId121" Type="http://schemas.openxmlformats.org/officeDocument/2006/relationships/hyperlink" Target="http://www.sec.gov/Archives/edgar/data/275880/000119312519105051/d625480dex109.htm" TargetMode="External"/><Relationship Id="rId122" Type="http://schemas.openxmlformats.org/officeDocument/2006/relationships/hyperlink" Target="http://www.sec.gov/Archives/edgar/data/275880/000119312519123626/d625480dex1010.htm" TargetMode="External"/><Relationship Id="rId123" Type="http://schemas.openxmlformats.org/officeDocument/2006/relationships/hyperlink" Target="http://www.sec.gov/Archives/edgar/data/275880/000156459020009791/psn-ex1012_572.htm" TargetMode="External"/><Relationship Id="rId124" Type="http://schemas.openxmlformats.org/officeDocument/2006/relationships/hyperlink" Target="http://www.sec.gov/Archives/edgar/data/275880/000156459020009791/psn-ex1014_571.htm" TargetMode="External"/><Relationship Id="rId125" Type="http://schemas.openxmlformats.org/officeDocument/2006/relationships/hyperlink" Target="http://www.sec.gov/Archives/edgar/data/275880/000156459020009791/psn-ex1015_570.htm" TargetMode="External"/><Relationship Id="rId126" Type="http://schemas.openxmlformats.org/officeDocument/2006/relationships/hyperlink" Target="http://www.sec.gov/Archives/edgar/data/275880/000156459020009791/psn-ex1017_568.htm" TargetMode="External"/><Relationship Id="rId127" Type="http://schemas.openxmlformats.org/officeDocument/2006/relationships/hyperlink" Target="http://www.sec.gov/Archives/edgar/data/275880/000119312519123626/d625480dex1028.htm" TargetMode="External"/><Relationship Id="rId128" Type="http://schemas.openxmlformats.org/officeDocument/2006/relationships/hyperlink" Target="http://www.sec.gov/Archives/edgar/data/275880/000156459020009791/psn-ex1019_567.htm" TargetMode="External"/><Relationship Id="rId129" Type="http://schemas.openxmlformats.org/officeDocument/2006/relationships/hyperlink" Target="http://www.sec.gov/Archives/edgar/data/275880/000119312519105051/d625480dex1013.htm" TargetMode="External"/><Relationship Id="rId130" Type="http://schemas.openxmlformats.org/officeDocument/2006/relationships/hyperlink" Target="http://www.sec.gov/Archives/edgar/data/275880/000119312519123626/d625480dex1014.htm" TargetMode="External"/><Relationship Id="rId133" Type="http://schemas.openxmlformats.org/officeDocument/2006/relationships/hyperlink" Target="http://www.sec.gov/Archives/edgar/data/275880/000119312519105051/d625480dex1015.htm" TargetMode="External"/><Relationship Id="rId134" Type="http://schemas.openxmlformats.org/officeDocument/2006/relationships/hyperlink" Target="http://www.sec.gov/Archives/edgar/data/275880/000119312519105051/d625480dex1016.htm" TargetMode="External"/><Relationship Id="rId135" Type="http://schemas.openxmlformats.org/officeDocument/2006/relationships/hyperlink" Target="http://www.sec.gov/Archives/edgar/data/275880/000119312519105051/d625480dex1018.htm" TargetMode="External"/><Relationship Id="rId136" Type="http://schemas.openxmlformats.org/officeDocument/2006/relationships/hyperlink" Target="http://www.sec.gov/Archives/edgar/data/275880/000119312519105051/d625480dex1019.htm" TargetMode="External"/><Relationship Id="rId137" Type="http://schemas.openxmlformats.org/officeDocument/2006/relationships/hyperlink" Target="http://www.sec.gov/Archives/edgar/data/275880/000119312519105051/d625480dex1020.htm" TargetMode="External"/><Relationship Id="rId138" Type="http://schemas.openxmlformats.org/officeDocument/2006/relationships/hyperlink" Target="http://www.sec.gov/Archives/edgar/data/275880/000119312519105051/d625480dex1021.htm" TargetMode="External"/><Relationship Id="rId139" Type="http://schemas.openxmlformats.org/officeDocument/2006/relationships/hyperlink" Target="http://www.sec.gov/Archives/edgar/data/275880/000119312519105051/d625480dex1022.htm" TargetMode="External"/><Relationship Id="rId140" Type="http://schemas.openxmlformats.org/officeDocument/2006/relationships/hyperlink" Target="http://www.sec.gov/Archives/edgar/data/275880/000119312519105051/d625480dex1023.htm" TargetMode="External"/><Relationship Id="rId141" Type="http://schemas.openxmlformats.org/officeDocument/2006/relationships/hyperlink" Target="http://www.sec.gov/Archives/edgar/data/275880/000119312519123626/d625480dex1026.htm" TargetMode="External"/><Relationship Id="rId142" Type="http://schemas.openxmlformats.org/officeDocument/2006/relationships/hyperlink" Target="http://www.sec.gov/Archives/edgar/data/275880/000119312519123626/d625480dex10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2021-02-24T05:41:33Z</dcterms:created>
  <dcterms:modified xsi:type="dcterms:W3CDTF">2021-02-24T05:41:33Z</dcterms:modified>
</cp:coreProperties>
</file>