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57785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0" w:lineRule="exact"/>
        <w:rPr>
          <w:sz w:val="24"/>
          <w:szCs w:val="24"/>
          <w:color w:val="auto"/>
        </w:rPr>
      </w:pPr>
    </w:p>
    <w:p>
      <w:pPr>
        <w:jc w:val="center"/>
        <w:ind w:right="12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83820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4120" w:right="3680" w:hanging="4099"/>
        <w:spacing w:after="0" w:line="333" w:lineRule="auto"/>
        <w:tabs>
          <w:tab w:leader="none" w:pos="489"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OR</w:t>
      </w:r>
    </w:p>
    <w:p>
      <w:pPr>
        <w:spacing w:after="0" w:line="68" w:lineRule="exact"/>
        <w:rPr>
          <w:sz w:val="24"/>
          <w:szCs w:val="24"/>
          <w:color w:val="auto"/>
        </w:rPr>
      </w:pPr>
    </w:p>
    <w:p>
      <w:pPr>
        <w:ind w:left="480" w:right="780" w:hanging="459"/>
        <w:spacing w:after="0" w:line="266" w:lineRule="auto"/>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208"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2051685</wp:posOffset>
            </wp:positionH>
            <wp:positionV relativeFrom="paragraph">
              <wp:posOffset>63500</wp:posOffset>
            </wp:positionV>
            <wp:extent cx="3005455" cy="607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5455" cy="607695"/>
                    </a:xfrm>
                    <a:prstGeom prst="rect">
                      <a:avLst/>
                    </a:prstGeom>
                    <a:noFill/>
                  </pic:spPr>
                </pic:pic>
              </a:graphicData>
            </a:graphic>
          </wp:anchor>
        </w:drawing>
      </w:r>
    </w:p>
    <w:p>
      <w:pPr>
        <w:sectPr>
          <w:pgSz w:w="11900" w:h="16838" w:orient="portrait"/>
          <w:cols w:equalWidth="0" w:num="1">
            <w:col w:w="11260"/>
          </w:cols>
          <w:pgMar w:left="320" w:top="982"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right"/>
        <w:spacing w:after="0"/>
        <w:rPr>
          <w:sz w:val="20"/>
          <w:szCs w:val="20"/>
          <w:color w:val="auto"/>
        </w:rPr>
      </w:pPr>
      <w:r>
        <w:rPr>
          <w:rFonts w:ascii="Arial" w:cs="Arial" w:eastAsia="Arial" w:hAnsi="Arial"/>
          <w:sz w:val="32"/>
          <w:szCs w:val="32"/>
          <w:b w:val="1"/>
          <w:bCs w:val="1"/>
          <w:color w:val="auto"/>
        </w:rPr>
        <w:t>PARSONS CORPORATION</w:t>
      </w:r>
    </w:p>
    <w:p>
      <w:pPr>
        <w:spacing w:after="0" w:line="37" w:lineRule="exact"/>
        <w:rPr>
          <w:sz w:val="24"/>
          <w:szCs w:val="24"/>
          <w:color w:val="auto"/>
        </w:rPr>
      </w:pPr>
    </w:p>
    <w:p>
      <w:pPr>
        <w:ind w:left="390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59690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8"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95-3232481</w:t>
      </w:r>
    </w:p>
    <w:p>
      <w:pPr>
        <w:spacing w:after="0" w:line="39" w:lineRule="exact"/>
        <w:rPr>
          <w:sz w:val="24"/>
          <w:szCs w:val="24"/>
          <w:color w:val="auto"/>
        </w:rPr>
      </w:pPr>
    </w:p>
    <w:p>
      <w:pPr>
        <w:jc w:val="center"/>
        <w:ind w:right="2260"/>
        <w:spacing w:after="0"/>
        <w:rPr>
          <w:sz w:val="20"/>
          <w:szCs w:val="20"/>
          <w:color w:val="auto"/>
        </w:rPr>
      </w:pPr>
      <w:r>
        <w:rPr>
          <w:rFonts w:ascii="Arial" w:cs="Arial" w:eastAsia="Arial" w:hAnsi="Arial"/>
          <w:sz w:val="13"/>
          <w:szCs w:val="13"/>
          <w:b w:val="1"/>
          <w:bCs w:val="1"/>
          <w:color w:val="auto"/>
        </w:rPr>
        <w:t>(I.R.S. Employer</w:t>
      </w:r>
    </w:p>
    <w:p>
      <w:pPr>
        <w:jc w:val="center"/>
        <w:ind w:right="2260"/>
        <w:spacing w:after="0"/>
        <w:rPr>
          <w:sz w:val="20"/>
          <w:szCs w:val="20"/>
          <w:color w:val="auto"/>
        </w:rPr>
      </w:pPr>
      <w:r>
        <w:rPr>
          <w:rFonts w:ascii="Arial" w:cs="Arial" w:eastAsia="Arial" w:hAnsi="Arial"/>
          <w:sz w:val="12"/>
          <w:szCs w:val="12"/>
          <w:b w:val="1"/>
          <w:bCs w:val="1"/>
          <w:color w:val="auto"/>
        </w:rPr>
        <w:t>Identification No.)</w:t>
      </w:r>
    </w:p>
    <w:p>
      <w:pPr>
        <w:spacing w:after="0" w:line="124" w:lineRule="exact"/>
        <w:rPr>
          <w:sz w:val="24"/>
          <w:szCs w:val="24"/>
          <w:color w:val="auto"/>
        </w:rPr>
      </w:pPr>
    </w:p>
    <w:p>
      <w:pPr>
        <w:sectPr>
          <w:pgSz w:w="11900" w:h="16838" w:orient="portrait"/>
          <w:cols w:equalWidth="0" w:num="2">
            <w:col w:w="7660" w:space="280"/>
            <w:col w:w="3320"/>
          </w:cols>
          <w:pgMar w:left="320" w:top="982" w:right="319" w:bottom="1440" w:gutter="0" w:footer="0" w:header="0"/>
          <w:type w:val="continuous"/>
        </w:sectPr>
      </w:pPr>
    </w:p>
    <w:tbl>
      <w:tblPr>
        <w:tblLayout w:type="fixed"/>
        <w:tblInd w:w="1400" w:type="dxa"/>
        <w:tblCellMar>
          <w:top w:w="0" w:type="dxa"/>
          <w:left w:w="0" w:type="dxa"/>
          <w:bottom w:w="0" w:type="dxa"/>
          <w:right w:w="0" w:type="dxa"/>
        </w:tblCellMar>
      </w:tblPr>
      <w:tr>
        <w:trPr>
          <w:trHeight w:val="189"/>
        </w:trPr>
        <w:tc>
          <w:tcPr>
            <w:tcW w:w="4760" w:type="dxa"/>
            <w:vAlign w:val="bottom"/>
          </w:tcPr>
          <w:p>
            <w:pPr>
              <w:jc w:val="center"/>
              <w:ind w:right="1905"/>
              <w:spacing w:after="0"/>
              <w:rPr>
                <w:sz w:val="20"/>
                <w:szCs w:val="20"/>
                <w:color w:val="auto"/>
              </w:rPr>
            </w:pPr>
            <w:r>
              <w:rPr>
                <w:rFonts w:ascii="Arial" w:cs="Arial" w:eastAsia="Arial" w:hAnsi="Arial"/>
                <w:sz w:val="16"/>
                <w:szCs w:val="16"/>
                <w:b w:val="1"/>
                <w:bCs w:val="1"/>
                <w:color w:val="auto"/>
              </w:rPr>
              <w:t>14291 Park Meadow Drive, Suite 100</w:t>
            </w:r>
          </w:p>
        </w:tc>
        <w:tc>
          <w:tcPr>
            <w:tcW w:w="2620" w:type="dxa"/>
            <w:vAlign w:val="bottom"/>
          </w:tcPr>
          <w:p>
            <w:pPr>
              <w:spacing w:after="0"/>
              <w:rPr>
                <w:sz w:val="16"/>
                <w:szCs w:val="16"/>
                <w:color w:val="auto"/>
              </w:rPr>
            </w:pPr>
          </w:p>
        </w:tc>
      </w:tr>
      <w:tr>
        <w:trPr>
          <w:trHeight w:val="225"/>
        </w:trPr>
        <w:tc>
          <w:tcPr>
            <w:tcW w:w="4760" w:type="dxa"/>
            <w:vAlign w:val="bottom"/>
          </w:tcPr>
          <w:p>
            <w:pPr>
              <w:jc w:val="center"/>
              <w:ind w:right="1905"/>
              <w:spacing w:after="0"/>
              <w:rPr>
                <w:sz w:val="20"/>
                <w:szCs w:val="20"/>
                <w:color w:val="auto"/>
              </w:rPr>
            </w:pPr>
            <w:r>
              <w:rPr>
                <w:rFonts w:ascii="Arial" w:cs="Arial" w:eastAsia="Arial" w:hAnsi="Arial"/>
                <w:sz w:val="16"/>
                <w:szCs w:val="16"/>
                <w:b w:val="1"/>
                <w:bCs w:val="1"/>
                <w:color w:val="auto"/>
                <w:w w:val="99"/>
              </w:rPr>
              <w:t>Chantilly, VA</w:t>
            </w:r>
          </w:p>
        </w:tc>
        <w:tc>
          <w:tcPr>
            <w:tcW w:w="2620" w:type="dxa"/>
            <w:vAlign w:val="bottom"/>
          </w:tcPr>
          <w:p>
            <w:pPr>
              <w:jc w:val="right"/>
              <w:ind w:right="28"/>
              <w:spacing w:after="0"/>
              <w:rPr>
                <w:sz w:val="20"/>
                <w:szCs w:val="20"/>
                <w:color w:val="auto"/>
              </w:rPr>
            </w:pPr>
            <w:r>
              <w:rPr>
                <w:rFonts w:ascii="Arial" w:cs="Arial" w:eastAsia="Arial" w:hAnsi="Arial"/>
                <w:sz w:val="16"/>
                <w:szCs w:val="16"/>
                <w:b w:val="1"/>
                <w:bCs w:val="1"/>
                <w:color w:val="auto"/>
              </w:rPr>
              <w:t>20151</w:t>
            </w:r>
          </w:p>
        </w:tc>
      </w:tr>
      <w:tr>
        <w:trPr>
          <w:trHeight w:val="172"/>
        </w:trPr>
        <w:tc>
          <w:tcPr>
            <w:tcW w:w="4760" w:type="dxa"/>
            <w:vAlign w:val="bottom"/>
          </w:tcPr>
          <w:p>
            <w:pPr>
              <w:jc w:val="center"/>
              <w:ind w:right="1905"/>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620" w:type="dxa"/>
            <w:vAlign w:val="bottom"/>
          </w:tcPr>
          <w:p>
            <w:pPr>
              <w:jc w:val="center"/>
              <w:ind w:left="1928"/>
              <w:spacing w:after="0"/>
              <w:rPr>
                <w:sz w:val="20"/>
                <w:szCs w:val="20"/>
                <w:color w:val="auto"/>
              </w:rPr>
            </w:pPr>
            <w:r>
              <w:rPr>
                <w:rFonts w:ascii="Arial" w:cs="Arial" w:eastAsia="Arial" w:hAnsi="Arial"/>
                <w:sz w:val="13"/>
                <w:szCs w:val="13"/>
                <w:b w:val="1"/>
                <w:bCs w:val="1"/>
                <w:color w:val="auto"/>
                <w:w w:val="96"/>
              </w:rPr>
              <w:t>(Zip Code)</w:t>
            </w:r>
          </w:p>
        </w:tc>
      </w:tr>
    </w:tbl>
    <w:p>
      <w:pPr>
        <w:spacing w:after="0" w:line="34"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71755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120" w:type="dxa"/>
            <w:vAlign w:val="bottom"/>
          </w:tcPr>
          <w:p>
            <w:pPr>
              <w:spacing w:after="0"/>
              <w:rPr>
                <w:sz w:val="12"/>
                <w:szCs w:val="12"/>
                <w:color w:val="auto"/>
              </w:rPr>
            </w:pPr>
          </w:p>
        </w:tc>
        <w:tc>
          <w:tcPr>
            <w:tcW w:w="5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66"/>
        </w:trPr>
        <w:tc>
          <w:tcPr>
            <w:tcW w:w="42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Symbol(s)</w:t>
            </w:r>
          </w:p>
        </w:tc>
        <w:tc>
          <w:tcPr>
            <w:tcW w:w="120" w:type="dxa"/>
            <w:vAlign w:val="bottom"/>
          </w:tcPr>
          <w:p>
            <w:pPr>
              <w:spacing w:after="0"/>
              <w:rPr>
                <w:sz w:val="14"/>
                <w:szCs w:val="14"/>
                <w:color w:val="auto"/>
              </w:rPr>
            </w:pPr>
          </w:p>
        </w:tc>
        <w:tc>
          <w:tcPr>
            <w:tcW w:w="5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80" w:type="dxa"/>
            <w:vAlign w:val="bottom"/>
          </w:tcPr>
          <w:p>
            <w:pPr>
              <w:jc w:val="center"/>
              <w:spacing w:after="0"/>
              <w:rPr>
                <w:sz w:val="20"/>
                <w:szCs w:val="20"/>
                <w:color w:val="auto"/>
              </w:rPr>
            </w:pPr>
            <w:r>
              <w:rPr>
                <w:rFonts w:ascii="Arial" w:cs="Arial" w:eastAsia="Arial" w:hAnsi="Arial"/>
                <w:sz w:val="14"/>
                <w:szCs w:val="14"/>
                <w:color w:val="auto"/>
              </w:rPr>
              <w:t>Common Stock, $1 par value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PSN</w:t>
            </w: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49"/>
        </w:trPr>
        <w:tc>
          <w:tcPr>
            <w:tcW w:w="428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right="294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4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66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300"/>
        <w:spacing w:after="0" w:line="28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00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00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1"/>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141" w:lineRule="exact"/>
        <w:rPr>
          <w:sz w:val="24"/>
          <w:szCs w:val="24"/>
          <w:color w:val="auto"/>
        </w:rPr>
      </w:pPr>
    </w:p>
    <w:p>
      <w:pPr>
        <w:ind w:right="34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right="44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ind w:right="64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6" w:lineRule="exact"/>
        <w:rPr>
          <w:sz w:val="24"/>
          <w:szCs w:val="24"/>
          <w:color w:val="auto"/>
        </w:rPr>
      </w:pPr>
    </w:p>
    <w:p>
      <w:pPr>
        <w:ind w:right="50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240"/>
        <w:spacing w:after="0" w:line="284"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New York Stock Exchange on June 30, 2023, was $5.0 billion.</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5, 2024 was 105,829,579</w:t>
      </w:r>
    </w:p>
    <w:p>
      <w:pPr>
        <w:spacing w:after="0" w:line="109"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DOCUMENTS INCORPORATED BY REFERENCE</w:t>
      </w:r>
    </w:p>
    <w:p>
      <w:pPr>
        <w:spacing w:after="0" w:line="68" w:lineRule="exact"/>
        <w:rPr>
          <w:sz w:val="24"/>
          <w:szCs w:val="24"/>
          <w:color w:val="auto"/>
        </w:rPr>
      </w:pPr>
    </w:p>
    <w:p>
      <w:pPr>
        <w:spacing w:after="0"/>
        <w:rPr>
          <w:sz w:val="20"/>
          <w:szCs w:val="20"/>
          <w:color w:val="auto"/>
        </w:rPr>
      </w:pPr>
      <w:r>
        <w:rPr>
          <w:rFonts w:ascii="Arial" w:cs="Arial" w:eastAsia="Arial" w:hAnsi="Arial"/>
          <w:sz w:val="14"/>
          <w:szCs w:val="14"/>
          <w:color w:val="auto"/>
        </w:rPr>
        <w:t>Portions of Parsons’ 2024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2"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80" w:type="dxa"/>
            <w:vAlign w:val="bottom"/>
            <w:gridSpan w:val="11"/>
          </w:tcPr>
          <w:p>
            <w:pPr>
              <w:ind w:left="5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114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8"/>
              </w:rPr>
              <w:t>Business</w:t>
            </w:r>
          </w:p>
        </w:tc>
        <w:tc>
          <w:tcPr>
            <w:tcW w:w="20" w:type="dxa"/>
            <w:vAlign w:val="bottom"/>
            <w:tcBorders>
              <w:bottom w:val="single" w:sz="8" w:color="0000EE"/>
            </w:tcBorders>
          </w:tcPr>
          <w:p>
            <w:pPr>
              <w:spacing w:after="0"/>
              <w:rPr>
                <w:sz w:val="16"/>
                <w:szCs w:val="16"/>
                <w:color w:val="auto"/>
              </w:rPr>
            </w:pPr>
          </w:p>
        </w:tc>
        <w:tc>
          <w:tcPr>
            <w:tcW w:w="8540" w:type="dxa"/>
            <w:vAlign w:val="bottom"/>
            <w:gridSpan w:val="26"/>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1A.</w:t>
            </w:r>
          </w:p>
        </w:tc>
        <w:tc>
          <w:tcPr>
            <w:tcW w:w="9300" w:type="dxa"/>
            <w:vAlign w:val="bottom"/>
            <w:gridSpan w:val="28"/>
          </w:tcPr>
          <w:p>
            <w:pPr>
              <w:spacing w:after="0" w:line="195"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8"/>
                <w:szCs w:val="18"/>
                <w:color w:val="auto"/>
              </w:rPr>
              <w:t>Item 1B.</w:t>
            </w: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2260" w:type="dxa"/>
            <w:vAlign w:val="bottom"/>
            <w:tcBorders>
              <w:bottom w:val="single" w:sz="8" w:color="0000FF"/>
            </w:tcBorders>
            <w:gridSpan w:val="15"/>
          </w:tcPr>
          <w:p>
            <w:pPr>
              <w:spacing w:after="0" w:line="195" w:lineRule="exact"/>
              <w:rPr>
                <w:sz w:val="20"/>
                <w:szCs w:val="20"/>
                <w:color w:val="auto"/>
              </w:rPr>
            </w:pPr>
            <w:r>
              <w:rPr>
                <w:rFonts w:ascii="Arial" w:cs="Arial" w:eastAsia="Arial" w:hAnsi="Arial"/>
                <w:sz w:val="18"/>
                <w:szCs w:val="18"/>
                <w:color w:val="0000FF"/>
                <w:w w:val="99"/>
              </w:rPr>
              <w:t>Unresolved Staff Comments</w:t>
            </w:r>
          </w:p>
        </w:tc>
        <w:tc>
          <w:tcPr>
            <w:tcW w:w="7040" w:type="dxa"/>
            <w:vAlign w:val="bottom"/>
            <w:gridSpan w:val="13"/>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1C.</w:t>
            </w:r>
          </w:p>
        </w:tc>
        <w:tc>
          <w:tcPr>
            <w:tcW w:w="9300" w:type="dxa"/>
            <w:vAlign w:val="bottom"/>
            <w:gridSpan w:val="28"/>
          </w:tcPr>
          <w:p>
            <w:pPr>
              <w:spacing w:after="0" w:line="195" w:lineRule="exact"/>
              <w:rPr>
                <w:sz w:val="20"/>
                <w:szCs w:val="20"/>
                <w:color w:val="auto"/>
              </w:rPr>
            </w:pPr>
            <w:r>
              <w:rPr>
                <w:rFonts w:ascii="Arial" w:cs="Arial" w:eastAsia="Arial" w:hAnsi="Arial"/>
                <w:sz w:val="18"/>
                <w:szCs w:val="18"/>
                <w:color w:val="0000FF"/>
              </w:rPr>
              <w:t>Cybersecurity</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2.</w:t>
            </w:r>
          </w:p>
        </w:tc>
        <w:tc>
          <w:tcPr>
            <w:tcW w:w="1100" w:type="dxa"/>
            <w:vAlign w:val="bottom"/>
            <w:tcBorders>
              <w:top w:val="single" w:sz="8" w:color="0000FF"/>
            </w:tcBorders>
            <w:gridSpan w:val="7"/>
          </w:tcPr>
          <w:p>
            <w:pPr>
              <w:spacing w:after="0" w:line="195" w:lineRule="exact"/>
              <w:rPr>
                <w:sz w:val="20"/>
                <w:szCs w:val="20"/>
                <w:color w:val="auto"/>
              </w:rPr>
            </w:pPr>
            <w:r>
              <w:rPr>
                <w:rFonts w:ascii="Arial" w:cs="Arial" w:eastAsia="Arial" w:hAnsi="Arial"/>
                <w:sz w:val="18"/>
                <w:szCs w:val="18"/>
                <w:color w:val="0000FF"/>
              </w:rPr>
              <w:t>Properties</w:t>
            </w:r>
          </w:p>
        </w:tc>
        <w:tc>
          <w:tcPr>
            <w:tcW w:w="8200" w:type="dxa"/>
            <w:vAlign w:val="bottom"/>
            <w:gridSpan w:val="21"/>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8"/>
                <w:szCs w:val="18"/>
                <w:color w:val="auto"/>
              </w:rPr>
              <w:t>Item 3.</w:t>
            </w: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500" w:type="dxa"/>
            <w:vAlign w:val="bottom"/>
            <w:tcBorders>
              <w:bottom w:val="single" w:sz="8" w:color="0000FF"/>
            </w:tcBorders>
            <w:gridSpan w:val="9"/>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20" w:type="dxa"/>
            <w:vAlign w:val="bottom"/>
            <w:tcBorders>
              <w:bottom w:val="single" w:sz="8" w:color="0000EE"/>
            </w:tcBorders>
          </w:tcPr>
          <w:p>
            <w:pPr>
              <w:spacing w:after="0"/>
              <w:rPr>
                <w:sz w:val="17"/>
                <w:szCs w:val="17"/>
                <w:color w:val="auto"/>
              </w:rPr>
            </w:pPr>
          </w:p>
        </w:tc>
        <w:tc>
          <w:tcPr>
            <w:tcW w:w="7780" w:type="dxa"/>
            <w:vAlign w:val="bottom"/>
            <w:gridSpan w:val="18"/>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4.</w:t>
            </w:r>
          </w:p>
        </w:tc>
        <w:tc>
          <w:tcPr>
            <w:tcW w:w="9300" w:type="dxa"/>
            <w:vAlign w:val="bottom"/>
            <w:gridSpan w:val="28"/>
          </w:tcPr>
          <w:p>
            <w:pPr>
              <w:spacing w:after="0" w:line="195" w:lineRule="exact"/>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5.</w:t>
            </w:r>
          </w:p>
        </w:tc>
        <w:tc>
          <w:tcPr>
            <w:tcW w:w="8880" w:type="dxa"/>
            <w:vAlign w:val="bottom"/>
            <w:tcBorders>
              <w:bottom w:val="single" w:sz="8" w:color="0000FF"/>
            </w:tcBorders>
            <w:gridSpan w:val="27"/>
          </w:tcPr>
          <w:p>
            <w:pPr>
              <w:spacing w:after="0" w:line="195" w:lineRule="exact"/>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42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6.</w:t>
            </w:r>
          </w:p>
        </w:tc>
        <w:tc>
          <w:tcPr>
            <w:tcW w:w="82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rPr>
              <w:t>Reserved</w:t>
            </w:r>
          </w:p>
        </w:tc>
        <w:tc>
          <w:tcPr>
            <w:tcW w:w="8480" w:type="dxa"/>
            <w:vAlign w:val="bottom"/>
            <w:gridSpan w:val="25"/>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FF"/>
            </w:tcBorders>
            <w:gridSpan w:val="23"/>
          </w:tcPr>
          <w:p>
            <w:pPr>
              <w:spacing w:after="0" w:line="195" w:lineRule="exact"/>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220" w:type="dxa"/>
            <w:vAlign w:val="bottom"/>
            <w:gridSpan w:val="5"/>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7A.</w:t>
            </w:r>
          </w:p>
        </w:tc>
        <w:tc>
          <w:tcPr>
            <w:tcW w:w="4720" w:type="dxa"/>
            <w:vAlign w:val="bottom"/>
            <w:tcBorders>
              <w:bottom w:val="single" w:sz="8" w:color="0000FF"/>
            </w:tcBorders>
            <w:gridSpan w:val="20"/>
          </w:tcPr>
          <w:p>
            <w:pPr>
              <w:spacing w:after="0" w:line="195"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580" w:type="dxa"/>
            <w:vAlign w:val="bottom"/>
            <w:gridSpan w:val="8"/>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8.</w:t>
            </w:r>
          </w:p>
        </w:tc>
        <w:tc>
          <w:tcPr>
            <w:tcW w:w="9300" w:type="dxa"/>
            <w:vAlign w:val="bottom"/>
            <w:gridSpan w:val="28"/>
          </w:tcPr>
          <w:p>
            <w:pPr>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8"/>
                <w:szCs w:val="18"/>
                <w:color w:val="auto"/>
              </w:rPr>
              <w:t>Item 9.</w:t>
            </w: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7180" w:type="dxa"/>
            <w:vAlign w:val="bottom"/>
            <w:tcBorders>
              <w:bottom w:val="single" w:sz="8" w:color="0000FF"/>
            </w:tcBorders>
            <w:gridSpan w:val="24"/>
          </w:tcPr>
          <w:p>
            <w:pPr>
              <w:spacing w:after="0" w:line="195" w:lineRule="exact"/>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120" w:type="dxa"/>
            <w:vAlign w:val="bottom"/>
            <w:gridSpan w:val="4"/>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9A.</w:t>
            </w:r>
          </w:p>
        </w:tc>
        <w:tc>
          <w:tcPr>
            <w:tcW w:w="2000" w:type="dxa"/>
            <w:vAlign w:val="bottom"/>
            <w:tcBorders>
              <w:bottom w:val="single" w:sz="8" w:color="0000FF"/>
            </w:tcBorders>
            <w:gridSpan w:val="13"/>
          </w:tcPr>
          <w:p>
            <w:pPr>
              <w:spacing w:after="0" w:line="195" w:lineRule="exact"/>
              <w:rPr>
                <w:sz w:val="20"/>
                <w:szCs w:val="20"/>
                <w:color w:val="auto"/>
              </w:rPr>
            </w:pPr>
            <w:r>
              <w:rPr>
                <w:rFonts w:ascii="Arial" w:cs="Arial" w:eastAsia="Arial" w:hAnsi="Arial"/>
                <w:sz w:val="18"/>
                <w:szCs w:val="18"/>
                <w:color w:val="0000FF"/>
                <w:w w:val="99"/>
              </w:rPr>
              <w:t>Controls and Procedures</w:t>
            </w:r>
          </w:p>
        </w:tc>
        <w:tc>
          <w:tcPr>
            <w:tcW w:w="7300" w:type="dxa"/>
            <w:vAlign w:val="bottom"/>
            <w:gridSpan w:val="15"/>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9B.</w:t>
            </w:r>
          </w:p>
        </w:tc>
        <w:tc>
          <w:tcPr>
            <w:tcW w:w="9300" w:type="dxa"/>
            <w:vAlign w:val="bottom"/>
            <w:gridSpan w:val="28"/>
          </w:tcPr>
          <w:p>
            <w:pPr>
              <w:spacing w:after="0" w:line="195"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8"/>
                <w:szCs w:val="18"/>
                <w:color w:val="auto"/>
              </w:rPr>
              <w:t>Item 9C.</w:t>
            </w: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8"/>
          </w:tcPr>
          <w:p>
            <w:pPr>
              <w:spacing w:after="0" w:line="19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FF"/>
            </w:tcBorders>
            <w:gridSpan w:val="19"/>
          </w:tcPr>
          <w:p>
            <w:pPr>
              <w:spacing w:after="0" w:line="195" w:lineRule="exact"/>
              <w:rPr>
                <w:sz w:val="20"/>
                <w:szCs w:val="20"/>
                <w:color w:val="auto"/>
              </w:rPr>
            </w:pPr>
            <w:r>
              <w:rPr>
                <w:rFonts w:ascii="Arial" w:cs="Arial" w:eastAsia="Arial" w:hAnsi="Arial"/>
                <w:sz w:val="18"/>
                <w:szCs w:val="18"/>
                <w:color w:val="0000FF"/>
                <w:w w:val="99"/>
              </w:rPr>
              <w:t>Directors, Executive Officers and Corporate Governance</w:t>
            </w:r>
          </w:p>
        </w:tc>
        <w:tc>
          <w:tcPr>
            <w:tcW w:w="4800" w:type="dxa"/>
            <w:vAlign w:val="bottom"/>
            <w:gridSpan w:val="9"/>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11.</w:t>
            </w:r>
          </w:p>
        </w:tc>
        <w:tc>
          <w:tcPr>
            <w:tcW w:w="2000" w:type="dxa"/>
            <w:vAlign w:val="bottom"/>
            <w:tcBorders>
              <w:bottom w:val="single" w:sz="8" w:color="0000FF"/>
            </w:tcBorders>
            <w:gridSpan w:val="13"/>
          </w:tcPr>
          <w:p>
            <w:pPr>
              <w:spacing w:after="0" w:line="195" w:lineRule="exact"/>
              <w:rPr>
                <w:sz w:val="20"/>
                <w:szCs w:val="20"/>
                <w:color w:val="auto"/>
              </w:rPr>
            </w:pPr>
            <w:r>
              <w:rPr>
                <w:rFonts w:ascii="Arial" w:cs="Arial" w:eastAsia="Arial" w:hAnsi="Arial"/>
                <w:sz w:val="18"/>
                <w:szCs w:val="18"/>
                <w:color w:val="0000FF"/>
                <w:w w:val="99"/>
              </w:rPr>
              <w:t>Executive Compensation</w:t>
            </w:r>
          </w:p>
        </w:tc>
        <w:tc>
          <w:tcPr>
            <w:tcW w:w="20" w:type="dxa"/>
            <w:vAlign w:val="bottom"/>
            <w:tcBorders>
              <w:bottom w:val="single" w:sz="8" w:color="0000EE"/>
            </w:tcBorders>
          </w:tcPr>
          <w:p>
            <w:pPr>
              <w:spacing w:after="0"/>
              <w:rPr>
                <w:sz w:val="17"/>
                <w:szCs w:val="17"/>
                <w:color w:val="auto"/>
              </w:rPr>
            </w:pPr>
          </w:p>
        </w:tc>
        <w:tc>
          <w:tcPr>
            <w:tcW w:w="7280" w:type="dxa"/>
            <w:vAlign w:val="bottom"/>
            <w:gridSpan w:val="14"/>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12.</w:t>
            </w:r>
          </w:p>
        </w:tc>
        <w:tc>
          <w:tcPr>
            <w:tcW w:w="9300" w:type="dxa"/>
            <w:vAlign w:val="bottom"/>
            <w:gridSpan w:val="28"/>
          </w:tcPr>
          <w:p>
            <w:pPr>
              <w:spacing w:after="0" w:line="19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13.</w:t>
            </w:r>
          </w:p>
        </w:tc>
        <w:tc>
          <w:tcPr>
            <w:tcW w:w="6080" w:type="dxa"/>
            <w:vAlign w:val="bottom"/>
            <w:tcBorders>
              <w:top w:val="single" w:sz="8" w:color="0000FF"/>
              <w:bottom w:val="single" w:sz="8" w:color="0000FF"/>
            </w:tcBorders>
            <w:gridSpan w:val="22"/>
          </w:tcPr>
          <w:p>
            <w:pPr>
              <w:spacing w:after="0" w:line="195" w:lineRule="exact"/>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tcBorders>
              <w:top w:val="single" w:sz="8" w:color="0000FF"/>
            </w:tcBorders>
            <w:gridSpan w:val="3"/>
          </w:tcPr>
          <w:p>
            <w:pPr>
              <w:spacing w:after="0"/>
              <w:rPr>
                <w:sz w:val="17"/>
                <w:szCs w:val="17"/>
                <w:color w:val="auto"/>
              </w:rPr>
            </w:pPr>
          </w:p>
        </w:tc>
        <w:tc>
          <w:tcPr>
            <w:tcW w:w="1300" w:type="dxa"/>
            <w:vAlign w:val="bottom"/>
            <w:gridSpan w:val="3"/>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14.</w:t>
            </w:r>
          </w:p>
        </w:tc>
        <w:tc>
          <w:tcPr>
            <w:tcW w:w="9300" w:type="dxa"/>
            <w:vAlign w:val="bottom"/>
            <w:gridSpan w:val="28"/>
          </w:tcPr>
          <w:p>
            <w:pPr>
              <w:spacing w:after="0" w:line="195" w:lineRule="exact"/>
              <w:rPr>
                <w:sz w:val="20"/>
                <w:szCs w:val="20"/>
                <w:color w:val="auto"/>
              </w:rPr>
            </w:pPr>
            <w:r>
              <w:rPr>
                <w:rFonts w:ascii="Arial" w:cs="Arial" w:eastAsia="Arial" w:hAnsi="Arial"/>
                <w:sz w:val="18"/>
                <w:szCs w:val="18"/>
                <w:color w:val="0000FF"/>
              </w:rPr>
              <w:t>Principal Accounting Fees and Services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15.</w:t>
            </w:r>
          </w:p>
        </w:tc>
        <w:tc>
          <w:tcPr>
            <w:tcW w:w="3220" w:type="dxa"/>
            <w:vAlign w:val="bottom"/>
            <w:tcBorders>
              <w:bottom w:val="single" w:sz="8" w:color="0000FF"/>
            </w:tcBorders>
            <w:gridSpan w:val="17"/>
          </w:tcPr>
          <w:p>
            <w:pPr>
              <w:spacing w:after="0" w:line="195" w:lineRule="exact"/>
              <w:rPr>
                <w:sz w:val="20"/>
                <w:szCs w:val="20"/>
                <w:color w:val="auto"/>
              </w:rPr>
            </w:pPr>
            <w:r>
              <w:rPr>
                <w:rFonts w:ascii="Arial" w:cs="Arial" w:eastAsia="Arial" w:hAnsi="Arial"/>
                <w:sz w:val="18"/>
                <w:szCs w:val="18"/>
                <w:color w:val="0000FF"/>
                <w:w w:val="99"/>
              </w:rPr>
              <w:t>Exhibits, Financial Statement Schedules</w:t>
            </w:r>
          </w:p>
        </w:tc>
        <w:tc>
          <w:tcPr>
            <w:tcW w:w="6080" w:type="dxa"/>
            <w:vAlign w:val="bottom"/>
            <w:gridSpan w:val="11"/>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16</w:t>
            </w:r>
          </w:p>
        </w:tc>
        <w:tc>
          <w:tcPr>
            <w:tcW w:w="1680" w:type="dxa"/>
            <w:vAlign w:val="bottom"/>
            <w:tcBorders>
              <w:bottom w:val="single" w:sz="8" w:color="0000FF"/>
            </w:tcBorders>
            <w:gridSpan w:val="11"/>
          </w:tcPr>
          <w:p>
            <w:pPr>
              <w:spacing w:after="0" w:line="195" w:lineRule="exact"/>
              <w:rPr>
                <w:sz w:val="20"/>
                <w:szCs w:val="20"/>
                <w:color w:val="auto"/>
              </w:rPr>
            </w:pPr>
            <w:r>
              <w:rPr>
                <w:rFonts w:ascii="Arial" w:cs="Arial" w:eastAsia="Arial" w:hAnsi="Arial"/>
                <w:sz w:val="18"/>
                <w:szCs w:val="18"/>
                <w:color w:val="0000FF"/>
                <w:w w:val="99"/>
              </w:rPr>
              <w:t>Form 10-K Summary</w:t>
            </w:r>
          </w:p>
        </w:tc>
        <w:tc>
          <w:tcPr>
            <w:tcW w:w="7620" w:type="dxa"/>
            <w:vAlign w:val="bottom"/>
            <w:gridSpan w:val="17"/>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40" w:type="dxa"/>
            <w:vAlign w:val="bottom"/>
            <w:tcBorders>
              <w:bottom w:val="single" w:sz="8" w:color="0000FF"/>
            </w:tcBorders>
            <w:gridSpan w:val="6"/>
          </w:tcPr>
          <w:p>
            <w:pPr>
              <w:spacing w:after="0" w:line="195" w:lineRule="exact"/>
              <w:rPr>
                <w:sz w:val="20"/>
                <w:szCs w:val="20"/>
                <w:color w:val="auto"/>
              </w:rPr>
            </w:pPr>
            <w:r>
              <w:rPr>
                <w:rFonts w:ascii="Arial" w:cs="Arial" w:eastAsia="Arial" w:hAnsi="Arial"/>
                <w:sz w:val="18"/>
                <w:szCs w:val="18"/>
                <w:color w:val="0000FF"/>
                <w:w w:val="98"/>
              </w:rPr>
              <w:t>Exhibit Index</w:t>
            </w:r>
          </w:p>
        </w:tc>
        <w:tc>
          <w:tcPr>
            <w:tcW w:w="8260" w:type="dxa"/>
            <w:vAlign w:val="bottom"/>
            <w:gridSpan w:val="22"/>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9300" w:type="dxa"/>
            <w:vAlign w:val="bottom"/>
            <w:gridSpan w:val="28"/>
          </w:tcPr>
          <w:p>
            <w:pPr>
              <w:spacing w:after="0"/>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7600" w:type="dxa"/>
            <w:vAlign w:val="bottom"/>
            <w:gridSpan w:val="2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8"/>
          </w:tcPr>
          <w:p>
            <w:pPr>
              <w:spacing w:after="0" w:line="195" w:lineRule="exact"/>
              <w:rPr>
                <w:sz w:val="20"/>
                <w:szCs w:val="20"/>
                <w:color w:val="auto"/>
              </w:rPr>
            </w:pPr>
            <w:r>
              <w:rPr>
                <w:rFonts w:ascii="Arial" w:cs="Arial" w:eastAsia="Arial" w:hAnsi="Arial"/>
                <w:sz w:val="18"/>
                <w:szCs w:val="18"/>
                <w:color w:val="0000FF"/>
              </w:rPr>
              <w:t>Index to Consolidated Financial Statements and Report of Independent Registered Public Accounting Firm</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475615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77" w:lineRule="exact"/>
        <w:rPr>
          <w:sz w:val="20"/>
          <w:szCs w:val="20"/>
          <w:color w:val="auto"/>
        </w:rPr>
      </w:pPr>
    </w:p>
    <w:p>
      <w:pPr>
        <w:ind w:left="1020" w:right="32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issue that compromises our relationships with the U.S. federal government or its agencies or other state, local or foreign governments or agencies;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issues that damage our professional reputation;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priorities that shift expenditures away from agencies or programs that we support;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long-term government contracts, which are subject to the government’s budgetary approval process;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addressable markets and the amount of government spending on private contractors;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or our employees to obtain and maintain necessary security clearances or certifications;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comply with numerous laws and regulations;</w:t>
      </w:r>
    </w:p>
    <w:p>
      <w:pPr>
        <w:spacing w:after="0" w:line="115" w:lineRule="exact"/>
        <w:rPr>
          <w:rFonts w:ascii="Times New Roman" w:cs="Times New Roman" w:eastAsia="Times New Roman" w:hAnsi="Times New Roman"/>
          <w:sz w:val="18"/>
          <w:szCs w:val="18"/>
          <w:color w:val="auto"/>
        </w:rPr>
      </w:pPr>
    </w:p>
    <w:p>
      <w:pPr>
        <w:ind w:left="1020" w:right="4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 procurement, contract or other practices or the adoption by governments of new laws, rules, regulations and programs in a manner adverse to us;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our government contracts, particularly our contracts with the U.S. federal government;</w:t>
      </w:r>
    </w:p>
    <w:p>
      <w:pPr>
        <w:spacing w:after="0" w:line="11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effectively in the competitive bidding process and delays, contract terminations or cancellations caused by competitors’ protests of major contract awards received by us;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under certain of our contracts;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inability to attract, train or retain employees with the requisite skills, experience and security clearances;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loss of members of senior management or failure to develop new leaders;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misconduct or other improper activities from our employees or subcontractors;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the full value of our backlog and the timing of our receipt of revenue under contracts included in backlog;</w:t>
      </w:r>
    </w:p>
    <w:p>
      <w:pPr>
        <w:spacing w:after="0" w:line="115" w:lineRule="exact"/>
        <w:rPr>
          <w:rFonts w:ascii="Times New Roman" w:cs="Times New Roman" w:eastAsia="Times New Roman" w:hAnsi="Times New Roman"/>
          <w:sz w:val="18"/>
          <w:szCs w:val="18"/>
          <w:color w:val="auto"/>
        </w:rPr>
      </w:pPr>
    </w:p>
    <w:p>
      <w:pPr>
        <w:ind w:left="1020" w:right="4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mix of our contracts and our ability to accurately estimate or otherwise recover expenses, time and resources for our contracts;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used in recognizing revenue;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internal system or service failures and security breaches;</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3" w:name="page4"/>
    <w:bookmarkEnd w:id="3"/>
    <w:p>
      <w:pPr>
        <w:spacing w:after="0" w:line="83" w:lineRule="exact"/>
        <w:rPr>
          <w:sz w:val="20"/>
          <w:szCs w:val="20"/>
          <w:color w:val="auto"/>
        </w:rPr>
      </w:pPr>
    </w:p>
    <w:p>
      <w:pPr>
        <w:ind w:left="1020" w:right="740" w:hanging="504"/>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inherent uncertainties and potential adverse developments in legal proceedings, including litigation, audits, reviews and investigations, which may result in materially adverse judgments, settlements or other unfavorable outcomes; and</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factors listed under “Risk Factors” and elsewhere in this report.</w:t>
      </w:r>
    </w:p>
    <w:p>
      <w:pPr>
        <w:spacing w:after="0" w:line="22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captioned “Risk Factors”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jc w:val="both"/>
        <w:ind w:right="160" w:firstLine="509"/>
        <w:spacing w:after="0" w:line="274" w:lineRule="auto"/>
        <w:rPr>
          <w:sz w:val="20"/>
          <w:szCs w:val="20"/>
          <w:color w:val="auto"/>
        </w:rPr>
      </w:pPr>
      <w:r>
        <w:rPr>
          <w:rFonts w:ascii="Arial" w:cs="Arial" w:eastAsia="Arial" w:hAnsi="Arial"/>
          <w:sz w:val="17"/>
          <w:szCs w:val="17"/>
          <w:color w:val="auto"/>
        </w:rPr>
        <w:t>You should read this report and the documents that we reference in this report and have filed as exhibits to the registration statement of which this report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53"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Parsons is a leading provider of the solutions and services required to support the complex security environment, unprecedented global infrastructure demand and a world of digital transformation effecting our customers. For 80 years, we have solved our customers’ most challenging problems and enabled a safer, smarter, more secure, and more connected world thanks to a culture of innovation, a focus on delivery, and a mission -focused workforce. Across those eight decades, we’ve established ourselves as a leading provider of integrated solutions and services that solve emerging customer challenges leveraging our depth of experience and expertise in the markets where we operate. Today, that legacy of success has never been more true or more important, with Parsons uniquely positioned to solve our customer’s most critical challenges.</w:t>
      </w:r>
    </w:p>
    <w:p>
      <w:pPr>
        <w:spacing w:after="0" w:line="18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have developed significant expertise and differentiated capabilities in key end markets including cybersecurity and intelligence, space and missile defense, critical infrastructure protection, transportation, environmental remediation and urban development. Whether a first-of-a-kind sustainable, industrial city that runs on 100% renewable energy, security-as-a-service platform that uses advanced analytics and artificial intelligence/machine learning to defend against utility and water cyber threats, or elimination of emerging contaminants from the environment, we deliver integrated solutions that our customers need and the world demands. Across those programs, we have developed longstanding relationships with a diverse global customer set that includes intelligence agencies, the U.S. military, state and local governments, and international clients; all of whom know Parsons as a trusted partner sought out for our commitment to their success. We’ve further differentiated ourselves with those customers by delivering solutions through our One Parsons approach, bringing together capabilities from across our markets to provide integrated and unique offerings that leverage our global experience and in-depth technological expertise in areas of emerging demand like cyber protection for critical infrastructure.</w:t>
      </w:r>
    </w:p>
    <w:p>
      <w:pPr>
        <w:spacing w:after="0" w:line="18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Organizationally, we operate in two reportable segments, Federal Solutions and Critical Infrastructure, with revenue contribution of 55% and 45%, respectively, and adjusted earnings before interest, taxes, depreciation and amortization (EBITDA) contribution of 62% and 38%, respectively, for the year ended December 31, 2023 (“fiscal 2023”). See "Management’s Discussion and Analysis of Financial Condition and Results of Operations—Segment Results” for further discussion on our segments.</w:t>
      </w:r>
    </w:p>
    <w:p>
      <w:pPr>
        <w:spacing w:after="0" w:line="176" w:lineRule="exact"/>
        <w:rPr>
          <w:sz w:val="20"/>
          <w:szCs w:val="20"/>
          <w:color w:val="auto"/>
        </w:rPr>
      </w:pPr>
    </w:p>
    <w:p>
      <w:pPr>
        <w:ind w:right="180" w:firstLine="509"/>
        <w:spacing w:after="0"/>
        <w:rPr>
          <w:sz w:val="20"/>
          <w:szCs w:val="20"/>
          <w:color w:val="auto"/>
        </w:rPr>
      </w:pPr>
      <w:r>
        <w:rPr>
          <w:rFonts w:ascii="Arial" w:cs="Arial" w:eastAsia="Arial" w:hAnsi="Arial"/>
          <w:sz w:val="18"/>
          <w:szCs w:val="18"/>
          <w:i w:val="1"/>
          <w:iCs w:val="1"/>
          <w:color w:val="auto"/>
        </w:rPr>
        <w:t xml:space="preserve">Federal Solutions: </w:t>
      </w:r>
      <w:r>
        <w:rPr>
          <w:rFonts w:ascii="Arial" w:cs="Arial" w:eastAsia="Arial" w:hAnsi="Arial"/>
          <w:sz w:val="18"/>
          <w:szCs w:val="18"/>
          <w:color w:val="auto"/>
        </w:rPr>
        <w:t>Our Federal Solutions segment is an advanced technology provider to the U.S. government, delivering timely,</w:t>
      </w:r>
      <w:r>
        <w:rPr>
          <w:rFonts w:ascii="Arial" w:cs="Arial" w:eastAsia="Arial" w:hAnsi="Arial"/>
          <w:sz w:val="18"/>
          <w:szCs w:val="18"/>
          <w:i w:val="1"/>
          <w:iCs w:val="1"/>
          <w:color w:val="auto"/>
        </w:rPr>
        <w:t xml:space="preserve"> </w:t>
      </w:r>
      <w:r>
        <w:rPr>
          <w:rFonts w:ascii="Arial" w:cs="Arial" w:eastAsia="Arial" w:hAnsi="Arial"/>
          <w:sz w:val="18"/>
          <w:szCs w:val="18"/>
          <w:color w:val="auto"/>
        </w:rPr>
        <w:t>cost-effective solutions for mission-critical projects. We provide critical technologies, including cybersecurity; missile defense; intelligence; space launch and ground systems; space and weapon system resiliency; geospatial intelligence; signals intelligence; environmental remediation; border security, critical infrastructure protection; counter unmanned air systems; biometrics and biosurveillance. The U.S. government and its agencies represent substantially all of the revenue of our Federal Solutions segment. These U.S. government agencies include the Intelligence Community, the Departments of Defense, Energy, Labor, State, Homeland Security, and Commerce, the United States Postal Service, the National Aeronautics and Space Administration, and the Federal Aviation Administration.</w:t>
      </w:r>
    </w:p>
    <w:p>
      <w:pPr>
        <w:spacing w:after="0" w:line="183" w:lineRule="exact"/>
        <w:rPr>
          <w:sz w:val="20"/>
          <w:szCs w:val="20"/>
          <w:color w:val="auto"/>
        </w:rPr>
      </w:pPr>
    </w:p>
    <w:p>
      <w:pPr>
        <w:ind w:right="100" w:firstLine="509"/>
        <w:spacing w:after="0"/>
        <w:rPr>
          <w:sz w:val="20"/>
          <w:szCs w:val="20"/>
          <w:color w:val="auto"/>
        </w:rPr>
      </w:pPr>
      <w:r>
        <w:rPr>
          <w:rFonts w:ascii="Arial" w:cs="Arial" w:eastAsia="Arial" w:hAnsi="Arial"/>
          <w:sz w:val="18"/>
          <w:szCs w:val="18"/>
          <w:i w:val="1"/>
          <w:iCs w:val="1"/>
          <w:color w:val="auto"/>
        </w:rPr>
        <w:t xml:space="preserve">Critical Infrastructure: </w:t>
      </w:r>
      <w:r>
        <w:rPr>
          <w:rFonts w:ascii="Arial" w:cs="Arial" w:eastAsia="Arial" w:hAnsi="Arial"/>
          <w:sz w:val="18"/>
          <w:szCs w:val="18"/>
          <w:color w:val="auto"/>
        </w:rPr>
        <w:t>Our Critical Infrastructure segment provides program management, design and engineering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owners representative support for complex physical and digital infrastructure around the globe. We develop digital solutions focused on next generation aviation; rail and transit; bridges, roads and highways; leveraging sensors and data to drive smart sustainable infrastructure. Our capabilities in environmental remediation, water and wastewater treatment systems, and urban development allow us to deliver value to our customers by employing advanced technologies, improving timelines and reducing costs while reducing environmental impacts and improving the quality of life. We design and lead the delivery of complex infrastructure projects, leveraging our expertise as a leader in bridges, transportation, and urban development to support customers in programs that are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5" w:name="page6"/>
    <w:bookmarkEnd w:id="5"/>
    <w:p>
      <w:pPr>
        <w:spacing w:after="0" w:line="19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transforming the global landscape. We serve a diverse global customer base including federal, state, municipal and industry customers, and private sector infrastructure owners, such as the transportation authorities for the cities of Los Angeles, San Francisco, New York, and Paris, the state of New Jersey, AMTRAK, CSX, Metrolinx (Ontario, Canada), Southern Nevada Water Authority, Riyadh Metro, Dubai Roads and Transportation Authority (Dubai RTA), Abu Dhabi Department of Municipalities and Transport, Qatar Public Works Authority (Qatar PWA), the Saudi Arabia Public Investment Fund and international developers.</w:t>
      </w:r>
    </w:p>
    <w:p>
      <w:pPr>
        <w:spacing w:after="0" w:line="179"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Advances in technology and a continued focus on sustainability are dramatically shifting the operating landscape across our markets, with pressing challenges ranging from confronting increasingly sophisticated cybersecurity threats to upgrading aging infrastructure to reducing environmental footprint and impact. Our customers are seeking smart technology-enabled solutions leveraging artificial intelligence to enhance and transform their systems performance and to address these challenges. Parsons’ wide-ranging capabilities enable us to provide our services, products and solutions across the national security and critical infrastructure markets, and we are well positioned to benefit from the trends in these markets. We have capabilities in the following four areas that span our two segments and four business units:</w:t>
      </w:r>
    </w:p>
    <w:p>
      <w:pPr>
        <w:spacing w:after="0" w:line="169" w:lineRule="exact"/>
        <w:rPr>
          <w:sz w:val="20"/>
          <w:szCs w:val="20"/>
          <w:color w:val="auto"/>
        </w:rPr>
      </w:pPr>
    </w:p>
    <w:p>
      <w:pPr>
        <w:jc w:val="both"/>
        <w:ind w:right="400" w:firstLine="509"/>
        <w:spacing w:after="0" w:line="252" w:lineRule="auto"/>
        <w:rPr>
          <w:sz w:val="20"/>
          <w:szCs w:val="20"/>
          <w:color w:val="auto"/>
        </w:rPr>
      </w:pPr>
      <w:r>
        <w:rPr>
          <w:rFonts w:ascii="Arial" w:cs="Arial" w:eastAsia="Arial" w:hAnsi="Arial"/>
          <w:sz w:val="18"/>
          <w:szCs w:val="18"/>
          <w:b w:val="1"/>
          <w:bCs w:val="1"/>
          <w:color w:val="auto"/>
        </w:rPr>
        <w:t xml:space="preserve">Systems Integration: </w:t>
      </w:r>
      <w:r>
        <w:rPr>
          <w:rFonts w:ascii="Arial" w:cs="Arial" w:eastAsia="Arial" w:hAnsi="Arial"/>
          <w:sz w:val="18"/>
          <w:szCs w:val="18"/>
          <w:color w:val="auto"/>
        </w:rPr>
        <w:t>We provide engineering services and technology for large digital and physical systems with high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complexity. We lead projects from concept development through research and design, implementation, testing and verification, ensuring interoperability of these complex, disparate systems.</w:t>
      </w:r>
    </w:p>
    <w:p>
      <w:pPr>
        <w:spacing w:after="0" w:line="17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b w:val="1"/>
          <w:bCs w:val="1"/>
          <w:color w:val="auto"/>
        </w:rPr>
        <w:t xml:space="preserve">Program Management: </w:t>
      </w:r>
      <w:r>
        <w:rPr>
          <w:rFonts w:ascii="Arial" w:cs="Arial" w:eastAsia="Arial" w:hAnsi="Arial"/>
          <w:sz w:val="18"/>
          <w:szCs w:val="18"/>
          <w:color w:val="auto"/>
        </w:rPr>
        <w:t>We provide expertise and technology to advance our customers’ execution of large, complex projects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defined sustainability, technical, quality, time and cost parameters.</w:t>
      </w:r>
    </w:p>
    <w:p>
      <w:pPr>
        <w:spacing w:after="0" w:line="153" w:lineRule="exact"/>
        <w:rPr>
          <w:sz w:val="20"/>
          <w:szCs w:val="20"/>
          <w:color w:val="auto"/>
        </w:rPr>
      </w:pPr>
    </w:p>
    <w:p>
      <w:pPr>
        <w:ind w:right="200" w:firstLine="509"/>
        <w:spacing w:after="0" w:line="252" w:lineRule="auto"/>
        <w:rPr>
          <w:sz w:val="20"/>
          <w:szCs w:val="20"/>
          <w:color w:val="auto"/>
        </w:rPr>
      </w:pPr>
      <w:r>
        <w:rPr>
          <w:rFonts w:ascii="Arial" w:cs="Arial" w:eastAsia="Arial" w:hAnsi="Arial"/>
          <w:sz w:val="18"/>
          <w:szCs w:val="18"/>
          <w:b w:val="1"/>
          <w:bCs w:val="1"/>
          <w:color w:val="auto"/>
        </w:rPr>
        <w:t xml:space="preserve">Design Engineering: </w:t>
      </w:r>
      <w:r>
        <w:rPr>
          <w:rFonts w:ascii="Arial" w:cs="Arial" w:eastAsia="Arial" w:hAnsi="Arial"/>
          <w:sz w:val="18"/>
          <w:szCs w:val="18"/>
          <w:color w:val="auto"/>
        </w:rPr>
        <w:t>We provide advanced systems and infrastructure engineering design associated with utility capital projects,</w:t>
      </w:r>
      <w:r>
        <w:rPr>
          <w:rFonts w:ascii="Arial" w:cs="Arial" w:eastAsia="Arial" w:hAnsi="Arial"/>
          <w:sz w:val="18"/>
          <w:szCs w:val="18"/>
          <w:b w:val="1"/>
          <w:bCs w:val="1"/>
          <w:color w:val="auto"/>
        </w:rPr>
        <w:t xml:space="preserve"> </w:t>
      </w:r>
      <w:r>
        <w:rPr>
          <w:rFonts w:ascii="Arial" w:cs="Arial" w:eastAsia="Arial" w:hAnsi="Arial"/>
          <w:sz w:val="18"/>
          <w:szCs w:val="18"/>
          <w:color w:val="auto"/>
        </w:rPr>
        <w:t>water/wastewater treatment, environmental remediation, ammunition plant upgrades, roads and highways, bridges, rail and transit systems and other associated infrastructure.</w:t>
      </w:r>
    </w:p>
    <w:p>
      <w:pPr>
        <w:spacing w:after="0" w:line="171"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b w:val="1"/>
          <w:bCs w:val="1"/>
          <w:color w:val="auto"/>
        </w:rPr>
        <w:t xml:space="preserve">Product Development: </w:t>
      </w:r>
      <w:r>
        <w:rPr>
          <w:rFonts w:ascii="Arial" w:cs="Arial" w:eastAsia="Arial" w:hAnsi="Arial"/>
          <w:sz w:val="18"/>
          <w:szCs w:val="18"/>
          <w:color w:val="auto"/>
        </w:rPr>
        <w:t>We develop software and hardware across many domains and mission-specific applications.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engineers and developers design, develop, integrate, operate and sustain mission-critical software and hardware products for intelligence, defense and infrastructure customers.</w:t>
      </w:r>
    </w:p>
    <w:p>
      <w:pPr>
        <w:spacing w:after="0" w:line="171"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Our customer relationships, which are based on a long history of successfully delivering complex technical services, are key to our success. We are often involved in the early stages of our customers’ planning processes, which allows us to efficiently optimize our service delivery model. These relationships, along with our technical expertise and intellectual property, enable Parsons to successfully deliver solutions that meet our customers’ demanding technical and execution requirements and fulfill our corporate purpose of developing a better world.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 Products and Solutions</w:t>
      </w:r>
    </w:p>
    <w:p>
      <w:pPr>
        <w:spacing w:after="0" w:line="103"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Within each of our segments, we focus our solutions, products and services on the needs of customers in each of our business units. Parsons is differentiated by our people, processes and technology that work together to develop, rapidly prototype and deploy specialized hardware, software and infrastructure solutions to meet continually evolving customer missions and needs. With a culture driven by agility, innovation and collaboration, we deliver operationally proven capabilities in emerging technical areas, including advanced analytics, artificial intelligence/machine learning, cybersecurity, electronic warfare, environmental remediation and space systems. We perform systems integration, product development, program management and engineering across our segments and business units.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83" w:lineRule="exact"/>
        <w:rPr>
          <w:sz w:val="20"/>
          <w:szCs w:val="20"/>
          <w:color w:val="auto"/>
        </w:rPr>
      </w:pPr>
    </w:p>
    <w:p>
      <w:pPr>
        <w:ind w:right="300" w:firstLine="509"/>
        <w:spacing w:after="0" w:line="252" w:lineRule="auto"/>
        <w:rPr>
          <w:sz w:val="20"/>
          <w:szCs w:val="20"/>
          <w:color w:val="auto"/>
        </w:rPr>
      </w:pPr>
      <w:r>
        <w:rPr>
          <w:rFonts w:ascii="Arial" w:cs="Arial" w:eastAsia="Arial" w:hAnsi="Arial"/>
          <w:sz w:val="18"/>
          <w:szCs w:val="18"/>
          <w:color w:val="auto"/>
        </w:rPr>
        <w:t xml:space="preserve">In fiscal 2023, we generated revenues of $5.4 billion, net income attributable to Parsons Corporation of $161.1 million and Adjusted EBITDA of $464.7 million. For a definition of Adjusted EBITDA and reconciliation to net income attributable to Parsons Corporation, 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w:t>
      </w:r>
    </w:p>
    <w:p>
      <w:pPr>
        <w:spacing w:after="0" w:line="63" w:lineRule="exact"/>
        <w:rPr>
          <w:sz w:val="20"/>
          <w:szCs w:val="20"/>
          <w:color w:val="auto"/>
        </w:rPr>
      </w:pPr>
    </w:p>
    <w:p>
      <w:pPr>
        <w:jc w:val="both"/>
        <w:ind w:right="140" w:firstLine="509"/>
        <w:spacing w:after="0" w:line="252" w:lineRule="auto"/>
        <w:rPr>
          <w:sz w:val="20"/>
          <w:szCs w:val="20"/>
          <w:color w:val="auto"/>
        </w:rPr>
      </w:pPr>
      <w:r>
        <w:rPr>
          <w:rFonts w:ascii="Arial" w:cs="Arial" w:eastAsia="Arial" w:hAnsi="Arial"/>
          <w:sz w:val="18"/>
          <w:szCs w:val="18"/>
          <w:color w:val="auto"/>
        </w:rPr>
        <w:t>We achieved an overall win rate of 66% in fiscal 2023, 49% in the year ended December 31, 2022 (“fiscal 2022”) and 56% in the year ended December 31, 2021 (‘fiscal 2021”), which includes strong re-compete win rates of 93% in fiscal 2023 giving us long-term certainty on key contracts. As of December 31, 2023, our total backlog was $8.6 billion, an increase of 5.0% from December 31, 2022</w:t>
      </w:r>
      <w:r>
        <w:rPr>
          <w:rFonts w:ascii="Arial" w:cs="Arial" w:eastAsia="Arial" w:hAnsi="Arial"/>
          <w:sz w:val="18"/>
          <w:szCs w:val="18"/>
          <w:color w:val="auto"/>
          <w:strike w:val="1"/>
        </w:rPr>
        <w:t>.</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Federal Solutions</w:t>
      </w:r>
    </w:p>
    <w:p>
      <w:pPr>
        <w:spacing w:after="0" w:line="101" w:lineRule="exact"/>
        <w:rPr>
          <w:sz w:val="20"/>
          <w:szCs w:val="20"/>
          <w:color w:val="auto"/>
        </w:rPr>
      </w:pPr>
    </w:p>
    <w:p>
      <w:pPr>
        <w:ind w:right="260" w:firstLine="509"/>
        <w:spacing w:after="0" w:line="252" w:lineRule="auto"/>
        <w:rPr>
          <w:sz w:val="20"/>
          <w:szCs w:val="20"/>
          <w:color w:val="auto"/>
        </w:rPr>
      </w:pPr>
      <w:r>
        <w:rPr>
          <w:rFonts w:ascii="Arial" w:cs="Arial" w:eastAsia="Arial" w:hAnsi="Arial"/>
          <w:sz w:val="18"/>
          <w:szCs w:val="18"/>
          <w:color w:val="auto"/>
        </w:rPr>
        <w:t>Our Federal Solutions business provides integrated solutions, software and hardware products and engineering services. Federal Solutions consists of two business units: Defense &amp; Intelligence (D&amp;I) and Engineered Systems (ES). Our strategy is to deliver information dominance across all domains.</w:t>
      </w:r>
    </w:p>
    <w:p>
      <w:pPr>
        <w:spacing w:after="0" w:line="63" w:lineRule="exact"/>
        <w:rPr>
          <w:sz w:val="20"/>
          <w:szCs w:val="20"/>
          <w:color w:val="auto"/>
        </w:rPr>
      </w:pPr>
    </w:p>
    <w:p>
      <w:pPr>
        <w:ind w:left="1020" w:right="80" w:hanging="504"/>
        <w:spacing w:after="0" w:line="241"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D&amp;I—Our D&amp;I business unit is organized into three related areas: defense, space and engineering services; cyber and national operations; and high consequence missions. Our customers include the U.S. Department of Defense, the U.S. Intelligence Community, the Department of Commerce, and the National Aeronautics and Space Administration. D&amp;I is a mission partner for differentiated technical solutions, products, and services, delivering innovations in cyber, space, missile defense, multi-domain command and control, intelligence, surveillance and reconnaissance, electromagnetic spectrum dominance, and directed energy. Our solutions are used to meet national security challenges from space to the tactical edge around the globe.</w:t>
      </w:r>
    </w:p>
    <w:p>
      <w:pPr>
        <w:spacing w:after="0" w:line="73" w:lineRule="exact"/>
        <w:rPr>
          <w:rFonts w:ascii="Times New Roman" w:cs="Times New Roman" w:eastAsia="Times New Roman" w:hAnsi="Times New Roman"/>
          <w:sz w:val="18"/>
          <w:szCs w:val="18"/>
          <w:color w:val="auto"/>
        </w:rPr>
      </w:pPr>
    </w:p>
    <w:p>
      <w:pPr>
        <w:ind w:left="1540" w:right="18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242424"/>
        </w:rPr>
        <w:t>Defense Space and Engineering Services – We provide software, hardware, and technical expertise to clients across a variety of mission areas, including but not limited to, space, missile systems, and warfighter applications. Our customers include the intelligence community (Defense Intelligence Agency (DIA), National Geospatial-Intelligence Agency (NGA), National Reconnaissance Office (NRO)); the U.S. Department of Defense (DOD) (military services, Special Operations Command (SOCOM), the Missile Defense Agency (MDA), and United States Cyber Command (CYBERCOM)); the National Oceanic and Atmospheric Administration (NOAA), and the National Aeronautics and Space Administration (NASA).</w:t>
      </w:r>
    </w:p>
    <w:p>
      <w:pPr>
        <w:spacing w:after="0" w:line="74" w:lineRule="exact"/>
        <w:rPr>
          <w:rFonts w:ascii="Times New Roman" w:cs="Times New Roman" w:eastAsia="Times New Roman" w:hAnsi="Times New Roman"/>
          <w:sz w:val="18"/>
          <w:szCs w:val="18"/>
          <w:color w:val="auto"/>
        </w:rPr>
      </w:pPr>
    </w:p>
    <w:p>
      <w:pPr>
        <w:jc w:val="both"/>
        <w:ind w:left="1540" w:right="280" w:hanging="514"/>
        <w:spacing w:after="0" w:line="300" w:lineRule="auto"/>
        <w:tabs>
          <w:tab w:leader="none" w:pos="1540" w:val="left"/>
        </w:tabs>
        <w:numPr>
          <w:ilvl w:val="1"/>
          <w:numId w:val="5"/>
        </w:numPr>
        <w:rPr>
          <w:rFonts w:ascii="Times New Roman" w:cs="Times New Roman" w:eastAsia="Times New Roman" w:hAnsi="Times New Roman"/>
          <w:sz w:val="17"/>
          <w:szCs w:val="17"/>
          <w:color w:val="242424"/>
        </w:rPr>
      </w:pPr>
      <w:r>
        <w:rPr>
          <w:rFonts w:ascii="Arial" w:cs="Arial" w:eastAsia="Arial" w:hAnsi="Arial"/>
          <w:sz w:val="17"/>
          <w:szCs w:val="17"/>
          <w:color w:val="242424"/>
        </w:rPr>
        <w:t>We focus on providing small satellite launch and integration, satellite ground systems, flight dynamics, data fusion and analytics, platform system integration, directed energy, joint all-domain operations, and command and control systems.</w:t>
      </w:r>
    </w:p>
    <w:p>
      <w:pPr>
        <w:spacing w:after="0" w:line="36" w:lineRule="exact"/>
        <w:rPr>
          <w:rFonts w:ascii="Times New Roman" w:cs="Times New Roman" w:eastAsia="Times New Roman" w:hAnsi="Times New Roman"/>
          <w:sz w:val="17"/>
          <w:szCs w:val="17"/>
          <w:color w:val="242424"/>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242424"/>
        </w:rPr>
      </w:pPr>
      <w:r>
        <w:rPr>
          <w:rFonts w:ascii="Arial" w:cs="Arial" w:eastAsia="Arial" w:hAnsi="Arial"/>
          <w:sz w:val="18"/>
          <w:szCs w:val="18"/>
          <w:color w:val="242424"/>
        </w:rPr>
        <w:t>As an example, we are the prime contractor responsible for the DOD’s small satellite integration efforts through our Launch Manifest Systems Integration program with the U.S. Air Force. As part of this effort, we are providing the full range of hardware and system integration services, including the design, assembly, testing, and processing required to integrate small-satellite payloads onto a launch system. Our engineering and integration team performs the full scope of designing, assembling, testing and integrating systems to meet responsive launch missile needs. Our ground support equipment is enabling efficient and effective access to space for small satellites on commercial, national security and small class launch systems.</w:t>
      </w:r>
    </w:p>
    <w:p>
      <w:pPr>
        <w:spacing w:after="0" w:line="87" w:lineRule="exact"/>
        <w:rPr>
          <w:rFonts w:ascii="Times New Roman" w:cs="Times New Roman" w:eastAsia="Times New Roman" w:hAnsi="Times New Roman"/>
          <w:sz w:val="18"/>
          <w:szCs w:val="18"/>
          <w:color w:val="242424"/>
        </w:rPr>
      </w:pPr>
    </w:p>
    <w:p>
      <w:pPr>
        <w:ind w:left="1540" w:right="40" w:hanging="514"/>
        <w:spacing w:after="0" w:line="252" w:lineRule="auto"/>
        <w:tabs>
          <w:tab w:leader="none" w:pos="1540" w:val="left"/>
        </w:tabs>
        <w:numPr>
          <w:ilvl w:val="1"/>
          <w:numId w:val="5"/>
        </w:numPr>
        <w:rPr>
          <w:rFonts w:ascii="Times New Roman" w:cs="Times New Roman" w:eastAsia="Times New Roman" w:hAnsi="Times New Roman"/>
          <w:sz w:val="18"/>
          <w:szCs w:val="18"/>
          <w:color w:val="242424"/>
        </w:rPr>
      </w:pPr>
      <w:r>
        <w:rPr>
          <w:rFonts w:ascii="Arial" w:cs="Arial" w:eastAsia="Arial" w:hAnsi="Arial"/>
          <w:sz w:val="18"/>
          <w:szCs w:val="18"/>
          <w:color w:val="242424"/>
        </w:rPr>
        <w:t>Representative products include our Command-and-Control Core (C2Core®) mission planning and tasking suite that links requests, effects and operational guidance in a unified database, and ZEUS® Recovery of Airbase Denied by Ordnance (RADBO) laser neutralization system offering critical force protection in any operational theater.</w:t>
      </w:r>
    </w:p>
    <w:p>
      <w:pPr>
        <w:spacing w:after="0" w:line="61" w:lineRule="exact"/>
        <w:rPr>
          <w:rFonts w:ascii="Times New Roman" w:cs="Times New Roman" w:eastAsia="Times New Roman" w:hAnsi="Times New Roman"/>
          <w:sz w:val="18"/>
          <w:szCs w:val="18"/>
          <w:color w:val="242424"/>
        </w:rPr>
      </w:pPr>
    </w:p>
    <w:p>
      <w:pPr>
        <w:ind w:left="1540" w:right="140" w:hanging="514"/>
        <w:spacing w:after="0" w:line="252" w:lineRule="auto"/>
        <w:tabs>
          <w:tab w:leader="none" w:pos="1540" w:val="left"/>
        </w:tabs>
        <w:numPr>
          <w:ilvl w:val="1"/>
          <w:numId w:val="5"/>
        </w:numPr>
        <w:rPr>
          <w:rFonts w:ascii="Times New Roman" w:cs="Times New Roman" w:eastAsia="Times New Roman" w:hAnsi="Times New Roman"/>
          <w:sz w:val="18"/>
          <w:szCs w:val="18"/>
          <w:color w:val="242424"/>
        </w:rPr>
      </w:pPr>
      <w:r>
        <w:rPr>
          <w:rFonts w:ascii="Arial" w:cs="Arial" w:eastAsia="Arial" w:hAnsi="Arial"/>
          <w:sz w:val="18"/>
          <w:szCs w:val="18"/>
          <w:color w:val="242424"/>
        </w:rPr>
        <w:t>We are the prime Technical, Engineering, Advisory and Management Support (TEAMS) Next contractor for the MDA, where we provide engineering, analysis, and management support for the development of integrated and layered missile defense systems that defend U.S. and allied forces against ballistic, hypersonic, and cruise missile threats,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3" w:lineRule="exact"/>
        <w:rPr>
          <w:sz w:val="20"/>
          <w:szCs w:val="20"/>
          <w:color w:val="auto"/>
        </w:rPr>
      </w:pPr>
    </w:p>
    <w:p>
      <w:pPr>
        <w:ind w:left="1024" w:right="1040"/>
        <w:spacing w:after="0" w:line="271" w:lineRule="auto"/>
        <w:rPr>
          <w:sz w:val="20"/>
          <w:szCs w:val="20"/>
          <w:color w:val="auto"/>
        </w:rPr>
      </w:pPr>
      <w:r>
        <w:rPr>
          <w:rFonts w:ascii="Arial" w:cs="Arial" w:eastAsia="Arial" w:hAnsi="Arial"/>
          <w:sz w:val="18"/>
          <w:szCs w:val="18"/>
          <w:color w:val="242424"/>
        </w:rPr>
        <w:t>advance the agency’s integrated air and missile defense, command and control, and battle management and communications missions across all-domain battlespace.</w:t>
      </w:r>
    </w:p>
    <w:p>
      <w:pPr>
        <w:spacing w:after="0" w:line="45" w:lineRule="exact"/>
        <w:rPr>
          <w:sz w:val="20"/>
          <w:szCs w:val="20"/>
          <w:color w:val="auto"/>
        </w:rPr>
      </w:pPr>
    </w:p>
    <w:p>
      <w:pPr>
        <w:ind w:left="504" w:right="60" w:hanging="504"/>
        <w:spacing w:after="0" w:line="246" w:lineRule="auto"/>
        <w:tabs>
          <w:tab w:leader="none" w:pos="504"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242424"/>
        </w:rPr>
        <w:t>Cyber and National Operations – We provide capabilities across the digital landscape, including full-spectrum cyber, information operations, and analytics. Our customers include the U.S. intelligence community, U.S. Cyber Command, DOD research laboratories, and military cyber services. The acquisition of SealingTech expands our cyber offerings into Defensive Cyber Operations (DCO), and, combined with our offensive solutions, we deliver full spectrum cyber operations.</w:t>
      </w:r>
    </w:p>
    <w:p>
      <w:pPr>
        <w:spacing w:after="0" w:line="80" w:lineRule="exact"/>
        <w:rPr>
          <w:rFonts w:ascii="Times New Roman" w:cs="Times New Roman" w:eastAsia="Times New Roman" w:hAnsi="Times New Roman"/>
          <w:sz w:val="18"/>
          <w:szCs w:val="18"/>
          <w:color w:val="auto"/>
        </w:rPr>
      </w:pPr>
    </w:p>
    <w:p>
      <w:pPr>
        <w:ind w:left="1024" w:right="40" w:hanging="514"/>
        <w:spacing w:after="0" w:line="246" w:lineRule="auto"/>
        <w:tabs>
          <w:tab w:leader="none" w:pos="1024" w:val="left"/>
        </w:tabs>
        <w:numPr>
          <w:ilvl w:val="1"/>
          <w:numId w:val="6"/>
        </w:numPr>
        <w:rPr>
          <w:rFonts w:ascii="Times New Roman" w:cs="Times New Roman" w:eastAsia="Times New Roman" w:hAnsi="Times New Roman"/>
          <w:sz w:val="18"/>
          <w:szCs w:val="18"/>
          <w:color w:val="242424"/>
        </w:rPr>
      </w:pPr>
      <w:r>
        <w:rPr>
          <w:rFonts w:ascii="Arial" w:cs="Arial" w:eastAsia="Arial" w:hAnsi="Arial"/>
          <w:sz w:val="18"/>
          <w:szCs w:val="18"/>
          <w:color w:val="242424"/>
        </w:rPr>
        <w:t>Cyber solutions and products augment and automate full spectrum cyber operations, including our Automated Management Solutions (AMS), a software framework that integrates disparate cyber capabilities, tools and infrastructures into a common system architecture that assists military cyber operators. We develop and maintain enterprise platforms used by the DOD to perform network analysis and vulnerability assessments for defensive missions.</w:t>
      </w:r>
    </w:p>
    <w:p>
      <w:pPr>
        <w:spacing w:after="0" w:line="80" w:lineRule="exact"/>
        <w:rPr>
          <w:rFonts w:ascii="Times New Roman" w:cs="Times New Roman" w:eastAsia="Times New Roman" w:hAnsi="Times New Roman"/>
          <w:sz w:val="18"/>
          <w:szCs w:val="18"/>
          <w:color w:val="242424"/>
        </w:rPr>
      </w:pPr>
    </w:p>
    <w:p>
      <w:pPr>
        <w:ind w:left="1024" w:right="180" w:hanging="514"/>
        <w:spacing w:after="0" w:line="252" w:lineRule="auto"/>
        <w:tabs>
          <w:tab w:leader="none" w:pos="1024" w:val="left"/>
        </w:tabs>
        <w:numPr>
          <w:ilvl w:val="1"/>
          <w:numId w:val="6"/>
        </w:numPr>
        <w:rPr>
          <w:rFonts w:ascii="Times New Roman" w:cs="Times New Roman" w:eastAsia="Times New Roman" w:hAnsi="Times New Roman"/>
          <w:sz w:val="18"/>
          <w:szCs w:val="18"/>
          <w:color w:val="242424"/>
        </w:rPr>
      </w:pPr>
      <w:r>
        <w:rPr>
          <w:rFonts w:ascii="Arial" w:cs="Arial" w:eastAsia="Arial" w:hAnsi="Arial"/>
          <w:sz w:val="18"/>
          <w:szCs w:val="18"/>
          <w:color w:val="242424"/>
        </w:rPr>
        <w:t>We conduct vulnerability research and resiliency solutions for existing weapon systems, critical infrastructure and space systems, while supporting the development and integration of next generation electronic warfare capabilities. We also develop analysis and anomaly detection tools for radio frequency and airborne communications.</w:t>
      </w:r>
    </w:p>
    <w:p>
      <w:pPr>
        <w:spacing w:after="0" w:line="75" w:lineRule="exact"/>
        <w:rPr>
          <w:rFonts w:ascii="Times New Roman" w:cs="Times New Roman" w:eastAsia="Times New Roman" w:hAnsi="Times New Roman"/>
          <w:sz w:val="18"/>
          <w:szCs w:val="18"/>
          <w:color w:val="242424"/>
        </w:rPr>
      </w:pPr>
    </w:p>
    <w:p>
      <w:pPr>
        <w:ind w:left="1024" w:right="340" w:hanging="514"/>
        <w:spacing w:after="0" w:line="300" w:lineRule="auto"/>
        <w:tabs>
          <w:tab w:leader="none" w:pos="1024" w:val="left"/>
        </w:tabs>
        <w:numPr>
          <w:ilvl w:val="1"/>
          <w:numId w:val="6"/>
        </w:numPr>
        <w:rPr>
          <w:rFonts w:ascii="Times New Roman" w:cs="Times New Roman" w:eastAsia="Times New Roman" w:hAnsi="Times New Roman"/>
          <w:sz w:val="17"/>
          <w:szCs w:val="17"/>
          <w:color w:val="242424"/>
        </w:rPr>
      </w:pPr>
      <w:r>
        <w:rPr>
          <w:rFonts w:ascii="Arial" w:cs="Arial" w:eastAsia="Arial" w:hAnsi="Arial"/>
          <w:sz w:val="17"/>
          <w:szCs w:val="17"/>
          <w:color w:val="242424"/>
        </w:rPr>
        <w:t>We develop tools and tradecraft to conduct Information Operations across the physical and cyber domains, giving customers complete situational awareness for force protection and decision making with the Information Environment.</w:t>
      </w:r>
    </w:p>
    <w:p>
      <w:pPr>
        <w:spacing w:after="0" w:line="22" w:lineRule="exact"/>
        <w:rPr>
          <w:rFonts w:ascii="Times New Roman" w:cs="Times New Roman" w:eastAsia="Times New Roman" w:hAnsi="Times New Roman"/>
          <w:sz w:val="17"/>
          <w:szCs w:val="17"/>
          <w:color w:val="242424"/>
        </w:rPr>
      </w:pPr>
    </w:p>
    <w:p>
      <w:pPr>
        <w:ind w:left="504" w:hanging="504"/>
        <w:spacing w:after="0" w:line="252" w:lineRule="auto"/>
        <w:tabs>
          <w:tab w:leader="none" w:pos="504"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242424"/>
        </w:rPr>
        <w:t>High-Consequence Missions – We provide capabilities across the digital landscape, electronic warfare, multi-domain operations, mission support and national to tactical operations. Our customers include the U.S. Intelligence Community, U.S. Cyber Command, and DOD research laboratories.</w:t>
      </w:r>
    </w:p>
    <w:p>
      <w:pPr>
        <w:spacing w:after="0" w:line="75" w:lineRule="exact"/>
        <w:rPr>
          <w:rFonts w:ascii="Times New Roman" w:cs="Times New Roman" w:eastAsia="Times New Roman" w:hAnsi="Times New Roman"/>
          <w:sz w:val="18"/>
          <w:szCs w:val="18"/>
          <w:color w:val="auto"/>
        </w:rPr>
      </w:pPr>
    </w:p>
    <w:p>
      <w:pPr>
        <w:ind w:left="1024" w:right="160" w:hanging="514"/>
        <w:spacing w:after="0" w:line="246" w:lineRule="auto"/>
        <w:tabs>
          <w:tab w:leader="none" w:pos="1024" w:val="left"/>
        </w:tabs>
        <w:numPr>
          <w:ilvl w:val="1"/>
          <w:numId w:val="6"/>
        </w:numPr>
        <w:rPr>
          <w:rFonts w:ascii="Times New Roman" w:cs="Times New Roman" w:eastAsia="Times New Roman" w:hAnsi="Times New Roman"/>
          <w:sz w:val="18"/>
          <w:szCs w:val="18"/>
          <w:color w:val="242424"/>
        </w:rPr>
      </w:pPr>
      <w:r>
        <w:rPr>
          <w:rFonts w:ascii="Arial" w:cs="Arial" w:eastAsia="Arial" w:hAnsi="Arial"/>
          <w:sz w:val="18"/>
          <w:szCs w:val="18"/>
          <w:color w:val="242424"/>
        </w:rPr>
        <w:t>Our tools and products are used across a wide variety of electronic warfare operations, including commercial cellular survey, automated signal identification and characterization using Artificial Intelligence/Machine Learning (AI/ML), signal modeling and simulation used for radio frequency (RF) ranges and test and evaluation centers using our TReX platform, and integrated RF and cyber solutions to deliver effects from long standoff distances.</w:t>
      </w:r>
    </w:p>
    <w:p>
      <w:pPr>
        <w:spacing w:after="0" w:line="80" w:lineRule="exact"/>
        <w:rPr>
          <w:rFonts w:ascii="Times New Roman" w:cs="Times New Roman" w:eastAsia="Times New Roman" w:hAnsi="Times New Roman"/>
          <w:sz w:val="18"/>
          <w:szCs w:val="18"/>
          <w:color w:val="242424"/>
        </w:rPr>
      </w:pPr>
    </w:p>
    <w:p>
      <w:pPr>
        <w:ind w:left="1024" w:right="180" w:hanging="514"/>
        <w:spacing w:after="0" w:line="252" w:lineRule="auto"/>
        <w:tabs>
          <w:tab w:leader="none" w:pos="1024"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242424"/>
        </w:rPr>
        <w:t>We conduct vulnerability research and resiliency solutions for existing weapon systems, critical infrastructure and space systems, while supporting the development and integration of next generation electronic warfare capabilities. We also develop analysis and anomaly detection tools for radio frequency and airborne communications.</w:t>
      </w:r>
    </w:p>
    <w:p>
      <w:pPr>
        <w:spacing w:after="0" w:line="62" w:lineRule="exact"/>
        <w:rPr>
          <w:sz w:val="20"/>
          <w:szCs w:val="20"/>
          <w:color w:val="auto"/>
        </w:rPr>
      </w:pPr>
    </w:p>
    <w:p>
      <w:pPr>
        <w:ind w:left="504" w:right="40" w:hanging="504"/>
        <w:spacing w:after="0" w:line="239" w:lineRule="auto"/>
        <w:tabs>
          <w:tab w:leader="none" w:pos="504"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ES—Our ES business unit focuses on advanced technology services for complex energy and chemical systems, aviation, life sciences and bio-surveillance systems, environmental remediation, security and protection systems, and associated complex infrastructure. Representative customers include the Department of State (DOS), the Department of Energy (DOE), the Defense Threat Reduction Agency (DTRA), the Department of Homeland Security (DHS), the U.S. Army Corps of Engineers (USACE), the Federal Aviation Administration (FAA), the National Aeronautics and Space Administration (NASA), the United States Postal Service (USPS), the Department of Labor (DOL) and the Jet Propulsion Laboratory (JPL). Representative offerings include weapons of mass destruction elimination, munitions destruction; remediation of unexploded ordinances and hazardous, toxic, reactive wastes; architectural and engineering design; program and project management; infectious disease control; advanced electronic security systems; border security; counter-unmanned aircraft systems; and biometrics solutions.</w:t>
      </w:r>
    </w:p>
    <w:p>
      <w:pPr>
        <w:spacing w:after="0" w:line="72" w:lineRule="exact"/>
        <w:rPr>
          <w:rFonts w:ascii="Times New Roman" w:cs="Times New Roman" w:eastAsia="Times New Roman" w:hAnsi="Times New Roman"/>
          <w:sz w:val="18"/>
          <w:szCs w:val="18"/>
          <w:color w:val="auto"/>
        </w:rPr>
      </w:pPr>
    </w:p>
    <w:p>
      <w:pPr>
        <w:ind w:left="1024" w:right="860" w:hanging="514"/>
        <w:spacing w:after="0" w:line="270" w:lineRule="auto"/>
        <w:tabs>
          <w:tab w:leader="none" w:pos="1024"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expertise includes designing and upgrading processing and production facilities such as Army ammunition, technology deployment in response to pandemic outbreaks, and</w:t>
      </w:r>
    </w:p>
    <w:p>
      <w:pPr>
        <w:spacing w:after="0" w:line="383"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475615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1440" w:right="359" w:bottom="1440" w:gutter="0" w:footer="0" w:header="0"/>
        </w:sectPr>
      </w:pPr>
    </w:p>
    <w:bookmarkStart w:id="8" w:name="page9"/>
    <w:bookmarkEnd w:id="8"/>
    <w:p>
      <w:pPr>
        <w:spacing w:after="0" w:line="83" w:lineRule="exact"/>
        <w:rPr>
          <w:sz w:val="20"/>
          <w:szCs w:val="20"/>
          <w:color w:val="auto"/>
        </w:rPr>
      </w:pPr>
    </w:p>
    <w:p>
      <w:pPr>
        <w:ind w:left="1540" w:right="180"/>
        <w:spacing w:after="0" w:line="271" w:lineRule="auto"/>
        <w:rPr>
          <w:sz w:val="20"/>
          <w:szCs w:val="20"/>
          <w:color w:val="auto"/>
        </w:rPr>
      </w:pPr>
      <w:r>
        <w:rPr>
          <w:rFonts w:ascii="Arial" w:cs="Arial" w:eastAsia="Arial" w:hAnsi="Arial"/>
          <w:sz w:val="18"/>
          <w:szCs w:val="18"/>
          <w:color w:val="auto"/>
        </w:rPr>
        <w:t>delivery of solutions addressing resiliency, security and sustainability, as well as delivery of highly complex infrastructure in challenging environments and geographies.</w:t>
      </w:r>
    </w:p>
    <w:p>
      <w:pPr>
        <w:spacing w:after="0" w:line="45" w:lineRule="exact"/>
        <w:rPr>
          <w:sz w:val="20"/>
          <w:szCs w:val="20"/>
          <w:color w:val="auto"/>
        </w:rPr>
      </w:pPr>
    </w:p>
    <w:p>
      <w:pPr>
        <w:ind w:left="1540" w:right="160" w:hanging="514"/>
        <w:spacing w:after="0" w:line="274" w:lineRule="auto"/>
        <w:tabs>
          <w:tab w:leader="none" w:pos="15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Representative programs include the National Science Foundation’s Antarctica Infrastructure Modernization for Science, the FAA Technical Services Contract, the DTRA Cooperative Threat Reduction Integrating Contract, the Department of State Overseas Security Installation Services, and the Radford Army Munition Plant Energetic Waste Incinerator.</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Critical Infrastructure</w:t>
      </w:r>
    </w:p>
    <w:p>
      <w:pPr>
        <w:spacing w:after="0" w:line="10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Our Critical Infrastructure business provides planning, engineering, program management, owners representative and digital solutions consisting of two business units focused on two major geographies: North America (INF-NA) and Europe, Middle East, and Africa (EMEA). Our growth strategy includes leveraging our portfolio of sophisticated engineering solutions and technologies for complex physical infrastructure projects to capture the increasing demand and investment in global infrastructure programs. We are expanding our portfolio in key emerging growth areas, including intelligent transportation systems, smart mobility, environmental remediation, and water/wastewater treatment.</w:t>
      </w:r>
    </w:p>
    <w:p>
      <w:pPr>
        <w:spacing w:after="0" w:line="74" w:lineRule="exact"/>
        <w:rPr>
          <w:sz w:val="20"/>
          <w:szCs w:val="20"/>
          <w:color w:val="auto"/>
        </w:rPr>
      </w:pPr>
    </w:p>
    <w:p>
      <w:pPr>
        <w:ind w:left="1020" w:right="40" w:hanging="504"/>
        <w:spacing w:after="0" w:line="241"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INF – NA - Our INF – NA business unit provides planning, engineering and management services for complex infrastructure, including bridges and tunnels, roads and highways and water and wastewater. Within our diverse base, our customer relationships include states (e.g., Texas, Florida, California, Colorado, Washington, Illinois, New York, New Jersey and Georgia), cities, and Canadian provinces and territories (e.g., Ontario, British Columbia, Quebec, Nova Scotia and Alberta), as well as water and wastewater authorities. Our capabilities include technologies in long-span bridges, tunnels, building Information modeling, and water/wastewater treatment and conveyance.</w:t>
      </w:r>
    </w:p>
    <w:p>
      <w:pPr>
        <w:spacing w:after="0" w:line="73" w:lineRule="exact"/>
        <w:rPr>
          <w:rFonts w:ascii="Times New Roman" w:cs="Times New Roman" w:eastAsia="Times New Roman" w:hAnsi="Times New Roman"/>
          <w:sz w:val="18"/>
          <w:szCs w:val="18"/>
          <w:color w:val="auto"/>
        </w:rPr>
      </w:pPr>
    </w:p>
    <w:p>
      <w:pPr>
        <w:ind w:left="1540" w:right="100" w:hanging="514"/>
        <w:spacing w:after="0" w:line="252" w:lineRule="auto"/>
        <w:tabs>
          <w:tab w:leader="none" w:pos="15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Examples of our design capabilities are our role as the lead designer of the Tacoma Narrows Bridge, the largest twin tower suspension bridge in the world when it opened, lead designer for the Goethals bridge connecting Staten Island, NY and Elizabeth, NJ, and lead designer for the Federal Way rail extension for Sound Transit in Seattle.</w:t>
      </w:r>
    </w:p>
    <w:p>
      <w:pPr>
        <w:spacing w:after="0" w:line="61" w:lineRule="exact"/>
        <w:rPr>
          <w:rFonts w:ascii="Times New Roman" w:cs="Times New Roman" w:eastAsia="Times New Roman" w:hAnsi="Times New Roman"/>
          <w:sz w:val="18"/>
          <w:szCs w:val="18"/>
          <w:color w:val="auto"/>
        </w:rPr>
      </w:pPr>
    </w:p>
    <w:p>
      <w:pPr>
        <w:ind w:left="1540" w:right="320" w:hanging="514"/>
        <w:spacing w:after="0" w:line="243" w:lineRule="auto"/>
        <w:tabs>
          <w:tab w:leader="none" w:pos="15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For program management, we are the Owner’s Engineer for the Gordie Howe International Bridge between Windsor, Ontario and Detroit, Michigan, which will have the longest main span of any cable-stayed bridge in North America. In addition, we are the program manager for the California Delta Water Conveyance Modernization Project, a multi-billion environmentally compliant water transfer project to improve water supply sustainability and reliability for human and environmental uses.</w:t>
      </w:r>
    </w:p>
    <w:p>
      <w:pPr>
        <w:spacing w:after="0" w:line="7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INF- NA - Our INF-NA business unit also includes intelligent transportation systems, utilities, environmental remediation, emerging contaminants, aviation, rail and transit, and ParsonsX, our enterprise digital transformation organization. Our customers include state and local governments, Fortune 100 companies, smart city developers, and private sector infrastructure owners, such as the transportation authorities for the cities of Los Angeles and New York, states and provinces, and rail and transit entities, including AMTRAK, CSX, Metrolinx (Ontario Canada), and WMATA. Technology capabilities include AI/ML, cloud, digital twins, cyber, systems integration, intelligent transportation network software, vehicle inspection data analytics software, automated people mover, electric vehicle infrastructure, and autonomous vehicle integration.</w:t>
      </w:r>
    </w:p>
    <w:p>
      <w:pPr>
        <w:spacing w:after="0" w:line="74" w:lineRule="exact"/>
        <w:rPr>
          <w:rFonts w:ascii="Times New Roman" w:cs="Times New Roman" w:eastAsia="Times New Roman" w:hAnsi="Times New Roman"/>
          <w:sz w:val="18"/>
          <w:szCs w:val="18"/>
          <w:color w:val="auto"/>
        </w:rPr>
      </w:pPr>
    </w:p>
    <w:p>
      <w:pPr>
        <w:ind w:left="1540" w:right="160" w:hanging="514"/>
        <w:spacing w:after="0" w:line="246" w:lineRule="auto"/>
        <w:tabs>
          <w:tab w:leader="none" w:pos="15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Parsons provides integrated traffic solutions for arterials, smart intersections, airport landside, ports, and tolling integrators. An example is our role as provider of Advanced Traffic Management Systems, or ATMS, through our iNET™ platform. Since the first deployment in 2007, iNET® has been delivered to twenty-four state Departments of Transportation, twenty-two cities, eight county agencies, seven toll agencies, and seven different countries.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3" w:lineRule="exact"/>
        <w:rPr>
          <w:sz w:val="20"/>
          <w:szCs w:val="20"/>
          <w:color w:val="auto"/>
        </w:rPr>
      </w:pPr>
    </w:p>
    <w:p>
      <w:pPr>
        <w:ind w:left="1024" w:right="120" w:hanging="514"/>
        <w:spacing w:after="0" w:line="246" w:lineRule="auto"/>
        <w:tabs>
          <w:tab w:leader="none" w:pos="1024"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For aviation, we play a critical role as program manager and lead designer for global airports. We are the program manager of the environmentally sensitive Diamond Head Extension Program at Honolulu International Airport, the Houston Airport System, and the Landside Access Modernization Program for Los Angeles International Airport; and the lead designer on the Newark Airport Terminal A replacement project known as Terminal 1.</w:t>
      </w:r>
    </w:p>
    <w:p>
      <w:pPr>
        <w:spacing w:after="0" w:line="67" w:lineRule="exact"/>
        <w:rPr>
          <w:rFonts w:ascii="Times New Roman" w:cs="Times New Roman" w:eastAsia="Times New Roman" w:hAnsi="Times New Roman"/>
          <w:sz w:val="18"/>
          <w:szCs w:val="18"/>
          <w:color w:val="auto"/>
        </w:rPr>
      </w:pPr>
    </w:p>
    <w:p>
      <w:pPr>
        <w:ind w:left="1024" w:right="80" w:hanging="514"/>
        <w:spacing w:after="0" w:line="241" w:lineRule="auto"/>
        <w:tabs>
          <w:tab w:leader="none" w:pos="1024"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rail and transit capabilities include systems optimization, communications-based train control, rail system design and system assurance. We have more than six decades of experience in this market and have supported over 400 rail and transit customers. Key programs include Edmonton light rail transit (as part of the Marigold Infrastructure Partners consortium), New York MTA Systems and Facility Engineering Services, and the Bay Area Rapid Transit Communications-Based Train Control. For our bus transit customers, we provide strategic fleet transition planning, zero-emission bus infrastructure design, and benefit-cost analysis to achieve net zero goals.</w:t>
      </w:r>
    </w:p>
    <w:p>
      <w:pPr>
        <w:spacing w:after="0" w:line="73" w:lineRule="exact"/>
        <w:rPr>
          <w:rFonts w:ascii="Times New Roman" w:cs="Times New Roman" w:eastAsia="Times New Roman" w:hAnsi="Times New Roman"/>
          <w:sz w:val="18"/>
          <w:szCs w:val="18"/>
          <w:color w:val="auto"/>
        </w:rPr>
      </w:pPr>
    </w:p>
    <w:p>
      <w:pPr>
        <w:ind w:left="504" w:right="20" w:hanging="504"/>
        <w:spacing w:after="0" w:line="241" w:lineRule="auto"/>
        <w:tabs>
          <w:tab w:leader="none" w:pos="504"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EMEA – Our EMEA business unit has a region-wide customer base in Europe, the Middle East and Africa, with a key focus on the Gulf Cooperation Council (GCC) states. Services provided include turn-key engineering solutions from project conceptualization to urban planning, engineering and program management; utilizing state-of-the-art digital solutions and embedded sustainability concepts for enhanced delivery of large-scale and highly complex infrastructure assets. Our client base includes top tier public authorities and state-owned developers across different markets from city-scale developments to major city-wide infrastructure schemes.</w:t>
      </w:r>
    </w:p>
    <w:p>
      <w:pPr>
        <w:spacing w:after="0" w:line="73" w:lineRule="exact"/>
        <w:rPr>
          <w:rFonts w:ascii="Times New Roman" w:cs="Times New Roman" w:eastAsia="Times New Roman" w:hAnsi="Times New Roman"/>
          <w:sz w:val="18"/>
          <w:szCs w:val="18"/>
          <w:color w:val="auto"/>
        </w:rPr>
      </w:pPr>
    </w:p>
    <w:p>
      <w:pPr>
        <w:ind w:left="1024" w:right="60" w:hanging="514"/>
        <w:spacing w:after="0" w:line="244" w:lineRule="auto"/>
        <w:tabs>
          <w:tab w:leader="none" w:pos="1024"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extensive planning and design capabilities enable us to lead key infrastructure and development projects, including Dubai’s Integrated Traffic System design and operation to enable traffic optimization and efficiency, Doha City area transport infrastructure projects to increase capacity and reduce congestion, Abu Dhabi’s Mid-Island Parkway connecting multiple islands for future sustainable developments, Green Riyadh landscape and infrastructure design for increased urban green space, and Denmark’s Banedanmark Rail Signaling Program to enable better centralized traffic control, energy optimization, and reduced delays.</w:t>
      </w:r>
    </w:p>
    <w:p>
      <w:pPr>
        <w:spacing w:after="0" w:line="71" w:lineRule="exact"/>
        <w:rPr>
          <w:rFonts w:ascii="Times New Roman" w:cs="Times New Roman" w:eastAsia="Times New Roman" w:hAnsi="Times New Roman"/>
          <w:sz w:val="18"/>
          <w:szCs w:val="18"/>
          <w:color w:val="auto"/>
        </w:rPr>
      </w:pPr>
    </w:p>
    <w:p>
      <w:pPr>
        <w:ind w:left="1024" w:right="180" w:hanging="514"/>
        <w:spacing w:after="0"/>
        <w:tabs>
          <w:tab w:leader="none" w:pos="1024"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Parsons has a long-standing program management legacy in the Middle East for infrastructure, mega cities, and urban development. We are part of the consortium Riyadh Metro Transit Consultants responsible for program management of the Riyadh Metro – the largest metro system under development in the world. We, managed successful delivery of the newly opened Abu Dhabi International Airport tripling the size of the previous terminals, led the Dubai Strategic Sewage Network program to increase capacity and sustainability, managed Lusail City Development the largest ever city development in Qatar, and provided program management of Riyadh’s King Abdullah Financial District prime business, hospitality and lifestyle destination.</w:t>
      </w:r>
    </w:p>
    <w:p>
      <w:pPr>
        <w:spacing w:after="0" w:line="74" w:lineRule="exact"/>
        <w:rPr>
          <w:rFonts w:ascii="Times New Roman" w:cs="Times New Roman" w:eastAsia="Times New Roman" w:hAnsi="Times New Roman"/>
          <w:sz w:val="18"/>
          <w:szCs w:val="18"/>
          <w:color w:val="auto"/>
        </w:rPr>
      </w:pPr>
    </w:p>
    <w:p>
      <w:pPr>
        <w:ind w:left="1024" w:right="360" w:hanging="514"/>
        <w:spacing w:after="0" w:line="252" w:lineRule="auto"/>
        <w:tabs>
          <w:tab w:leader="none" w:pos="1024"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are members of various collaborative delivery models, including Delivery Partner on the Qiddiya destination city development on the outskirts of Riyadh, and as an Integrated Project Management team member on NEOM The Line sustainable city in Saudi Arabia.</w:t>
      </w:r>
    </w:p>
    <w:p>
      <w:pPr>
        <w:spacing w:after="0" w:line="61" w:lineRule="exact"/>
        <w:rPr>
          <w:rFonts w:ascii="Times New Roman" w:cs="Times New Roman" w:eastAsia="Times New Roman" w:hAnsi="Times New Roman"/>
          <w:sz w:val="18"/>
          <w:szCs w:val="18"/>
          <w:color w:val="auto"/>
        </w:rPr>
      </w:pPr>
    </w:p>
    <w:p>
      <w:pPr>
        <w:ind w:left="1024" w:hanging="514"/>
        <w:spacing w:after="0" w:line="243" w:lineRule="auto"/>
        <w:tabs>
          <w:tab w:leader="none" w:pos="1024"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Parsons is considered a go-to service provider for successful and timely delivery of world events with fixed opening dates, including UAE’s World Expo 2020 for which Parsons provided site-wide infrastructure and landscape design, as well as construction supervision services; and for FIFA World Cup 2022, where services from transportation management planning to vehicle access strategies were provided to manage traffic and build resilient infrastructure for the mega sporting event.</w:t>
      </w:r>
    </w:p>
    <w:p>
      <w:pPr>
        <w:spacing w:after="0" w:line="70" w:lineRule="exact"/>
        <w:rPr>
          <w:rFonts w:ascii="Times New Roman" w:cs="Times New Roman" w:eastAsia="Times New Roman" w:hAnsi="Times New Roman"/>
          <w:sz w:val="18"/>
          <w:szCs w:val="18"/>
          <w:color w:val="auto"/>
        </w:rPr>
      </w:pPr>
    </w:p>
    <w:p>
      <w:pPr>
        <w:ind w:left="1024" w:right="260" w:hanging="514"/>
        <w:spacing w:after="0" w:line="260" w:lineRule="auto"/>
        <w:tabs>
          <w:tab w:leader="none" w:pos="1024"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team maintains a keen focus on innovative practices. As an example, we are integrating cutting-edge construction supervision technologies across over 30 major GCC projects, enhancing efficiency and capabilities and driving much needed innovation in the construction industry.</w:t>
      </w:r>
    </w:p>
    <w:p>
      <w:pPr>
        <w:spacing w:after="0" w:line="392" w:lineRule="exact"/>
        <w:rPr>
          <w:sz w:val="20"/>
          <w:szCs w:val="20"/>
          <w:color w:val="auto"/>
        </w:rPr>
      </w:pPr>
    </w:p>
    <w:p>
      <w:pPr>
        <w:jc w:val="center"/>
        <w:ind w:right="456"/>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475615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4"/>
          </w:cols>
          <w:pgMar w:left="836" w:top="1440" w:right="379" w:bottom="1440" w:gutter="0" w:footer="0" w:header="0"/>
        </w:sectPr>
      </w:pPr>
    </w:p>
    <w:bookmarkStart w:id="10" w:name="page11"/>
    <w:bookmarkEnd w:id="10"/>
    <w:p>
      <w:pPr>
        <w:spacing w:after="0" w:line="84" w:lineRule="exact"/>
        <w:rPr>
          <w:sz w:val="20"/>
          <w:szCs w:val="20"/>
          <w:color w:val="auto"/>
        </w:rPr>
      </w:pPr>
    </w:p>
    <w:p>
      <w:pPr>
        <w:ind w:left="1540" w:right="100" w:hanging="514"/>
        <w:spacing w:after="0" w:line="241" w:lineRule="auto"/>
        <w:tabs>
          <w:tab w:leader="none" w:pos="15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Smart Solutions Lab provides digital solutions to our clients as an important and integral aspect of our technical offerings. Within our Advisory Services group, Parsons is providing clients with relevant asset information across the full range of asset types to enable management decisions and maximize ROI. We help clients optimize their lifecycle costs with a focus on O&amp;M, including the provision of O&amp;M planning and inspections on various roads including Dubai’s Shindagha Bridge, modeling the O&amp;M outlook for Dubai Municipality on its major Strategic Sewage Tunnel Program, and setting O&amp;M strategies for optimized asset operations for mega cities such as Qiddiya and NEOM.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Opportunities</w:t>
      </w:r>
    </w:p>
    <w:p>
      <w:pPr>
        <w:spacing w:after="0" w:line="103"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Technology revolution and environmental impact is driving a swift pace of change, resulting in ongoing societal transformation, complicated geopolitical dynamics, a shifting threat landscape and the globalization of commerce. To address this evolving landscape, our customers are actively seeking technology-enabled solutions at the speed of relevancy to upgrade and transform assets and operations. The below trends are key growth drivers in both our Federal Solutions and Critical Infrastructure segments.</w:t>
      </w:r>
    </w:p>
    <w:p>
      <w:pPr>
        <w:spacing w:after="0" w:line="17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b w:val="1"/>
          <w:bCs w:val="1"/>
          <w:i w:val="1"/>
          <w:iCs w:val="1"/>
          <w:color w:val="auto"/>
        </w:rPr>
        <w:t xml:space="preserve">Defense Spending Remains a Priority </w:t>
      </w:r>
      <w:r>
        <w:rPr>
          <w:rFonts w:ascii="Arial" w:cs="Arial" w:eastAsia="Arial" w:hAnsi="Arial"/>
          <w:sz w:val="18"/>
          <w:szCs w:val="18"/>
          <w:color w:val="auto"/>
        </w:rPr>
        <w:t>of the national agenda due to the reemergence of long-term strategic peer competition,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cited in the National Defense Strategy as the primary concern for U.S. national prosperity and security. This reemergence has resulted in increased global disorder and a security environment, defined by rapid technological change, which may be more complex than ever before. We believe the U.S. Department of Defense and Intelligence Community will continue to invest in cyber, space, intelligence, missile defense, and critical infrastructure protection. In addition, as a result of supporting ongoing war efforts, ammunition and munitions need to be replenished and the Army ammunition plants must be modernized to support this need.</w:t>
      </w:r>
    </w:p>
    <w:p>
      <w:pPr>
        <w:spacing w:after="0" w:line="182" w:lineRule="exact"/>
        <w:rPr>
          <w:sz w:val="20"/>
          <w:szCs w:val="20"/>
          <w:color w:val="auto"/>
        </w:rPr>
      </w:pPr>
    </w:p>
    <w:p>
      <w:pPr>
        <w:ind w:firstLine="509"/>
        <w:spacing w:after="0"/>
        <w:rPr>
          <w:sz w:val="20"/>
          <w:szCs w:val="20"/>
          <w:color w:val="auto"/>
        </w:rPr>
      </w:pPr>
      <w:r>
        <w:rPr>
          <w:rFonts w:ascii="Arial" w:cs="Arial" w:eastAsia="Arial" w:hAnsi="Arial"/>
          <w:sz w:val="18"/>
          <w:szCs w:val="18"/>
          <w:b w:val="1"/>
          <w:bCs w:val="1"/>
          <w:i w:val="1"/>
          <w:iCs w:val="1"/>
          <w:color w:val="auto"/>
        </w:rPr>
        <w:t xml:space="preserve">Cybersecurity is Mission Critical to U.S. National Security </w:t>
      </w:r>
      <w:r>
        <w:rPr>
          <w:rFonts w:ascii="Arial" w:cs="Arial" w:eastAsia="Arial" w:hAnsi="Arial"/>
          <w:sz w:val="18"/>
          <w:szCs w:val="18"/>
          <w:color w:val="auto"/>
        </w:rPr>
        <w:t>and cybersecurity threats are increasing in volume and sophistication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connectivity and the rise of social media have led to an explosion in the amount of available and exploitable data. Additionally, there has been an increase in aggressive nation state cyber activity in the past year partly driven by the Russia-Ukraine war and attacks on Ukraine’s critical infrastructure. Attacks by cyber-criminals seeking financial gain are also growing in volume and sophistication. We believe that the cybersecurity market will continue to grow in response to the nation state threat landscape and the vulnerabilities inherent in critical infrastructure. Our unique portfolio of Federal Solutions and Critical Infrastructure provides the technical capabilities to detect and prevent cyberattacks along with the domain knowledge to understand how infrastructure operates.</w:t>
      </w:r>
    </w:p>
    <w:p>
      <w:pPr>
        <w:spacing w:after="0" w:line="18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b w:val="1"/>
          <w:bCs w:val="1"/>
          <w:i w:val="1"/>
          <w:iCs w:val="1"/>
          <w:color w:val="auto"/>
        </w:rPr>
        <w:t xml:space="preserve">Consistent Need for Actionable Intelligence to Support U.S. Priorities </w:t>
      </w:r>
      <w:r>
        <w:rPr>
          <w:rFonts w:ascii="Arial" w:cs="Arial" w:eastAsia="Arial" w:hAnsi="Arial"/>
          <w:sz w:val="18"/>
          <w:szCs w:val="18"/>
          <w:color w:val="auto"/>
        </w:rPr>
        <w:t>is driving a shifting threat landscape that necessitates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need for collaboration and cooperation between intelligence agencies. There is a new demand for joint all-domain command and control systems that are optimized to function cohesively across a spectrum of domains. This in turn drives a need for sophisticated data analytics to aggregate data into useful formats in real-time. To respond, we believe the United States intelligence community and Department of Defense will need continued focus on information sharing and collaboration for improved intelligence accuracy and timeliness encompassing multiple forms of intelligence collection.</w:t>
      </w:r>
    </w:p>
    <w:p>
      <w:pPr>
        <w:spacing w:after="0" w:line="182"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b w:val="1"/>
          <w:bCs w:val="1"/>
          <w:i w:val="1"/>
          <w:iCs w:val="1"/>
          <w:color w:val="auto"/>
        </w:rPr>
        <w:t xml:space="preserve">Indo-Pacific is the Department of Defense’s Priority Theater. </w:t>
      </w:r>
      <w:r>
        <w:rPr>
          <w:rFonts w:ascii="Arial" w:cs="Arial" w:eastAsia="Arial" w:hAnsi="Arial"/>
          <w:sz w:val="18"/>
          <w:szCs w:val="18"/>
          <w:color w:val="auto"/>
        </w:rPr>
        <w:t>The United States has an enduring commitment to uphold a free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open Indo-Pacific region. This has become complicated due to inter-state strategic competition and increasingly complex security environment. The United States is focused on competing, deterring and winning in this environment to safeguard free and open international order. To answer this demand, the FY 2024 National Defense Authorization Act includes a $14.7 billion request for the Pacific Deterrence Initiative to fund a stronger force posture including better defenses for Hawaii and Guam, improving infrastructure and logistics/prepositioning, and deeper cooperation with allies and partners.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91"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b w:val="1"/>
          <w:bCs w:val="1"/>
          <w:i w:val="1"/>
          <w:iCs w:val="1"/>
          <w:color w:val="auto"/>
        </w:rPr>
        <w:t>Global Infrastructure Needs Significant Replacements and Technology-Driven Upgrades</w:t>
      </w:r>
      <w:r>
        <w:rPr>
          <w:rFonts w:ascii="Arial" w:cs="Arial" w:eastAsia="Arial" w:hAnsi="Arial"/>
          <w:sz w:val="18"/>
          <w:szCs w:val="18"/>
          <w:color w:val="auto"/>
        </w:rPr>
        <w:t>. Aging physical infrastructure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strained by the swift pace of technological change combined with heightened new expectations for sustainability and environmental impact. Furthermore, modernized infrastructure is important to recover from unexpected disasters caused by climate change. The $1.2 trillion United States Infrastructure Investment and Jobs Act (IIJA) has increased funding for roads and highways, bridges, rail and transit, and aviation. Additionally, global infrastructure is aging and there is demand in other regions, including Canada and the Middle East. The Middle East has a planned spend that exceeds $1.5 trillion per the Middle East Economic Digest and Canada has invested $140 billion through the Investing in Canada Plan launched in 2016 for a 12-year period. In particular, the Saudi Vision 2030 focus is driving major industrial city and urban development projects. Critical infrastructure, specifically transportation infrastructure that is essential to national economic and security concerns, is also vulnerable to cyber threats. We believe that a focus on safety, security, sustainability and environmental impacts will continue to drive replacement of aging infrastructure.</w:t>
      </w:r>
    </w:p>
    <w:p>
      <w:pPr>
        <w:spacing w:after="0" w:line="186" w:lineRule="exact"/>
        <w:rPr>
          <w:sz w:val="20"/>
          <w:szCs w:val="20"/>
          <w:color w:val="auto"/>
        </w:rPr>
      </w:pPr>
    </w:p>
    <w:p>
      <w:pPr>
        <w:ind w:firstLine="509"/>
        <w:spacing w:after="0"/>
        <w:rPr>
          <w:sz w:val="20"/>
          <w:szCs w:val="20"/>
          <w:color w:val="auto"/>
        </w:rPr>
      </w:pPr>
      <w:r>
        <w:rPr>
          <w:rFonts w:ascii="Arial" w:cs="Arial" w:eastAsia="Arial" w:hAnsi="Arial"/>
          <w:sz w:val="18"/>
          <w:szCs w:val="18"/>
          <w:b w:val="1"/>
          <w:bCs w:val="1"/>
          <w:i w:val="1"/>
          <w:iCs w:val="1"/>
          <w:color w:val="auto"/>
        </w:rPr>
        <w:t>Per- and Polyfluoroalkyl Substances (PFAS) Remediation</w:t>
      </w:r>
      <w:r>
        <w:rPr>
          <w:rFonts w:ascii="Arial" w:cs="Arial" w:eastAsia="Arial" w:hAnsi="Arial"/>
          <w:sz w:val="18"/>
          <w:szCs w:val="18"/>
          <w:color w:val="auto"/>
        </w:rPr>
        <w:t>. PFAS are manufactured chemicals that have been used in industry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products since the 1940s. Scientific studies have shown that exposure to PFAS in the environment may be linked to harmful health effects in humans and animals. Therefore, there is a need to reduce PFAS in the environment – groundwater, soil, and surface water. The Environmental Protection Agency has taken actions, including $10 billion of funding to address emerging contaminants in the IIJA, issuing health advisories and proposing new, legally enforceable Maximum Contaminant Levels for PFAS substances found in drinking water. Parsons has unique capabilities, expertise, and experience to mitigate PFAS risks and liabilities for both our federal and infrastructure customers.</w:t>
      </w:r>
    </w:p>
    <w:p>
      <w:pPr>
        <w:spacing w:after="0" w:line="183"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b w:val="1"/>
          <w:bCs w:val="1"/>
          <w:i w:val="1"/>
          <w:iCs w:val="1"/>
          <w:color w:val="auto"/>
        </w:rPr>
        <w:t>Urbanization Creates Demand for Smart Cities with Connected Populations</w:t>
      </w:r>
      <w:r>
        <w:rPr>
          <w:rFonts w:ascii="Arial" w:cs="Arial" w:eastAsia="Arial" w:hAnsi="Arial"/>
          <w:sz w:val="18"/>
          <w:szCs w:val="18"/>
          <w:color w:val="auto"/>
        </w:rPr>
        <w:t>. Cities around the globe increasingly demand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connected and more sustainable capabilities, such as sensor networks and communication strategies to connect streetlights, security cameras' and emergency systems, to provide important real-time information and better serve their citizens and reduce carbon emissions. Integrated corridor management solutions, intelligent transportation systems, advanced rail systems and updated telecommunication networks will keep cities around the world functioning as smart and sustainable cities and serve as engines for economic growth.</w:t>
      </w:r>
    </w:p>
    <w:p>
      <w:pPr>
        <w:spacing w:after="0" w:line="179" w:lineRule="exact"/>
        <w:rPr>
          <w:sz w:val="20"/>
          <w:szCs w:val="20"/>
          <w:color w:val="auto"/>
        </w:rPr>
      </w:pPr>
    </w:p>
    <w:p>
      <w:pPr>
        <w:ind w:right="60" w:firstLine="509"/>
        <w:spacing w:after="0"/>
        <w:rPr>
          <w:sz w:val="20"/>
          <w:szCs w:val="20"/>
          <w:color w:val="auto"/>
        </w:rPr>
      </w:pPr>
      <w:r>
        <w:rPr>
          <w:rFonts w:ascii="Arial" w:cs="Arial" w:eastAsia="Arial" w:hAnsi="Arial"/>
          <w:sz w:val="18"/>
          <w:szCs w:val="18"/>
          <w:b w:val="1"/>
          <w:bCs w:val="1"/>
          <w:i w:val="1"/>
          <w:iCs w:val="1"/>
          <w:color w:val="auto"/>
        </w:rPr>
        <w:t>Transformation of Legacy Service Delivery Models through Technology and Digital Transformation</w:t>
      </w:r>
      <w:r>
        <w:rPr>
          <w:rFonts w:ascii="Arial" w:cs="Arial" w:eastAsia="Arial" w:hAnsi="Arial"/>
          <w:sz w:val="18"/>
          <w:szCs w:val="18"/>
          <w:color w:val="auto"/>
        </w:rPr>
        <w:t>. Historical capital project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is changing with the introduction of cloud-connected computer-aided design, automation, big data, machine learning, and other technologies. The introduction of these new technologies allows industry participants to reimagine existing value chains, address integrated lifecycle objectives, assure human rights are observed in their supply chains, provide environmentally sensitive and sustainable solutions, boost productivity, and streamline project management. Industry participants that have the capability to embrace these new technologies to enhance their capability and service offering to higher value solutions will be well positioned to assist governments and communities in their transformation.</w:t>
      </w:r>
    </w:p>
    <w:p>
      <w:pPr>
        <w:spacing w:after="0" w:line="183" w:lineRule="exact"/>
        <w:rPr>
          <w:sz w:val="20"/>
          <w:szCs w:val="20"/>
          <w:color w:val="auto"/>
        </w:rPr>
      </w:pPr>
    </w:p>
    <w:p>
      <w:pPr>
        <w:jc w:val="both"/>
        <w:ind w:right="260" w:firstLine="509"/>
        <w:spacing w:after="0" w:line="252" w:lineRule="auto"/>
        <w:rPr>
          <w:sz w:val="20"/>
          <w:szCs w:val="20"/>
          <w:color w:val="auto"/>
        </w:rPr>
      </w:pPr>
      <w:r>
        <w:rPr>
          <w:rFonts w:ascii="Arial" w:cs="Arial" w:eastAsia="Arial" w:hAnsi="Arial"/>
          <w:sz w:val="18"/>
          <w:szCs w:val="18"/>
          <w:color w:val="auto"/>
        </w:rPr>
        <w:t>Change equals opportunity, and Parsons is well-positioned to serve a large array of diverse global customers. Across a broad set of industries, we provide smart and agile solutions that create the future for our national security and critical infrastructure customers as they adapt to the rapid changes of a more interconnected and technology-driven world.</w:t>
      </w:r>
    </w:p>
    <w:p>
      <w:pPr>
        <w:spacing w:after="0" w:line="278" w:lineRule="exact"/>
        <w:rPr>
          <w:sz w:val="20"/>
          <w:szCs w:val="20"/>
          <w:color w:val="auto"/>
        </w:rPr>
      </w:pPr>
    </w:p>
    <w:p>
      <w:pPr>
        <w:jc w:val="right"/>
        <w:ind w:right="8920"/>
        <w:spacing w:after="0"/>
        <w:rPr>
          <w:sz w:val="20"/>
          <w:szCs w:val="20"/>
          <w:color w:val="auto"/>
        </w:rPr>
      </w:pPr>
      <w:r>
        <w:rPr>
          <w:rFonts w:ascii="Arial" w:cs="Arial" w:eastAsia="Arial" w:hAnsi="Arial"/>
          <w:sz w:val="18"/>
          <w:szCs w:val="18"/>
          <w:b w:val="1"/>
          <w:bCs w:val="1"/>
          <w:color w:val="auto"/>
        </w:rPr>
        <w:t>Our Competitive Strengths</w:t>
      </w:r>
    </w:p>
    <w:p>
      <w:pPr>
        <w:spacing w:after="0" w:line="105" w:lineRule="exact"/>
        <w:rPr>
          <w:sz w:val="20"/>
          <w:szCs w:val="20"/>
          <w:color w:val="auto"/>
        </w:rPr>
      </w:pPr>
    </w:p>
    <w:p>
      <w:pPr>
        <w:jc w:val="right"/>
        <w:ind w:right="8900"/>
        <w:spacing w:after="0"/>
        <w:rPr>
          <w:sz w:val="20"/>
          <w:szCs w:val="20"/>
          <w:color w:val="auto"/>
        </w:rPr>
      </w:pPr>
      <w:r>
        <w:rPr>
          <w:rFonts w:ascii="Arial" w:cs="Arial" w:eastAsia="Arial" w:hAnsi="Arial"/>
          <w:sz w:val="18"/>
          <w:szCs w:val="18"/>
          <w:b w:val="1"/>
          <w:bCs w:val="1"/>
          <w:i w:val="1"/>
          <w:iCs w:val="1"/>
          <w:color w:val="auto"/>
        </w:rPr>
        <w:t>Proven Track Record</w:t>
      </w:r>
    </w:p>
    <w:p>
      <w:pPr>
        <w:spacing w:after="0" w:line="101" w:lineRule="exact"/>
        <w:rPr>
          <w:sz w:val="20"/>
          <w:szCs w:val="20"/>
          <w:color w:val="auto"/>
        </w:rPr>
      </w:pPr>
    </w:p>
    <w:p>
      <w:pPr>
        <w:ind w:right="380" w:firstLine="509"/>
        <w:spacing w:after="0" w:line="246" w:lineRule="auto"/>
        <w:rPr>
          <w:sz w:val="20"/>
          <w:szCs w:val="20"/>
          <w:color w:val="auto"/>
        </w:rPr>
      </w:pPr>
      <w:r>
        <w:rPr>
          <w:rFonts w:ascii="Arial" w:cs="Arial" w:eastAsia="Arial" w:hAnsi="Arial"/>
          <w:sz w:val="18"/>
          <w:szCs w:val="18"/>
          <w:color w:val="auto"/>
        </w:rPr>
        <w:t>Our proven track record is a result of our strong performance, the dedication of our employees and our longstanding customer relationships. We focus on being a company that delivers on its promises, holds integrity at the highest level and successfully assists our clients as they execute their most complex missions. Driven by our integrated people, processes and technology approach, we have a reputation for innovation and delivering mission outcomes for our customers’ most important endeavors.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9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differentiated business model has driven high win rates with strong book-to-bill, leading organic revenue growth, expanded bottom line performance, and low capital requirements. We achieved average award and incentive fees of 92% in fiscal 2023, 91% in fiscal 2022 and 93% in fiscal 2021. Incentive fees are fees earned for achievement of certain performance criteria included in our contracts, such as achievement of target completion dates or target costs, and our incentive fees average is calculated as the actual incentive fees achieved as a percentage of incentive fees expected to be earned in the applicable period. In addition, we achieved a win rate of 66% in fiscal 2023, 49% in fiscal 2022 and 56% in fiscal 2021. Our re-compete win rate was 93% in fiscal 2023, 89% in fiscal 2022 and 99% in fiscal 2021. In fiscal 2023, our Federal Solutions revenues increased 36% and our Critical Infrastructure revenues increased 22% year-over-year. As of December 31, 2023, our backlog was $8.6 billion, an increase of 5% from year end fiscal 2022.</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Long-Term Customer Relationships</w:t>
      </w:r>
    </w:p>
    <w:p>
      <w:pPr>
        <w:spacing w:after="0" w:line="101"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auto"/>
        </w:rPr>
        <w:t>We maintain long-term relationships with key government and commercial customers, many of which span over 40 years. For example, in the Federal Solutions segment, we have been providing support to the Missile Defense Agency for nearly 40 years with over 1,000 personnel embedded with the customer. We have provided services to the Department of Energy (DOE) for over 50 years on a variety of projects, including work on DOE’s Loan Guarantee Program that funds renewable and clean energy projects, and have provided over 20 years of support to the United States Space Force customers. In the Critical Infrastructure segment, we have supported the Washington Metropolitan Area Transit Authority for over 50 years and have served as Program Manager for Yanbu Industrial City for nearly 50 years.</w:t>
      </w:r>
    </w:p>
    <w:p>
      <w:pPr>
        <w:spacing w:after="0" w:line="16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These longstanding relationships give us the insight and customer intimacy to align our research and development investments based on customer needs and enable high win rates for prime contract positions on the most technically demanding assignments. We believe that our position as a recognized leader in integrity, innovation, operational efficiency, safety and security, environmental and health, and our ability to deliver exceptional quality, has resulted in a high level of re-compete wins and has driven substantial customer loyalty. Our six core markets, including cybersecurity and intelligence, space and missile defense, critical infrastructure protection, transportation, environmental remediation and urban development require leading-edge technologies and extensive technical know-how, and necessitate consistently exceptional performance, thus further entrenching us with our key customers and driving our long-term relationships.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0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Technology and our people are our most important assets, together they underpin our ability to consistently deliver for our customers. Investment in key technological capabilities is core to our business and helps us to stay at the forefront of the evolving trends across our end markets. To meet the challenges of tomorrow, we are focusing our technology investment in areas including artificial intelligence and machine learning; digital transformation; space, cyber and electronic warfare; assured position navigation and timing; emerging contaminant remediation; and quantum computing. The work of our diverse and collaborative, highly skilled and dedicated employees has enabled our long track record of continued innovation and execution on behalf of our customers. Our team of engineers, scientists, programmers and other specialists include PhDs and certified hackers, and a large number of our skilled workforce hold government security clearances, which provides a competitive advantage for the highly technical and demanding work we perform. Our dual technical career path and Technical Fellows program enable retention and development of our strong technical talent.</w:t>
      </w:r>
    </w:p>
    <w:p>
      <w:pPr>
        <w:spacing w:after="0" w:line="181"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Leveraging our agile innovation framework and a cadre of seasoned domain experts, solutions architects, and technologists, we seek customer challenges and lead with innovative solutions to drive growth. Additionally, through our acquisitions, we continue to enhance our overall capability offerings in innovative ways, providing more robust solutions that meet our customers’ most challenging needs.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Environmental Sustainability and Resiliency Excellence</w:t>
      </w:r>
    </w:p>
    <w:p>
      <w:pPr>
        <w:spacing w:after="0" w:line="101"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Delivering a safer, healthier and more connected world means a focus on environmental sustainability, resilience, conservation and lifecycle impacts. For Parsons, sustainability is a core value. We provide services to plan, design and support complex sustainable projects for our customers across the markets we serve, including transportation (aviation, rail and transit, intelligent transportation systems), ports, buildings, environmental remediation, and water/wastewater treatment.</w:t>
      </w:r>
    </w:p>
    <w:p>
      <w:pPr>
        <w:spacing w:after="0" w:line="176" w:lineRule="exact"/>
        <w:rPr>
          <w:sz w:val="20"/>
          <w:szCs w:val="20"/>
          <w:color w:val="auto"/>
        </w:rPr>
      </w:pPr>
    </w:p>
    <w:p>
      <w:pPr>
        <w:ind w:right="340" w:firstLine="509"/>
        <w:spacing w:after="0" w:line="252" w:lineRule="auto"/>
        <w:rPr>
          <w:sz w:val="20"/>
          <w:szCs w:val="20"/>
          <w:color w:val="auto"/>
        </w:rPr>
      </w:pPr>
      <w:r>
        <w:rPr>
          <w:rFonts w:ascii="Arial" w:cs="Arial" w:eastAsia="Arial" w:hAnsi="Arial"/>
          <w:sz w:val="18"/>
          <w:szCs w:val="18"/>
          <w:color w:val="auto"/>
        </w:rPr>
        <w:t>With over 233 sustainability accreditations, we deliver resilient infrastructure, green building and renewable energy programs and projects that utilize best industry practices, as well as utilize leading edge technology and tools to provide environmental remediation. We work with customers to achieve and obtain the highest possible ratings such as the LEED, Envision, Estidama, and others.</w:t>
      </w:r>
    </w:p>
    <w:p>
      <w:pPr>
        <w:spacing w:after="0" w:line="171"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We are proud to work with customers, such as the Indiana Finance Authority, on the first bridge and tunnel project to achieve Envision recognition; and we have obtained LEED certifications of transit and aviation facilities with customers in the United States, United Arab Emirates and the Kingdom of Saudi Arabia.</w:t>
      </w:r>
    </w:p>
    <w:p>
      <w:pPr>
        <w:spacing w:after="0" w:line="171"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Parsons is focused on the risks and opportunities associated with climate change. In 2023, Parsons elected to disclose information related to our climate-related governance, risk management and metrics utilizing the Task Force on Climate-Related Financial Disclosures (TCFD) framework. We conducted climate risk and opportunity workshops with senior leaders representing a cross-section of our geographies, markets and corporate functions. By releasing annual Environmental, Social and Governance (ESG) disclosures and increasing our transparency, we received improved ratings from ISS, MSCI, Sustainalytics and S&amp;P Global.</w:t>
      </w:r>
    </w:p>
    <w:p>
      <w:pPr>
        <w:spacing w:after="0" w:line="179"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The Corporate Governance and Responsibility Committee of our Board of Directors provides oversight of environmental, social and governance (ESG), including climate-related topics, and the Audit and Risk Committee provides oversight of our enterprise risk management program, including climate-related risks. Our Chief Executive Officer holds overall executive-level responsibility for ESG. Primary responsibility for ESG risk and opportunity identification and management is assigned to our vice president for ESG.</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Scalable and Agile Business Offerings</w:t>
      </w:r>
    </w:p>
    <w:p>
      <w:pPr>
        <w:spacing w:after="0" w:line="10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scalable and agile offerings enable us to satisfy robust and evolving customer needs. The demanding environments where we operate are characterized by a need for high-confidence solutions, widespread application and mission critical outcomes. We pride ourselves on providing agile technologies through inventive and refined processes that provide quality outcomes to our customers on time sensitive projects. Our domain knowledge of our customers’ current and emerging requirements enables us to deliver responsive, high-quality solutions on time and with operational relevance. By having the ability to respond to customers’ requirements with global deployment capability, we are well positioned to be the preferred contractor for many of our customers’ needs.</w:t>
      </w:r>
    </w:p>
    <w:p>
      <w:pPr>
        <w:spacing w:after="0" w:line="182" w:lineRule="exact"/>
        <w:rPr>
          <w:sz w:val="20"/>
          <w:szCs w:val="20"/>
          <w:color w:val="auto"/>
        </w:rPr>
      </w:pPr>
    </w:p>
    <w:p>
      <w:pPr>
        <w:jc w:val="both"/>
        <w:ind w:right="360" w:firstLine="509"/>
        <w:spacing w:after="0" w:line="252" w:lineRule="auto"/>
        <w:rPr>
          <w:sz w:val="20"/>
          <w:szCs w:val="20"/>
          <w:color w:val="auto"/>
        </w:rPr>
      </w:pPr>
      <w:r>
        <w:rPr>
          <w:rFonts w:ascii="Arial" w:cs="Arial" w:eastAsia="Arial" w:hAnsi="Arial"/>
          <w:sz w:val="18"/>
          <w:szCs w:val="18"/>
          <w:color w:val="auto"/>
        </w:rPr>
        <w:t>Our technologies and platforms are designed to be applicable across end user markets and sub-markets. This approach allows for scalable solutions that can be quickly and seamlessly integrated into multiple customer applications, regardless of geography or industry, allowing us to deploy a given service or platform across multiple markets.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World Class Talent</w:t>
      </w:r>
    </w:p>
    <w:p>
      <w:pPr>
        <w:spacing w:after="0" w:line="10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believe that our resilience – and that of the communities in which we work – relies on advancing equality in the workplace through a diverse community of innovators and an empowered workforce. We also aim to be the employer of choice for top talent in every market that we serve by fostering a positive culture for employee engagement; focusing on diversity, equity, and inclusion; emphasizing health and wellbeing for all employees; and encouraging career development at all levels of the organization. Our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success is measured by our business performance, by the enthusiasm of our employees, and by our commitment to our employees’ growth.</w:t>
      </w:r>
    </w:p>
    <w:p>
      <w:pPr>
        <w:spacing w:after="0" w:line="3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Demonstrated Ability to Identify and Execute Acquisitions to Transform our Business</w:t>
      </w:r>
    </w:p>
    <w:p>
      <w:pPr>
        <w:spacing w:after="0" w:line="10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Strategic acquisitions that augment our technology offerings and capabilities are a key tenet of our growth strategy. We have completed eleven strategic acquisitions since 2017. Nine of these acquisitions were within the Federal Solutions business segment with the remaining two (IPKeys Power Partners and I.S. Engineers, LLC) in the Critical Infrastructure segment. Our focus continues to be moving up the value chain with technology differentiation and in particular software. We seek companies that meet our strict financial criteria and have a similar mission-focused culture. These acquisitions include:</w:t>
      </w:r>
    </w:p>
    <w:p>
      <w:pPr>
        <w:spacing w:after="0" w:line="71" w:lineRule="exact"/>
        <w:rPr>
          <w:sz w:val="20"/>
          <w:szCs w:val="20"/>
          <w:color w:val="auto"/>
        </w:rPr>
      </w:pPr>
    </w:p>
    <w:p>
      <w:pPr>
        <w:ind w:left="1020" w:right="20" w:hanging="504"/>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I.S. Engineers, LLC: Acquired on October 31, 2023 for a purchase price of $12.2 million. IS Engineers is a full-service consulting engineering firm which specializes in transportation engineering, including roads and highways, and program management located in Texas. Texas is poised to receive nearly $30 billion in total transportation funding from the Infrastructure Investment and Jobs Act between 2022 and 2026.</w:t>
      </w:r>
    </w:p>
    <w:p>
      <w:pPr>
        <w:spacing w:after="0" w:line="67" w:lineRule="exact"/>
        <w:rPr>
          <w:rFonts w:ascii="Times New Roman" w:cs="Times New Roman" w:eastAsia="Times New Roman" w:hAnsi="Times New Roman"/>
          <w:sz w:val="18"/>
          <w:szCs w:val="18"/>
          <w:color w:val="auto"/>
        </w:rPr>
      </w:pPr>
    </w:p>
    <w:p>
      <w:pPr>
        <w:ind w:left="1020" w:right="20" w:hanging="504"/>
        <w:spacing w:after="0" w:line="243"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Sealing Technologies, Inc.: Acquired on August 22, 2023 for a purchase price of $179.3 million. SealingTech expands Parsons’ customer base across the Department of Defense and Intelligence Communities and further enhances Parsons’ capabilities in defensive cyber operations; integrated mission-solutions powered by artificial intelligence (AI) and machine learning (ML); edge computing and edge access modernization; critical infrastructure protection, and secure data management that protects national security.</w:t>
      </w:r>
    </w:p>
    <w:p>
      <w:pPr>
        <w:spacing w:after="0" w:line="70" w:lineRule="exact"/>
        <w:rPr>
          <w:rFonts w:ascii="Times New Roman" w:cs="Times New Roman" w:eastAsia="Times New Roman" w:hAnsi="Times New Roman"/>
          <w:sz w:val="18"/>
          <w:szCs w:val="18"/>
          <w:color w:val="auto"/>
        </w:rPr>
      </w:pPr>
    </w:p>
    <w:p>
      <w:pPr>
        <w:ind w:left="1020" w:hanging="504"/>
        <w:spacing w:after="0" w:line="243"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IPKeys Power Partners, Inc.: Acquired on March 13, 2023 for a total purchase price of $43 million. IPKeys enhances Parsons’ critical infrastructure protection capabilities through comprehensive cloud-based cybersecurity, software solutions that operate at the intersection of information and operational technology (IT and OT), and technologies that will help accelerate the global clean energy transition. This acquisition expands Parsons’ presence in two rapidly growing end markets: grid modernization and cyber resiliency for critical infrastructure.</w:t>
      </w:r>
    </w:p>
    <w:p>
      <w:pPr>
        <w:spacing w:after="0" w:line="70" w:lineRule="exact"/>
        <w:rPr>
          <w:rFonts w:ascii="Times New Roman" w:cs="Times New Roman" w:eastAsia="Times New Roman" w:hAnsi="Times New Roman"/>
          <w:sz w:val="18"/>
          <w:szCs w:val="18"/>
          <w:color w:val="auto"/>
        </w:rPr>
      </w:pPr>
    </w:p>
    <w:p>
      <w:pPr>
        <w:ind w:left="1020" w:right="40" w:hanging="504"/>
        <w:spacing w:after="0" w:line="241"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Xator Corporation: Acquired on June 1, 2022 at a purchase price of $387.5 million. Xator expands Parsons’ presence within the U.S. Special Operations Command, the Intelligence Community, Federal Civilian customers, and global critical infrastructure markets, while providing new customer access at the Department of State. Xator also expands Parsons’ customer base and brings differentiated technical capabilities in critical infrastructure protection, counter-unmanned aircraft systems (cUAS), intelligence and cyber solutions, biometrics, and global threat assessment and operations, increasing our addressable market in both the Federal Solutions and Critical Infrastructure segments.</w:t>
      </w:r>
    </w:p>
    <w:p>
      <w:pPr>
        <w:spacing w:after="0" w:line="73" w:lineRule="exact"/>
        <w:rPr>
          <w:rFonts w:ascii="Times New Roman" w:cs="Times New Roman" w:eastAsia="Times New Roman" w:hAnsi="Times New Roman"/>
          <w:sz w:val="18"/>
          <w:szCs w:val="18"/>
          <w:color w:val="auto"/>
        </w:rPr>
      </w:pPr>
    </w:p>
    <w:p>
      <w:pPr>
        <w:ind w:left="1020" w:right="140" w:hanging="504"/>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Echo Ridge LLC: Acquired on July 30, 2021 at a purchase price of $9 million. Echo Ridge adds position, navigation, and timing devices; modeling simulation, test and measurement tools; and deployable software defined radio products and signal processing services to Parsons’ space portfolio.</w:t>
      </w:r>
    </w:p>
    <w:p>
      <w:pPr>
        <w:spacing w:after="0" w:line="61" w:lineRule="exact"/>
        <w:rPr>
          <w:rFonts w:ascii="Times New Roman" w:cs="Times New Roman" w:eastAsia="Times New Roman" w:hAnsi="Times New Roman"/>
          <w:sz w:val="18"/>
          <w:szCs w:val="18"/>
          <w:color w:val="auto"/>
        </w:rPr>
      </w:pPr>
    </w:p>
    <w:p>
      <w:pPr>
        <w:ind w:left="1020" w:hanging="504"/>
        <w:spacing w:after="0" w:line="241"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BlackHorse Solutions, Inc.: Acquired July 6, 2021 at a purchase price of $205.0 million. Black Horse expands Parsons’ capabilities and products in next-generation military, intelligence, and space operations, specifically in cyber, electronic warfare, and information dominance. Black Horse’s technology is shaping the future of information dominance and converged military operations by unifying cyber, electromagnetic warfare, and information operations for the Department of Defense and Intelligence Community customers. The company also provides autonomous and distributed detection, identification, exploitation and the defeat of today’s most complex communications.</w:t>
      </w:r>
    </w:p>
    <w:p>
      <w:pPr>
        <w:spacing w:after="0" w:line="73" w:lineRule="exact"/>
        <w:rPr>
          <w:rFonts w:ascii="Times New Roman" w:cs="Times New Roman" w:eastAsia="Times New Roman" w:hAnsi="Times New Roman"/>
          <w:sz w:val="18"/>
          <w:szCs w:val="18"/>
          <w:color w:val="auto"/>
        </w:rPr>
      </w:pPr>
    </w:p>
    <w:p>
      <w:pPr>
        <w:ind w:left="1020" w:right="140" w:hanging="504"/>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Braxton Science and Technology Group, LLC: Acquired in November 2020 at a purchase price of $310.9 million ($267 million less the tax asset), Braxton operates at the forefront of satellite operations, ground automation, flight dynamics, and spacecraft antenna simulation for the U.S.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4" w:lineRule="exact"/>
        <w:rPr>
          <w:sz w:val="20"/>
          <w:szCs w:val="20"/>
          <w:color w:val="auto"/>
        </w:rPr>
      </w:pPr>
    </w:p>
    <w:p>
      <w:pPr>
        <w:ind w:left="1020" w:right="200"/>
        <w:spacing w:after="0" w:line="252" w:lineRule="auto"/>
        <w:rPr>
          <w:sz w:val="20"/>
          <w:szCs w:val="20"/>
          <w:color w:val="auto"/>
        </w:rPr>
      </w:pPr>
      <w:r>
        <w:rPr>
          <w:rFonts w:ascii="Arial" w:cs="Arial" w:eastAsia="Arial" w:hAnsi="Arial"/>
          <w:sz w:val="18"/>
          <w:szCs w:val="18"/>
          <w:color w:val="auto"/>
        </w:rPr>
        <w:t>Department of Defense and Intelligence Community. These capabilities position Parsons to capitalize on the quickly evolving space missions of its national security space customers and address rapid market growth driven by proliferated low earth orbit constellations, small satellite expansion and space cyber resiliency.</w:t>
      </w:r>
    </w:p>
    <w:p>
      <w:pPr>
        <w:spacing w:after="0" w:line="63" w:lineRule="exact"/>
        <w:rPr>
          <w:sz w:val="20"/>
          <w:szCs w:val="20"/>
          <w:color w:val="auto"/>
        </w:rPr>
      </w:pPr>
    </w:p>
    <w:p>
      <w:pPr>
        <w:ind w:left="1020" w:right="640" w:hanging="504"/>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QRC® Technologies: Acquired in 2019 at a purchase price of $214.1 million, QRC® Technologies is a disruptive product company that provides design and development of open-architecture radio-frequency products.</w:t>
      </w:r>
    </w:p>
    <w:p>
      <w:pPr>
        <w:spacing w:after="0" w:line="45" w:lineRule="exact"/>
        <w:rPr>
          <w:rFonts w:ascii="Times New Roman" w:cs="Times New Roman" w:eastAsia="Times New Roman" w:hAnsi="Times New Roman"/>
          <w:sz w:val="18"/>
          <w:szCs w:val="18"/>
          <w:color w:val="auto"/>
        </w:rPr>
      </w:pPr>
    </w:p>
    <w:p>
      <w:pPr>
        <w:ind w:left="1020" w:right="20" w:hanging="504"/>
        <w:spacing w:after="0" w:line="241"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OGSystems: Acquired in 2019 at a purchase price of $292.4 million, OGSystems is a disruptive geo-intelligence solutions and immersive engineering provider that creates technology solutions for the United States intelligence community and the U.S. Department of Defense. OGSystems’ VIPER Labs and Immersive Engineering techniques serve as the catalysts for deployment of geospatial systems and software, embedded system threat analytics and cloud engineering solutions. OGSystems’ advanced hardware solutions include the PeARL family of sensors, combining industry-leading camera and optic lens technologies with our software solutions, yielding very high resolution 2D and 3D aerial imagery.</w:t>
      </w:r>
    </w:p>
    <w:p>
      <w:pPr>
        <w:spacing w:after="0" w:line="73" w:lineRule="exact"/>
        <w:rPr>
          <w:rFonts w:ascii="Times New Roman" w:cs="Times New Roman" w:eastAsia="Times New Roman" w:hAnsi="Times New Roman"/>
          <w:sz w:val="18"/>
          <w:szCs w:val="18"/>
          <w:color w:val="auto"/>
        </w:rPr>
      </w:pPr>
    </w:p>
    <w:p>
      <w:pPr>
        <w:ind w:left="1020" w:right="560" w:hanging="504"/>
        <w:spacing w:after="0" w:line="246"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Polaris Alpha</w:t>
      </w:r>
      <w:r>
        <w:rPr>
          <w:rFonts w:ascii="Arial" w:cs="Arial" w:eastAsia="Arial" w:hAnsi="Arial"/>
          <w:sz w:val="18"/>
          <w:szCs w:val="18"/>
          <w:i w:val="1"/>
          <w:iCs w:val="1"/>
          <w:color w:val="auto"/>
        </w:rPr>
        <w:t>:</w:t>
      </w:r>
      <w:r>
        <w:rPr>
          <w:rFonts w:ascii="Arial" w:cs="Arial" w:eastAsia="Arial" w:hAnsi="Arial"/>
          <w:sz w:val="18"/>
          <w:szCs w:val="18"/>
          <w:color w:val="auto"/>
        </w:rPr>
        <w:t xml:space="preserve"> Acquired in 2018 at a purchase price of $489.1 million, Polaris Alpha is an advanced, technology-focused provider of innovative mission solutions for national security, intelligence, defense and other U.S. federal customers. With leading technologies in artificial intelligence/machine learning, cloud computing, command and control and data analytics, Polaris Alpha has long-term customer relationships and is known as a technology disruptor.</w:t>
      </w:r>
    </w:p>
    <w:p>
      <w:pPr>
        <w:spacing w:after="0" w:line="67" w:lineRule="exact"/>
        <w:rPr>
          <w:rFonts w:ascii="Times New Roman" w:cs="Times New Roman" w:eastAsia="Times New Roman" w:hAnsi="Times New Roman"/>
          <w:sz w:val="18"/>
          <w:szCs w:val="18"/>
          <w:color w:val="auto"/>
        </w:rPr>
      </w:pPr>
    </w:p>
    <w:p>
      <w:pPr>
        <w:ind w:left="1020" w:right="420" w:hanging="504"/>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Williams Electric</w:t>
      </w:r>
      <w:r>
        <w:rPr>
          <w:rFonts w:ascii="Arial" w:cs="Arial" w:eastAsia="Arial" w:hAnsi="Arial"/>
          <w:sz w:val="18"/>
          <w:szCs w:val="18"/>
          <w:i w:val="1"/>
          <w:iCs w:val="1"/>
          <w:color w:val="auto"/>
        </w:rPr>
        <w:t>.</w:t>
      </w:r>
      <w:r>
        <w:rPr>
          <w:rFonts w:ascii="Arial" w:cs="Arial" w:eastAsia="Arial" w:hAnsi="Arial"/>
          <w:sz w:val="18"/>
          <w:szCs w:val="18"/>
          <w:color w:val="auto"/>
        </w:rPr>
        <w:t xml:space="preserve"> Acquired in 2017 for a purchase price of $26.4 million. Williams Electric provides industrial control system security, including utility monitoring systems and electronic support systems for customers, including the Army Corps of Engineers and the Smithsonian Institute.</w:t>
      </w:r>
    </w:p>
    <w:p>
      <w:pPr>
        <w:spacing w:after="0" w:line="170"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We maintain a robust acquisition pipeline and are continually evaluating potential opportunities for disciplined growth by acquisition to further transform our business.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for Growth</w:t>
      </w:r>
    </w:p>
    <w:p>
      <w:pPr>
        <w:spacing w:after="0" w:line="103"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Our growth strategy is to create the future of national security and critical infrastructure, while moving up the value chain as a solutions integrator and software provider. The future is full of possibility, and the defense, intelligence, and critical infrastructure markets are where we can collectively shape what tomorrow will look like. Our goal is to help create a safer, healthier, more sustainable, more connected and more secure world.</w:t>
      </w:r>
    </w:p>
    <w:p>
      <w:pPr>
        <w:spacing w:after="0" w:line="176"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In a complex security environment with adversaries challenging on every domain and an economy driven by digital transformation, Parsons leverages innovative technologies to deliver integrated solutions at the speed of relevance. Our global integrated solutions span all domains (sea, land, air, space and cyberspace), ensuring information dominance and smart, sustainable infrastructure.</w:t>
      </w:r>
    </w:p>
    <w:p>
      <w:pPr>
        <w:spacing w:after="0" w:line="171" w:lineRule="exact"/>
        <w:rPr>
          <w:sz w:val="20"/>
          <w:szCs w:val="20"/>
          <w:color w:val="auto"/>
        </w:rPr>
      </w:pPr>
    </w:p>
    <w:p>
      <w:pPr>
        <w:ind w:right="60" w:firstLine="509"/>
        <w:spacing w:after="0" w:line="274" w:lineRule="auto"/>
        <w:rPr>
          <w:sz w:val="20"/>
          <w:szCs w:val="20"/>
          <w:color w:val="auto"/>
        </w:rPr>
      </w:pPr>
      <w:r>
        <w:rPr>
          <w:rFonts w:ascii="Arial" w:cs="Arial" w:eastAsia="Arial" w:hAnsi="Arial"/>
          <w:sz w:val="17"/>
          <w:szCs w:val="17"/>
          <w:color w:val="auto"/>
        </w:rPr>
        <w:t>To create the future, we focus on people-first, “get-to-yes” and having top positions in high-growth, sustainable markets. This focus includes hiring, retaining, and developing our employees, continually enhancing and optimizing our core business processes, resourcing and capitalizing on our high-growth markets and acquiring and integrating companies that possess transformative and disruptive technologies.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First</w:t>
      </w:r>
    </w:p>
    <w:p>
      <w:pPr>
        <w:spacing w:after="0" w:line="103"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Driven by our people-first and high-purpose culture, we recognize that our people are key to our success in developing and delivering the technology and solutions to support our customers’ critical missions. Our most important asset is our diverse team of talented employees, over 18,500 as of December 31, 2023, who are committed and passionate experts critical to delivering leading capabilities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8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and whose expertise is sought by our clients for their most sophisticated applications and challenges. Our employees choose Parsons and stay with us for the opportunity to collaborate with our customers, deploy our expansive technical resources, rapidly bring bold ideas to market and work on leading solutions to enable a better world. Our management team has extensive experience executing strategies for delivering profitable growth and is recognized for operational excellence and leadership integrity. They have diverse leadership capabilities in the markets we serve and the solutions and technology we deliver. Most importantly, we strive to give our employees and managers the best possible employee experience throughout their careers with Parsons.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committed to attracting, retaining, and developing a diverse and inclusive workforce by having a:</w:t>
      </w:r>
    </w:p>
    <w:p>
      <w:pPr>
        <w:spacing w:after="0" w:line="103"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Culture of employee engagement at all organizational levels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Work environment that promotes training, mentoring, and career development planning</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Differentiated benefits program, including flexible work hours, remote work options, and an employee stock ownership plan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Dual technical career path that leads to positions as Chief Technology Officer and/or Technical Fellow</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Diversity, Equity and Inclusion (DEI) program</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“Parsons Gives Back” program to support our communities and promote volunteering</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Global hiring strategy outside of high-employment zones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Robust university relations and intern program to help shape the next generation of leaders and promote diversity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Internal mobility program that supports employee growth, career development and retention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“Get to Yes”</w:t>
      </w:r>
    </w:p>
    <w:p>
      <w:pPr>
        <w:spacing w:after="0" w:line="10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By “getting to yes”, we enable the delivery of agile, innovative, and transformative solutions to our customers. We seek to enhance and optimize our core business and improve our financial performance, including revenue growth, margin expansion and positive cash flow, using the following strategies:</w:t>
      </w:r>
    </w:p>
    <w:p>
      <w:pPr>
        <w:spacing w:after="0" w:line="63"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 company-wide agile framework to enable responsive solutions delivery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Promoting collaboration and cross-company sharing to drive informed, timely decision making</w:t>
      </w:r>
    </w:p>
    <w:p>
      <w:pPr>
        <w:spacing w:after="0" w:line="115" w:lineRule="exact"/>
        <w:rPr>
          <w:rFonts w:ascii="Times New Roman" w:cs="Times New Roman" w:eastAsia="Times New Roman" w:hAnsi="Times New Roman"/>
          <w:sz w:val="18"/>
          <w:szCs w:val="18"/>
          <w:color w:val="auto"/>
        </w:rPr>
      </w:pPr>
    </w:p>
    <w:p>
      <w:pPr>
        <w:ind w:left="1020" w:right="80" w:hanging="504"/>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Aligning goals through shared one-company objectives and a focus on timely feedback to ensure opportunities for improvement are realized and executed</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Using digital transformation to improve our internal processes and deliver an improved customer experience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Cross-selling new solutions to our existing customers and existing solutions to new customers.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Promoting a culture that enables employees to drive technology and business model innovation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Streamlining operations and processes to optimize performance delivery and reduce overhead expenditures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Rigorously managing our working capital to maximize cash flow</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Committing to being a responsible corporation for both Parsons and our customers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 Positions in High-Growth, Sustainable Markets</w:t>
      </w:r>
    </w:p>
    <w:p>
      <w:pPr>
        <w:spacing w:after="0" w:line="103"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have a balanced portfolio between national security and critical infrastructure and diverse range of end markets. We recognize the importance of driving business focus and will resource/invest in areas where we believe Parsons can have a top position in markets that are high-growth, profitable, and enduring. These include cybersecurity and intelligence, space and missile defense, transportation, environmental remediation, and urban development. We utilize the following strategies, among others, towards achieving this goal:</w:t>
      </w:r>
    </w:p>
    <w:p>
      <w:pPr>
        <w:spacing w:after="0" w:line="68"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continuously evaluate and shape our portfolio to divest, exit and de-emphasize lower-performing businesses and markets.</w:t>
      </w:r>
    </w:p>
    <w:p>
      <w:pPr>
        <w:spacing w:after="0" w:line="115" w:lineRule="exact"/>
        <w:rPr>
          <w:rFonts w:ascii="Times New Roman" w:cs="Times New Roman" w:eastAsia="Times New Roman" w:hAnsi="Times New Roman"/>
          <w:sz w:val="18"/>
          <w:szCs w:val="18"/>
          <w:color w:val="auto"/>
        </w:rPr>
      </w:pPr>
    </w:p>
    <w:p>
      <w:pPr>
        <w:ind w:left="1020" w:right="300" w:hanging="504"/>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invest in critical, differentiated technology areas, including artificial intelligence, assured position navigation and timing, PFAS remediation, space cyber/electronic warfare, quantum research and product development in areas including defensive cyber, space command and control, intelligent transportation systems, spectrum operations and biometrics.</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seek continuous expansion in our focused high-growth markets:</w:t>
      </w:r>
    </w:p>
    <w:p>
      <w:pPr>
        <w:spacing w:after="0" w:line="115" w:lineRule="exact"/>
        <w:rPr>
          <w:rFonts w:ascii="Times New Roman" w:cs="Times New Roman" w:eastAsia="Times New Roman" w:hAnsi="Times New Roman"/>
          <w:sz w:val="18"/>
          <w:szCs w:val="18"/>
          <w:color w:val="auto"/>
        </w:rPr>
      </w:pPr>
    </w:p>
    <w:p>
      <w:pPr>
        <w:ind w:left="1540" w:right="240" w:hanging="50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Cybersecurity and Intelligence – Continue our growth momentum by offering end-to-end full spectrum cyber operations including solutions, tools, operations and platforms for our U.S. Department of Defense and Intelligence Community customers.</w:t>
      </w:r>
    </w:p>
    <w:p>
      <w:pPr>
        <w:spacing w:after="0" w:line="62" w:lineRule="exact"/>
        <w:rPr>
          <w:rFonts w:ascii="Times New Roman" w:cs="Times New Roman" w:eastAsia="Times New Roman" w:hAnsi="Times New Roman"/>
          <w:sz w:val="18"/>
          <w:szCs w:val="18"/>
          <w:color w:val="auto"/>
        </w:rPr>
      </w:pPr>
    </w:p>
    <w:p>
      <w:pPr>
        <w:ind w:left="1540" w:right="60" w:hanging="50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Space and Mission Defense – Extend our space situational awareness, small satellite integration and payload, command and control and enterprise ground systems and assured position, navigation and timing solutions to our current space customers and to new space and geospatial customers in the government and commercial space markets. Support our customer’s integrated air and missile defense strategy and deployment. Provide thought leadership in evolving areas, including hypersonic defense.</w:t>
      </w:r>
    </w:p>
    <w:p>
      <w:pPr>
        <w:spacing w:after="0" w:line="71" w:lineRule="exact"/>
        <w:rPr>
          <w:rFonts w:ascii="Times New Roman" w:cs="Times New Roman" w:eastAsia="Times New Roman" w:hAnsi="Times New Roman"/>
          <w:sz w:val="18"/>
          <w:szCs w:val="18"/>
          <w:color w:val="auto"/>
        </w:rPr>
      </w:pPr>
    </w:p>
    <w:p>
      <w:pPr>
        <w:ind w:left="1540" w:right="340" w:hanging="50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Critical Infrastructure Protection – Provide critical infrastructure protection in sectors where we have installed base, including facilities, health care, transportation, water and energy. Deliver holistic solutions including electronic security systems, cybersecurity, counter unmanned air systems and biometrics.</w:t>
      </w:r>
    </w:p>
    <w:p>
      <w:pPr>
        <w:spacing w:after="0" w:line="62" w:lineRule="exact"/>
        <w:rPr>
          <w:rFonts w:ascii="Times New Roman" w:cs="Times New Roman" w:eastAsia="Times New Roman" w:hAnsi="Times New Roman"/>
          <w:sz w:val="18"/>
          <w:szCs w:val="18"/>
          <w:color w:val="auto"/>
        </w:rPr>
      </w:pPr>
    </w:p>
    <w:p>
      <w:pPr>
        <w:ind w:left="1540" w:right="60" w:hanging="50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Transportation – Capitalize on the increased IIJA funding and increased global transportation and infrastructure spending to further our roads and highways, bridges, rail and transit, and aviation business. Capitalize on broadband and environmental spend in areas where Parsons is differentiated. Leverage technology to drive smart, sustainable infrastructure.</w:t>
      </w:r>
    </w:p>
    <w:p>
      <w:pPr>
        <w:spacing w:after="0" w:line="68" w:lineRule="exact"/>
        <w:rPr>
          <w:rFonts w:ascii="Times New Roman" w:cs="Times New Roman" w:eastAsia="Times New Roman" w:hAnsi="Times New Roman"/>
          <w:sz w:val="18"/>
          <w:szCs w:val="18"/>
          <w:color w:val="auto"/>
        </w:rPr>
      </w:pPr>
    </w:p>
    <w:p>
      <w:pPr>
        <w:ind w:left="1540" w:right="160" w:hanging="50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Environmental remediation – Leverage our specialized skill and experience with respect to remediating mines and oil wells and eliminating emerging contaminants. Apply our design capabilities and innovative technologies to modernize, upgrade and create new water/wastewater treatment systems. Lead elimination of emerging contaminants (PFOS) from our soil, groundwater and surface water.</w:t>
      </w:r>
    </w:p>
    <w:p>
      <w:pPr>
        <w:spacing w:after="0" w:line="68" w:lineRule="exact"/>
        <w:rPr>
          <w:rFonts w:ascii="Times New Roman" w:cs="Times New Roman" w:eastAsia="Times New Roman" w:hAnsi="Times New Roman"/>
          <w:sz w:val="18"/>
          <w:szCs w:val="18"/>
          <w:color w:val="auto"/>
        </w:rPr>
      </w:pPr>
    </w:p>
    <w:p>
      <w:pPr>
        <w:ind w:left="1540" w:right="260" w:hanging="50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Urban development – Leverage our program management, urban planning and urban design competencies to develop new industrial cities and mixed-use developments.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pursue the acquisition and integration of high growth, technology driven companies which meet the following criteria:</w:t>
      </w:r>
    </w:p>
    <w:p>
      <w:pPr>
        <w:spacing w:after="0" w:line="103" w:lineRule="exact"/>
        <w:rPr>
          <w:sz w:val="20"/>
          <w:szCs w:val="20"/>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performance goals: &gt;10% top line growth, &gt;10% Adjusted EBITDA margin, and strong cash flow</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Align to our six focused markets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spacing w:after="0" w:line="84" w:lineRule="exact"/>
        <w:rPr>
          <w:sz w:val="20"/>
          <w:szCs w:val="20"/>
          <w:color w:val="auto"/>
        </w:rPr>
      </w:pPr>
    </w:p>
    <w:p>
      <w:pPr>
        <w:ind w:left="1020" w:right="60" w:hanging="504"/>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Technology differentiation: fill technology gaps, drive end-to-end solutions, move up the value chain, scale within and across our businesses and add valuable intellectual property rights</w:t>
      </w:r>
    </w:p>
    <w:p>
      <w:pPr>
        <w:spacing w:after="0" w:line="154" w:lineRule="exact"/>
        <w:rPr>
          <w:sz w:val="20"/>
          <w:szCs w:val="20"/>
          <w:color w:val="auto"/>
        </w:rPr>
      </w:pPr>
    </w:p>
    <w:p>
      <w:pPr>
        <w:ind w:right="660" w:firstLine="509"/>
        <w:spacing w:after="0" w:line="271" w:lineRule="auto"/>
        <w:rPr>
          <w:sz w:val="20"/>
          <w:szCs w:val="20"/>
          <w:color w:val="auto"/>
        </w:rPr>
      </w:pPr>
      <w:r>
        <w:rPr>
          <w:rFonts w:ascii="Arial" w:cs="Arial" w:eastAsia="Arial" w:hAnsi="Arial"/>
          <w:sz w:val="18"/>
          <w:szCs w:val="18"/>
          <w:color w:val="auto"/>
        </w:rPr>
        <w:t>Our objective is to continue to transform our business into an integrated, full life-cycle solutions integrator that delivers scalable solutions and drives revenue growth, expanded margins, and strong cash flows.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view growth in total backlog as a key measure of our business growth. We define backlog to include the following two components:</w:t>
      </w:r>
    </w:p>
    <w:p>
      <w:pPr>
        <w:spacing w:after="0" w:line="103" w:lineRule="exact"/>
        <w:rPr>
          <w:sz w:val="20"/>
          <w:szCs w:val="20"/>
          <w:color w:val="auto"/>
        </w:rPr>
      </w:pPr>
    </w:p>
    <w:p>
      <w:pPr>
        <w:ind w:left="1020" w:right="500" w:hanging="504"/>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45" w:lineRule="exact"/>
        <w:rPr>
          <w:rFonts w:ascii="Times New Roman" w:cs="Times New Roman" w:eastAsia="Times New Roman" w:hAnsi="Times New Roman"/>
          <w:sz w:val="18"/>
          <w:szCs w:val="18"/>
          <w:color w:val="auto"/>
        </w:rPr>
      </w:pPr>
    </w:p>
    <w:p>
      <w:pPr>
        <w:ind w:left="1020" w:hanging="504"/>
        <w:spacing w:after="0" w:line="246"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 Unfunded backlog does not include potential task orders expected to be awarded under multiple awards IDIQ contract vehicles, where task orders are competitively awarded and separately priced.</w:t>
      </w:r>
    </w:p>
    <w:p>
      <w:pPr>
        <w:spacing w:after="0" w:line="17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backlog includes orders under contracts that can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As of December 31, 2023, our total backlog was approximately $ 8.6 billion, consisting of $5.0 billion of funded backlog and $3.6 billion of unfunded backlog. We expect to recognize $3.8 billion of our funded backlog as of December 31, 2023 as revenues in the following twelve months. However, our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governmental and commercial customers. We compete on the basis of our technical expertise, technological innovation, our ability to deliver cost-effective multi-faceted solutions and services in a timely manner, our reputation and relationships with our customers, qualified and/or security-clearance personnel, and pricing. Our peer group competitors in Federal Solutions are U.S. federal systems integrators and service providers such as Booz Allen Hamilton, CACI International Inc, Leidos Holdings, Inc., and Science Applications International Corporation. Our main competitors in Critical Infrastructure include AECOM, Jacobs Solutions Inc., Stantec, Tetra Tech, Inc., and WSP.</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03"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We are committed to enhancing our position as a leading employer in our industry and aim to do this through providing a positive employee experience. Our culture and reputation as a leading provider of technology-driven solutions in the defense, intelligence and critical infrastructure markets enables us to recruit and retain some of the best available talent across the globe.</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professionals are highly educated, with a wide range of technical acumen and in-depth domain knowledge and expertise. Our culture and values enable us to continue attracting qualified talent, particularly those with security clearances and requisite skills in multiple areas, including Project Management, Engineering, Software Development, Cyber, Data Analytics, Environmental and Architecture. Our employees hold more than 15,000 degrees and professional credentials as of December 31, 2023. Our diverse teams understand our clients and are comprised of technology subject matter experts and professionals with deep knowledge and experience.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01"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Embracing diversity, equity and inclusion (DEI) in all aspects of our business is fundamental to our corporate culture and vital to our continued growth and success. Our DEI Council is composed of a diverse cross section of employees in the organization, representing different markets, regions, disciplines, and levels. As a destination employer, we are invested in attracting and developing top talent. To that end, we believe that to make continued progress we must implement effective initiatives built into the employee life cycle. Our DEI initiatives embody the unique qualities of our employees and encourage a workforce comprised of people with diverse backgrounds, beliefs, and experiences. We are proud of our evolving culture to promote diversity, equity and inclusion to foster a sense of belonging.</w:t>
      </w:r>
    </w:p>
    <w:p>
      <w:pPr>
        <w:spacing w:after="0" w:line="7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believe in doing right by the communities we serve, and we have policies prohibiting discrimination (age, race or ethnicity, gender/gender identity, religion, sexual orientation, or disability), child labor and human trafficking. We believe that Parsons is the place for our diverse employees to make a difference. In 2023, we kept our diversity goal to our short-term incentive plan design to drive desired outcomes and higher overall representation for global female representation and US ethnicity representation. In both areas, we have seen an overall increase (3.6% increase in the number of females and 4.2% in US leadership ethnicity) since 2022. This improvement was largely attributed to strong hiring in 2023 globally and lower overall attrition.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w:t>
      </w:r>
    </w:p>
    <w:p>
      <w:pPr>
        <w:spacing w:after="0" w:line="10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pulse our workforce annually through an employee engagement survey and the data these surveys provide help us identify areas where our culture is evolving and key strategic areas where we need to continue to focus our energies to improve employee engagement and the employee experience. This data is critical in guiding our cultural journey to become a more dynamic, entrepreneurial, and creative place to work.</w:t>
      </w:r>
    </w:p>
    <w:p>
      <w:pPr>
        <w:spacing w:after="0" w:line="68"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This year, we saw some of our highest participation rates among our business groups and functions, with an overall response of 54 percent, which is higher than last year’s overall rate of 48 percent. We are also pleased that our employee engagement score was 78 against a benchmark of 75.</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At the highest level, our results describe an organization with a strong performance-driven and team-based culture.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Recognition</w:t>
      </w:r>
    </w:p>
    <w:p>
      <w:pPr>
        <w:spacing w:after="0" w:line="101"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As a people first organization, we are dedicated to recognizing employee performance and promoting a culture of recognition. We are immensely proud to maintain a formal employee recognition program that is 100% developed and maintained in-house – a rare accomplishment in our industry. We approach company culture this way: recognition is a mindset.</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Distinguished Recognition and Incentive Program, affectionately known as the DRIVE Program, recognizes, rewards, and encourages high-caliber work. The DRIVE program is comprised of nine distinct award levels, each with its own criteria, workflow, and rewards – some monetary and some non-monetary. The program is open to all part- and full-time employees around the globe, and awards can be distributed from supervisor to team or team member, individual contributor to supervisor, and from peer to peer. That flexibility is what we are most proud of—all employees can recognize someone else or be recognized themself. In 2023, we are pleased that over 3,200 DRIVE awards were conveyed to our employees with monetary awards totaling over $5.8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Mentoring</w:t>
      </w:r>
    </w:p>
    <w:p>
      <w:pPr>
        <w:spacing w:after="0" w:line="10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Parsons has a robust mentoring program that facilitates several types of pairings, including senior leaders and employees, peer-to-peer, veterans-to-veterans, and early career professionals with more experienced employees. Employees choose their own mentor and work closely with them to design a mentoring relationship that is tailored to meet their unique goals. Resources are provided to both mentors and mentees to ensure a successful and enriching experience for both. Most Parsons’ Vice Presidents and above are available and engaged in mentoring relationships thus actively fostering a culture of employee growth and development.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Development</w:t>
      </w:r>
    </w:p>
    <w:p>
      <w:pPr>
        <w:spacing w:after="0" w:line="101" w:lineRule="exact"/>
        <w:rPr>
          <w:sz w:val="20"/>
          <w:szCs w:val="20"/>
          <w:color w:val="auto"/>
        </w:rPr>
      </w:pPr>
    </w:p>
    <w:p>
      <w:pPr>
        <w:ind w:left="1020" w:right="60" w:hanging="504"/>
        <w:spacing w:after="0" w:line="246"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Parsons Learning Series – This program is open to all employees and consists of live, virtual one-hour courses across a wide range of topics appealing to both employees and managers. One or two topics are delivered each month. The live sessions are held at three separate times on the same day to accommodate our global workforce, and sessions are recorded and made available following live session dates.</w:t>
      </w:r>
    </w:p>
    <w:p>
      <w:pPr>
        <w:spacing w:after="0" w:line="67" w:lineRule="exact"/>
        <w:rPr>
          <w:rFonts w:ascii="Times New Roman" w:cs="Times New Roman" w:eastAsia="Times New Roman" w:hAnsi="Times New Roman"/>
          <w:sz w:val="18"/>
          <w:szCs w:val="18"/>
          <w:color w:val="auto"/>
        </w:rPr>
      </w:pPr>
    </w:p>
    <w:p>
      <w:pPr>
        <w:jc w:val="both"/>
        <w:ind w:left="1020" w:right="180" w:hanging="504"/>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Engaged Leadership Program (ELP) – This 4-month, cohort-based program helps people and project managers develop their management and leadership skills through learning about and then applying new skills on the job. The extended nature of this program fosters a collaborative environment and builds cross-organizational relationships among participants.</w:t>
      </w:r>
    </w:p>
    <w:p>
      <w:pPr>
        <w:spacing w:after="0" w:line="61" w:lineRule="exact"/>
        <w:rPr>
          <w:rFonts w:ascii="Times New Roman" w:cs="Times New Roman" w:eastAsia="Times New Roman" w:hAnsi="Times New Roman"/>
          <w:sz w:val="18"/>
          <w:szCs w:val="18"/>
          <w:color w:val="auto"/>
        </w:rPr>
      </w:pPr>
    </w:p>
    <w:p>
      <w:pPr>
        <w:ind w:left="1020" w:right="20" w:hanging="504"/>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Intentional Leadership Program (ILP) – This is a program for senior leaders, Director level and above. Participants will complete a facilitated 2-day curriculum designed to strengthen senior leadership skills and help participants intentionally define their own leadership approach while fostering cross-organizational communication and relationship-building.</w:t>
      </w:r>
    </w:p>
    <w:p>
      <w:pPr>
        <w:spacing w:after="0" w:line="61" w:lineRule="exact"/>
        <w:rPr>
          <w:rFonts w:ascii="Times New Roman" w:cs="Times New Roman" w:eastAsia="Times New Roman" w:hAnsi="Times New Roman"/>
          <w:sz w:val="18"/>
          <w:szCs w:val="18"/>
          <w:color w:val="auto"/>
        </w:rPr>
      </w:pPr>
    </w:p>
    <w:p>
      <w:pPr>
        <w:ind w:left="1020" w:right="4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Fellows Program - recognizes our top technical experts and promotes innovation in solving our customers’ most difficult technical challenges. It is a collaborative network of over fifty selected motivated and passionate subject matter experts working to solve technical challenges through either strategic research and development or through the development of long-term technical policies and best practices. The program defines its success through engagement, mentorship, and retention. Every benefit that collaboration among the Fellows offers is expressed by the idea that the individual is brilliant, but a group of brilliant individuals acting as one can be more powerful and enable Parsons to accomplish even more in our quest to deliver a better world.</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1" w:name="page22"/>
    <w:bookmarkEnd w:id="21"/>
    <w:p>
      <w:pPr>
        <w:spacing w:after="0" w:line="83" w:lineRule="exact"/>
        <w:rPr>
          <w:sz w:val="20"/>
          <w:szCs w:val="20"/>
          <w:color w:val="auto"/>
        </w:rPr>
      </w:pPr>
    </w:p>
    <w:p>
      <w:pPr>
        <w:ind w:left="1020" w:hanging="504"/>
        <w:spacing w:after="0" w:line="246"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Technical Career Path - demonstrates two distinct career progressions for technical employees across our organization: one that follows a management path, the other that can be followed as an individual contributor. The Technical Career Path coupled with an integrated competency model and Workday tools such as the Opportunity Graph are resources designed to improve the quality of manager-employee career discussions and, ultimately, career movement.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w:t>
      </w:r>
    </w:p>
    <w:p>
      <w:pPr>
        <w:spacing w:after="0" w:line="10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At December 31, 2023, approximately 6,551 of our employees participated in our Employee Stock Ownership Plan (ESOP) which held 59,879,857 shares at December 31, 2023. Our employees own approximately 40% of the total outstanding shares in the ESOP. In December 2020, the board of directors approved an amendment to the ESOP to provide greater diversification rights to participants. The amendment provides that, with respect to all diversifications elected or processed after January 1, 2021, the definition of a qualified participant shall mean a participant who has attained the age of 50 and who has completed at least three years of participation in the ESOP and other criteria. Each qualified participant shall generally be permitted to direct the ESOP as to the diversification of 50% of the value of the eligible vested portion of the participant’s ESOP account. Further, in January 2021, the board of directors approved an amendment to the ESOP whereby distributions to participants in the Plan were modified as follows: (1) the threshold amount of an ESOP participant’s balance to be eligible for a single lump sum distribution was increased from $20,000 or less to $500,000 or less; (2) the threshold balance for a participant to be eligible to receive payment in two annual installments was increased from $40,000 or less to $750,000 or less; and (3) the threshold balance for a participant to be eligible to receive payment in three annual installments was increased to greater than $750,000. This change was made to facilitate greater flexibility for certain eligible participants to receive their balances in fewer installments and to accelerate the increase in publicly traded float for the Company’s common stock. In April 2022, the board of directors approved an amendment providing for lump sum distributions to participants and removing the annual installments. Annual diversification elections and five-year vested termination distributions are not impacted by this amendment and will still occur annually and over installments as outlined in the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03" w:lineRule="exact"/>
        <w:rPr>
          <w:sz w:val="20"/>
          <w:szCs w:val="20"/>
          <w:color w:val="auto"/>
        </w:rPr>
      </w:pPr>
    </w:p>
    <w:p>
      <w:pPr>
        <w:ind w:right="140" w:firstLine="509"/>
        <w:spacing w:after="0" w:line="231" w:lineRule="auto"/>
        <w:rPr>
          <w:sz w:val="20"/>
          <w:szCs w:val="20"/>
          <w:color w:val="auto"/>
        </w:rPr>
      </w:pPr>
      <w:r>
        <w:rPr>
          <w:rFonts w:ascii="Arial" w:cs="Arial" w:eastAsia="Arial" w:hAnsi="Arial"/>
          <w:sz w:val="18"/>
          <w:szCs w:val="18"/>
          <w:color w:val="auto"/>
        </w:rPr>
        <w:t>At the 2020 Annual Meeting of Parsons’ Shareholders, the shareholders approved the implementation of the Employee Stock Purchase Plan (ESPP). The ESPP provides an opportunity for eligible employees (as defined in the ESPP) to purchase Parsons’ stock. By participating in the ESPP, an eligible employee may purchase Parsons’ shares at a 5% discount from the New York Stock Exchange closing price at the end date for each offering period (June 30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and December 31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of each year). In 2021, the Compensation and Management Development Committee of the Parsons’ Board of Directors approved a special three-month offering period for eligible employees of BlackHorse Solutions and its eligible subsidiary companies. During 2023 and 2022, our employees purchased approximately 116,650 and 131,000 shares, respectively, of Parsons’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10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August 9, 2021, the board of directors authorized Parsons Corporation to acquire a number of shares of common stock having an aggregate market value of not greater than $ 100,000,000 from time to time, commencing on August 12, 2021. In August 2022, the Board amended the stock repurchase program and authorized executive management to determine an acceptable price for repurchasing such shares. The Board authorized management to execute any agreements providing for the repurchase of the Company’s stock, subject to such conditions, on behalf of the company in such lots, blocks or other amounts, from such persons or entities, from such sources, on the open market, in privately negotiated transactions, or otherwise, on such terms and conditions, from time to time, in accordance with applicable federal and state regulations. As of December 31, 2023, the company had repurchased 1,426,476 shares of common stock at an average price per share of $38.35 (including commissions calculated at the average price per share) for a total amount of $54.7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3"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Our intellectual property portfolio consists of issued and pending patents as well as trademarks for many of our technologies. In addition, we maintain a number of trade secrets that we endeavor to protect to ensure their continuing availability to us. Our technical expertise is vital to our growth strategy, and we believe they are a core competitive advantage. We have 33 registered patents and 14 pending patents in the United States and 6 pending patents internationally. We have 77 trademarks and 4 pending trademark applications in the United States, and 105 trademarks and 16 pending trademark applications internationally. We also currently offer 37 products for sale to our global customers.</w:t>
      </w:r>
    </w:p>
    <w:p>
      <w:pPr>
        <w:spacing w:after="0" w:line="18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While protecting trade secrets and proprietary information is important, we are not materially dependent on maintenance of any specific trade secret or group of trade secrets.</w:t>
      </w:r>
    </w:p>
    <w:p>
      <w:pPr>
        <w:spacing w:after="0" w:line="17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During the normal course of business, we perform research and development and technology consulting services and related products in support of our customers. Typically, these services do not depend on patent protection. In accordance with applicable law, our government contracts often provide government agencies certain data rights to our intellectual property. Government agencies may in turn provide to other contractors (including our competitors) the right to utilize our intellectual property. In addition, in the case of our work as a subcontractor, our prime contractor may also have certain rights to data, information and products we develop under the subcontract. At the same time, our government contracts often provide to us the right to utilize intellectual property owned by third parties.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03"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Our business is impacted by government procurement, anti-bribery, international trade, environmental, health and safety and other regulations and requirements. Below is a summary of some of the significant regulations that impact our business.</w:t>
      </w:r>
    </w:p>
    <w:p>
      <w:pPr>
        <w:spacing w:after="0" w:line="153"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Government Procurement</w:t>
      </w:r>
      <w:r>
        <w:rPr>
          <w:rFonts w:ascii="Arial" w:cs="Arial" w:eastAsia="Arial" w:hAnsi="Arial"/>
          <w:sz w:val="18"/>
          <w:szCs w:val="18"/>
          <w:color w:val="auto"/>
        </w:rPr>
        <w:t>. The services we provide to the U.S. Government are subject to Federal Acquisition Regulation, or FAR,</w:t>
      </w:r>
      <w:r>
        <w:rPr>
          <w:rFonts w:ascii="Arial" w:cs="Arial" w:eastAsia="Arial" w:hAnsi="Arial"/>
          <w:sz w:val="18"/>
          <w:szCs w:val="18"/>
          <w:i w:val="1"/>
          <w:iCs w:val="1"/>
          <w:color w:val="auto"/>
        </w:rPr>
        <w:t xml:space="preserve"> </w:t>
      </w:r>
      <w:r>
        <w:rPr>
          <w:rFonts w:ascii="Arial" w:cs="Arial" w:eastAsia="Arial" w:hAnsi="Arial"/>
          <w:sz w:val="18"/>
          <w:szCs w:val="18"/>
          <w:color w:val="auto"/>
        </w:rPr>
        <w:t>Defense Federal Acquisition Regulation, or DFARS, the Truthful Cost and Pricing Data Act, Cost Accounting Standards, or CAS, the Services Contract Act, the False Claims Act, export controls rules and U.S. Department of Defense security regulations, as well as government agency policies and many other laws and regulations. These laws and regulations affect how we transact business with our clients and, in some instances, impose additional costs on our business operations. A violation of specific laws and regulations could lead to fines, contract termination or suspension of future contracts. Generally, our government clients can also terminate, renegotiate, or modify any of their contracts with us at their convenience, and many of our government contracts are subject to renewal or extension annually.</w:t>
      </w:r>
    </w:p>
    <w:p>
      <w:pPr>
        <w:spacing w:after="0" w:line="183" w:lineRule="exact"/>
        <w:rPr>
          <w:sz w:val="20"/>
          <w:szCs w:val="20"/>
          <w:color w:val="auto"/>
        </w:rPr>
      </w:pPr>
    </w:p>
    <w:p>
      <w:pPr>
        <w:ind w:right="200" w:firstLine="509"/>
        <w:spacing w:after="0" w:line="254" w:lineRule="auto"/>
        <w:rPr>
          <w:sz w:val="20"/>
          <w:szCs w:val="20"/>
          <w:color w:val="auto"/>
        </w:rPr>
      </w:pPr>
      <w:r>
        <w:rPr>
          <w:rFonts w:ascii="Arial" w:cs="Arial" w:eastAsia="Arial" w:hAnsi="Arial"/>
          <w:sz w:val="17"/>
          <w:szCs w:val="17"/>
          <w:color w:val="auto"/>
        </w:rPr>
        <w:t>In 2019, the U.S. Department of Defense announced the development of Cybersecurity Maturity Model Certification (“CMMC”) as a framework to assess and enhance the cybersecurity posture of the Defense Industrial Base (“DIB”), particularly as it relates to controlled unclassified information within the supply chain. CMMC is designed to ensure that contractors providing services to the U.S. Department of Defense have implemented cybersecurity controls and processes to adequately protect information that resides on DIB systems and networks. The U.S. Department of Defense issued an interim rule on September 29, 2020 to amend the Defense Federal Acquisition Regulation Supplement (DFARS) to include one new provision and two new contract clauses. The Department of Defense (DoD) published changes to the CMMC program (version2.0) in December 2023. The CMMC program will go into effect (and into contracts) in Q1 2025. As part of the Defense Contract Management Agency (DCMA) Joint Surveillance Voluntary Assessment Program, Parsons identified an authorized certified third-party assessment organization (C3PAO), that along with Defense Industrial Base Cybersecurity Assessment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Center (DIBCAC) conducted a High Confidence (CMMC level 2) Assessment for Parsons FedNet® Secure environment in July 2023. Parsons is currently DFARS/NIST 800-171 compliant with an associated Supplier Performance Risk System (SPRS) score reported. All 110 control requirements and 320 control objectives with NIST 800-171 were deemed 100% satisfied per DIBCAC’s official report and posting to DoD’s SPRS. Parsons anticipates expanding the CMMC Level 2 certification to additional networks in 2024.</w:t>
      </w:r>
    </w:p>
    <w:p>
      <w:pPr>
        <w:spacing w:after="0" w:line="176"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i w:val="1"/>
          <w:iCs w:val="1"/>
          <w:color w:val="auto"/>
        </w:rPr>
        <w:t xml:space="preserve">Anti-Bribery and other regulations. </w:t>
      </w:r>
      <w:r>
        <w:rPr>
          <w:rFonts w:ascii="Arial" w:cs="Arial" w:eastAsia="Arial" w:hAnsi="Arial"/>
          <w:sz w:val="18"/>
          <w:szCs w:val="18"/>
          <w:color w:val="auto"/>
        </w:rPr>
        <w:t>We are subject to the U.S. Foreign Corrupt Practices Act and similar anti-bribery laws,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prohibit companies and their intermediaries from making improper payments to foreign government officials for the purpose of obtaining or retaining business. The U.K. Bribery Act of 2010 prohibits both domestic and international bribery, as well as bribery across both private and public sectors. In addition, an organization that “fails to prevent bribery” committed by anyone associated with the organization can be charged under the U.K. Bribery Act unless the organization can establish the defense of having implemented “adequate procedures” to prevent bribery.</w:t>
      </w:r>
    </w:p>
    <w:p>
      <w:pPr>
        <w:spacing w:after="0" w:line="18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i w:val="1"/>
          <w:iCs w:val="1"/>
          <w:color w:val="auto"/>
        </w:rPr>
        <w:t>International Trade</w:t>
      </w:r>
      <w:r>
        <w:rPr>
          <w:rFonts w:ascii="Arial" w:cs="Arial" w:eastAsia="Arial" w:hAnsi="Arial"/>
          <w:sz w:val="18"/>
          <w:szCs w:val="18"/>
          <w:color w:val="auto"/>
        </w:rPr>
        <w:t>. We are subject to U.S. export control laws and regulations, including the International Traffic in Arms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ITAR, and the Export Administration Regulations, or EAR, as well as U.S. economic and trade sanctions, including those administered and enforced by the U.S. Department of Treasury’s Office of Foreign Assets Control, or OFAC. To the extent we export items and provide services outside of the United States (or to certain parties in the United States), we must do so in compliance with these laws and regulations. These laws and regulations impose export licensing requirements, and we may not be successful in obtaining necessary licenses and other authorizations. Further, these laws and regulations restrict our ability to export items or provide services to certain countries and certain persons, including those that are the target of OFAC sanctions. Noncompliance with these or similar laws could lead to government investigations, penalties, reputational harm, and other negative consequences, and thereby could adversely affect our business and financial condition. Further, any change in these laws and regulations, or any shift in the approach to their enforcement or scope, or change to the countries, persons, or items targeted by such regulations, could potentially result in our decreased ability to export or sell items or services to existing or potential customers.</w:t>
      </w:r>
    </w:p>
    <w:p>
      <w:pPr>
        <w:spacing w:after="0" w:line="18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i w:val="1"/>
          <w:iCs w:val="1"/>
          <w:color w:val="auto"/>
        </w:rPr>
        <w:t xml:space="preserve">Environmental, Health and Safety. </w:t>
      </w:r>
      <w:r>
        <w:rPr>
          <w:rFonts w:ascii="Arial" w:cs="Arial" w:eastAsia="Arial" w:hAnsi="Arial"/>
          <w:sz w:val="18"/>
          <w:szCs w:val="18"/>
          <w:color w:val="auto"/>
        </w:rPr>
        <w:t>We are subject to federal, state and local laws and regulations relating to environmental,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safety matters, including, among other things, the handling, transport and disposal of regulated substances and wastes, including hazardous and radioactive materials; contamination by regulated substances and wastes; the types, quantities and concentration of materials that can be released into the environment; the acquisition of a permit or other approval before conducting regulated activities; the maintenance of information about hazardous materials used or produced in operations and provision of such information to employees, state and local government authorities and the public; and employee health and safety. Our previous ownership and current and previous operation of real property may subject us to liability pursuant to these laws or regulations. Under the Comprehensive Environmental Response, Compensation and Liability Act, or CERCLA, and related state laws, certain persons may be liable at sites where or from a release or threatened release of hazardous substances has occurred or is threatened.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retroactive and, under certain circumstances, joint and several, so that any responsible party may be held liable for the entire cost of investigating and remediating the release of hazardous substances. The Resource Conservation and Recovery Act, or RCRA, regulates the generation, treatment, storage, handling, transportation and disposal of solid waste and requires states to develop programs to ensure the safe disposal of solid waste. Under RCRA, persons may be liable at sites where the past or present storage, handling, treatment, transportation, or disposal of any solid or hazardous waste may present an imminent and substantial endangerment to health or the environment. These persons can include the current owner or operator of property where disposal occurred, any persons who owned or operated the property when the disposal occurred, and any persons who disposed of, or arranged for the transportation or disposal of, hazardous substances at a contaminated property. Liability under RCRA is strict and, under certain circumstances, joint and several, so that any responsible party may be held liable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the entire cost of investigating and remediating the release of hazardous substances. Violations and liabilities with respect to environmental, health and safety laws and regulations could result in significant administrative, civil, or criminal penalties, remedial clean-ups, natural resource damages, permit modifications or revocations, operational interruptions or shutdowns and other liabilities. Additionally, Congress, state legislatures, local governing bodies and federal and state agencies frequently revise environmental laws and regulations, and any changes could result in more stringent or costly requirements for our operations. Our costs related to complying with environmental, health and safety laws and regulations have not been material in the past and are not currently material to our total operating costs or cash flows. However, if we have any violations of, or incur liabilities pursuant to these laws or regulations in the future, our financial condition and operating results could be adversely affected. In addition, in the unlikely event that we are required to fund remediation of a contaminated site, the statutory framework might allow us to pursue rights of contribution from other potentially responsible parties.</w:t>
      </w:r>
    </w:p>
    <w:p>
      <w:pPr>
        <w:spacing w:after="0" w:line="181"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We maintain a compliance program designed to ensure compliance with the various regulations and requirements applicable to us. The compliance program, managed by our Chief Ethics and Compliance Counsel and overseen by our Chief Compliance Officer, includes an annual audit of performance with respect to our codes of ethics and business conduct and the adequacy of our compliance program, among other initiatives.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i w:val="1"/>
          <w:iCs w:val="1"/>
          <w:color w:val="auto"/>
        </w:rPr>
        <w:t xml:space="preserve">Carey A. Smith, age 60, </w:t>
      </w:r>
      <w:r>
        <w:rPr>
          <w:rFonts w:ascii="Arial" w:cs="Arial" w:eastAsia="Arial" w:hAnsi="Arial"/>
          <w:sz w:val="18"/>
          <w:szCs w:val="18"/>
          <w:color w:val="auto"/>
        </w:rPr>
        <w:t>was appointed Chair of the Board of Directors on January 18, 2022, effective April 14, 2022. She became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on July 1, 2021 and was appointed to the board of directors in December 2020. She was initially appointed as President and Chief Operating Officer in November 2019, Chief Operating Officer in November 2018 and led Parsons’ Federal Solutions business from November 2016. Before joining Parsons, Ms. Smith served in progressive leadership roles at Honeywell International Inc. (“Honeywell”) from 2011 to 2016, including President of the Defense and Space business unit. In total, Ms. Smith has 38 years of industry experience spanning the defense, intelligence and infrastructure markets. Ms. Smith serves on the Edison International board of directors, including on the Compensation and Executive Personnel and Safety and Operations Committees. She serves on one non-profit company board, the Professional Services Council, and she is a National Association of Corporate Directors (NACD) Directorship (NCADD.DC) and Cyber Certified. Ms. Smith received an honorary doctorate degree from Ohio Northern University, a Master of Science degree in electrical engineering from Syracuse University and a bachelor-of-science in electrical engineering from Ohio Northern University. She received the GovCon Executive of the Year award in 2023. Ms. Smith was selected to serve on our board of directors because of the perspective and experience that she brings as our CEO and due to her significant industry and operations experience.</w:t>
      </w:r>
    </w:p>
    <w:p>
      <w:pPr>
        <w:spacing w:after="0" w:line="180"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i w:val="1"/>
          <w:iCs w:val="1"/>
          <w:color w:val="auto"/>
        </w:rPr>
        <w:t xml:space="preserve">Matthew Ofilos, age 44, </w:t>
      </w:r>
      <w:r>
        <w:rPr>
          <w:rFonts w:ascii="Arial" w:cs="Arial" w:eastAsia="Arial" w:hAnsi="Arial"/>
          <w:sz w:val="18"/>
          <w:szCs w:val="18"/>
          <w:color w:val="auto"/>
        </w:rPr>
        <w:t>was appointed Chief Financial Officer of Parsons Corporation effective July 25, 2022. Mr. Ofilos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Parsons’ executive vice president of finance and brings more than twenty years of finance experience and a proven track record of delivering profitable growth and building high-performance finance teams to the role. As executive vice-president, Mr. Ofilos led the company’s financial operations, including project controls, financial planning, accounting, treasury, and financial systems. Prior to joining Parsons in 2021, he led multi-billion-dollar finance organizations, including those for Amazon Web Services (AWS) Worldwide Public Sector and Strategic Industry businesses. Prior to AWS, he held roles of increasing responsibility at Raytheon, concluding his tenure as CFO for the Space and Command &amp; Control businesses for the Intelligence, Information and Services segment. Mr. Ofilos holds a Master of Business Administration from Boston University and a Bachelor of Science from Babson College.</w:t>
      </w:r>
    </w:p>
    <w:p>
      <w:pPr>
        <w:spacing w:after="0" w:line="185"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i w:val="1"/>
          <w:iCs w:val="1"/>
          <w:color w:val="auto"/>
        </w:rPr>
        <w:t xml:space="preserve">Michael R. Kolloway, age 63, </w:t>
      </w:r>
      <w:r>
        <w:rPr>
          <w:rFonts w:ascii="Arial" w:cs="Arial" w:eastAsia="Arial" w:hAnsi="Arial"/>
          <w:sz w:val="18"/>
          <w:szCs w:val="18"/>
          <w:color w:val="auto"/>
        </w:rPr>
        <w:t>was appointed General Counsel and Corporate Secretary of Parsons Corporation in October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later became our Chief Legal Officer in January 2019. Before assuming the role of General Counsel and Corporate Secretary, Mr. Kolloway served as Deputy General Counsel – Americas from March 2016 through October 2017. Before joining Parsons, Mr. Kolloway served as Senior Vice President and Assistant General Counsel for Operations and Risk Management at AECOM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91"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Technology Corporation, a publicly traded company. Prior to his tenure at AECOM, Mr. Kolloway was a partner in the Chicago law firm of Rock, Fusco &amp; Garvey, Ltd and a member of the Federal Trial Bar for the Northern District of Illinois. Mr. Kolloway received his Bachelor of Arts degree from St. Norbert College, his Juris Doctor from the University of Illinois College of Law and completed the General Counsel Program at the Harvard University School of Law. Mr. Kolloway served on the Board of Directors for MUSE/IQUE based in Pasadena, California. He is a member of the Association of Corporate Counsel and the In-House Mentorship Committee for the Charlotte Chapter.</w:t>
      </w:r>
    </w:p>
    <w:p>
      <w:pPr>
        <w:spacing w:after="0" w:line="17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i w:val="1"/>
          <w:iCs w:val="1"/>
          <w:color w:val="auto"/>
        </w:rPr>
        <w:t xml:space="preserve">Susan Balaguer, age 54, </w:t>
      </w:r>
      <w:r>
        <w:rPr>
          <w:rFonts w:ascii="Arial" w:cs="Arial" w:eastAsia="Arial" w:hAnsi="Arial"/>
          <w:sz w:val="18"/>
          <w:szCs w:val="18"/>
          <w:color w:val="auto"/>
        </w:rPr>
        <w:t>was appointed as Chief Human Resources Officer of Parsons Corporation effective July 16, 2021. Ms.</w:t>
      </w:r>
      <w:r>
        <w:rPr>
          <w:rFonts w:ascii="Arial" w:cs="Arial" w:eastAsia="Arial" w:hAnsi="Arial"/>
          <w:sz w:val="18"/>
          <w:szCs w:val="18"/>
          <w:i w:val="1"/>
          <w:iCs w:val="1"/>
          <w:color w:val="auto"/>
        </w:rPr>
        <w:t xml:space="preserve"> </w:t>
      </w:r>
      <w:r>
        <w:rPr>
          <w:rFonts w:ascii="Arial" w:cs="Arial" w:eastAsia="Arial" w:hAnsi="Arial"/>
          <w:sz w:val="18"/>
          <w:szCs w:val="18"/>
          <w:color w:val="auto"/>
        </w:rPr>
        <w:t>Balaguer is responsible for all aspects of the human resources function, including benefits, recruitment, retention, and the employee lifecycle and employee experience for the company. Ms. Balaguer has over thirty years of extensive experience in global human resources for public and private companies, and over twelve years of experience with public and private mergers and acquisitions, private equity, and large-scale business integrations. Before joining Parsons in 2021, she served as the Chief Human Resources Officer at Serco North America and Engility. She also previously served as the senior vice president of HR operations at CACI and, for over twenty years, she held progressive HR leadership positions at Raytheon. Ms. Balaguer is an executive sponsor for the Diversity, Equity and Inclusion Council and sits on the Mid Atlantic Organizational Development Executive Roundtable.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3"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website (www.parsons.com).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5"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i w:val="1"/>
          <w:iCs w:val="1"/>
          <w:color w:val="auto"/>
        </w:rPr>
        <w:t>You should carefully consider the risks described below and the other information contained in this Annual Report, including our consolidated financial statements and the related notes,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Relating to Our Business</w:t>
      </w:r>
    </w:p>
    <w:p>
      <w:pPr>
        <w:spacing w:after="0" w:line="101" w:lineRule="exact"/>
        <w:rPr>
          <w:sz w:val="20"/>
          <w:szCs w:val="20"/>
          <w:color w:val="auto"/>
        </w:rPr>
      </w:pPr>
    </w:p>
    <w:p>
      <w:pPr>
        <w:ind w:left="1020" w:right="220" w:hanging="504"/>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spending and priorities could change in a manner that adversely affects our future revenue and limits our growth prospects.</w:t>
      </w:r>
    </w:p>
    <w:p>
      <w:pPr>
        <w:spacing w:after="0" w:line="45" w:lineRule="exact"/>
        <w:rPr>
          <w:rFonts w:ascii="Times New Roman" w:cs="Times New Roman" w:eastAsia="Times New Roman" w:hAnsi="Times New Roman"/>
          <w:sz w:val="18"/>
          <w:szCs w:val="18"/>
          <w:color w:val="auto"/>
        </w:rPr>
      </w:pPr>
    </w:p>
    <w:p>
      <w:pPr>
        <w:ind w:left="1020" w:right="100" w:hanging="504"/>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45" w:lineRule="exact"/>
        <w:rPr>
          <w:rFonts w:ascii="Times New Roman" w:cs="Times New Roman" w:eastAsia="Times New Roman" w:hAnsi="Times New Roman"/>
          <w:sz w:val="18"/>
          <w:szCs w:val="18"/>
          <w:color w:val="auto"/>
        </w:rPr>
      </w:pPr>
    </w:p>
    <w:p>
      <w:pPr>
        <w:ind w:left="1020" w:right="60" w:hanging="504"/>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61" w:lineRule="exact"/>
        <w:rPr>
          <w:rFonts w:ascii="Times New Roman" w:cs="Times New Roman" w:eastAsia="Times New Roman" w:hAnsi="Times New Roman"/>
          <w:sz w:val="18"/>
          <w:szCs w:val="18"/>
          <w:color w:val="auto"/>
        </w:rPr>
      </w:pPr>
    </w:p>
    <w:p>
      <w:pPr>
        <w:ind w:left="1020" w:right="520" w:hanging="504"/>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45" w:lineRule="exact"/>
        <w:rPr>
          <w:rFonts w:ascii="Times New Roman" w:cs="Times New Roman" w:eastAsia="Times New Roman" w:hAnsi="Times New Roman"/>
          <w:sz w:val="18"/>
          <w:szCs w:val="18"/>
          <w:color w:val="auto"/>
        </w:rPr>
      </w:pPr>
    </w:p>
    <w:p>
      <w:pPr>
        <w:ind w:left="1020" w:right="40" w:hanging="504"/>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61"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and growth prospects may be harmed if we or our employees are unable to obtain government granted eligibility or other qualifications, we and they need to perform services for our customers.</w:t>
      </w:r>
    </w:p>
    <w:p>
      <w:pPr>
        <w:spacing w:after="0" w:line="45" w:lineRule="exact"/>
        <w:rPr>
          <w:rFonts w:ascii="Times New Roman" w:cs="Times New Roman" w:eastAsia="Times New Roman" w:hAnsi="Times New Roman"/>
          <w:sz w:val="18"/>
          <w:szCs w:val="18"/>
          <w:color w:val="auto"/>
        </w:rPr>
      </w:pPr>
    </w:p>
    <w:p>
      <w:pPr>
        <w:ind w:left="1020" w:right="560" w:hanging="504"/>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make acquisitions, investments, joint ventures and divestitures in the future that involve numerous risks, which if realized, may adversely affect our business and our future results.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acquisitions may not achieve their full intended benefits or may disrupt our plans and operations.</w:t>
      </w:r>
    </w:p>
    <w:p>
      <w:pPr>
        <w:spacing w:after="0" w:line="115" w:lineRule="exact"/>
        <w:rPr>
          <w:rFonts w:ascii="Times New Roman" w:cs="Times New Roman" w:eastAsia="Times New Roman" w:hAnsi="Times New Roman"/>
          <w:sz w:val="18"/>
          <w:szCs w:val="18"/>
          <w:color w:val="auto"/>
        </w:rPr>
      </w:pPr>
    </w:p>
    <w:p>
      <w:pPr>
        <w:ind w:left="1020" w:right="220" w:hanging="504"/>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conduct a portion of our work through joint venture entities, some of which we do not have management control over, and with which we typically have joint and several liability with our joint venture partners.</w:t>
      </w:r>
    </w:p>
    <w:p>
      <w:pPr>
        <w:spacing w:after="0" w:line="45" w:lineRule="exact"/>
        <w:rPr>
          <w:rFonts w:ascii="Times New Roman" w:cs="Times New Roman" w:eastAsia="Times New Roman" w:hAnsi="Times New Roman"/>
          <w:sz w:val="18"/>
          <w:szCs w:val="18"/>
          <w:color w:val="auto"/>
        </w:rPr>
      </w:pPr>
    </w:p>
    <w:p>
      <w:pPr>
        <w:ind w:left="1020" w:right="580" w:hanging="504"/>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earnings and profitability may vary based on the mix of our contracts and may be adversely affected by our failure to accurately estimate and manage costs, time and resources.</w:t>
      </w:r>
    </w:p>
    <w:p>
      <w:pPr>
        <w:spacing w:after="0" w:line="45" w:lineRule="exact"/>
        <w:rPr>
          <w:rFonts w:ascii="Times New Roman" w:cs="Times New Roman" w:eastAsia="Times New Roman" w:hAnsi="Times New Roman"/>
          <w:sz w:val="18"/>
          <w:szCs w:val="18"/>
          <w:color w:val="auto"/>
        </w:rPr>
      </w:pPr>
    </w:p>
    <w:p>
      <w:pPr>
        <w:ind w:left="1020" w:right="60" w:hanging="504"/>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use estimates in recognizing revenues and, if we make changes to estimates used in recognizing revenues, our profitability may be adversely affected.</w:t>
      </w:r>
    </w:p>
    <w:p>
      <w:pPr>
        <w:spacing w:after="0" w:line="45" w:lineRule="exact"/>
        <w:rPr>
          <w:rFonts w:ascii="Times New Roman" w:cs="Times New Roman" w:eastAsia="Times New Roman" w:hAnsi="Times New Roman"/>
          <w:sz w:val="18"/>
          <w:szCs w:val="18"/>
          <w:color w:val="auto"/>
        </w:rPr>
      </w:pPr>
    </w:p>
    <w:p>
      <w:pPr>
        <w:ind w:left="1020" w:right="80" w:hanging="504"/>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Systems that we develop, integrate, maintain, or otherwise support could experience security breaches which may damage our reputation with our clients and hinder future contract win rates.</w:t>
      </w:r>
    </w:p>
    <w:p>
      <w:pPr>
        <w:spacing w:after="0" w:line="45" w:lineRule="exact"/>
        <w:rPr>
          <w:rFonts w:ascii="Times New Roman" w:cs="Times New Roman" w:eastAsia="Times New Roman" w:hAnsi="Times New Roman"/>
          <w:sz w:val="18"/>
          <w:szCs w:val="18"/>
          <w:color w:val="auto"/>
        </w:rPr>
      </w:pPr>
    </w:p>
    <w:p>
      <w:pPr>
        <w:ind w:left="1020" w:right="80" w:hanging="504"/>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61" w:lineRule="exact"/>
        <w:rPr>
          <w:rFonts w:ascii="Times New Roman" w:cs="Times New Roman" w:eastAsia="Times New Roman" w:hAnsi="Times New Roman"/>
          <w:sz w:val="18"/>
          <w:szCs w:val="18"/>
          <w:color w:val="auto"/>
        </w:rPr>
      </w:pPr>
    </w:p>
    <w:p>
      <w:pPr>
        <w:ind w:left="1020" w:right="160" w:hanging="504"/>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61" w:lineRule="exact"/>
        <w:rPr>
          <w:rFonts w:ascii="Times New Roman" w:cs="Times New Roman" w:eastAsia="Times New Roman" w:hAnsi="Times New Roman"/>
          <w:sz w:val="18"/>
          <w:szCs w:val="18"/>
          <w:color w:val="auto"/>
        </w:rPr>
      </w:pPr>
    </w:p>
    <w:p>
      <w:pPr>
        <w:ind w:left="1020" w:right="780" w:hanging="504"/>
        <w:spacing w:after="0" w:line="300" w:lineRule="auto"/>
        <w:tabs>
          <w:tab w:leader="none" w:pos="102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7" w:name="page28"/>
    <w:bookmarkEnd w:id="27"/>
    <w:p>
      <w:pPr>
        <w:spacing w:after="0" w:line="84" w:lineRule="exact"/>
        <w:rPr>
          <w:sz w:val="20"/>
          <w:szCs w:val="20"/>
          <w:color w:val="auto"/>
        </w:rPr>
      </w:pPr>
    </w:p>
    <w:p>
      <w:pPr>
        <w:ind w:left="1020" w:right="100" w:hanging="504"/>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subject the impact of supply chain disruption and inflation risk upon the cost of providing materials and services to customers and upon the profitability for certain contracts.</w:t>
      </w:r>
    </w:p>
    <w:p>
      <w:pPr>
        <w:spacing w:after="0" w:line="45" w:lineRule="exact"/>
        <w:rPr>
          <w:rFonts w:ascii="Times New Roman" w:cs="Times New Roman" w:eastAsia="Times New Roman" w:hAnsi="Times New Roman"/>
          <w:sz w:val="18"/>
          <w:szCs w:val="18"/>
          <w:color w:val="auto"/>
        </w:rPr>
      </w:pPr>
    </w:p>
    <w:p>
      <w:pPr>
        <w:ind w:left="1020" w:right="400" w:hanging="504"/>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Goodwill and intangible assets represent a significant amount of our total assets, and any impairment of these assets would negatively impact our results of operations.</w:t>
      </w:r>
    </w:p>
    <w:p>
      <w:pPr>
        <w:spacing w:after="0" w:line="45" w:lineRule="exact"/>
        <w:rPr>
          <w:rFonts w:ascii="Times New Roman" w:cs="Times New Roman" w:eastAsia="Times New Roman" w:hAnsi="Times New Roman"/>
          <w:sz w:val="18"/>
          <w:szCs w:val="18"/>
          <w:color w:val="auto"/>
        </w:rPr>
      </w:pPr>
    </w:p>
    <w:p>
      <w:pPr>
        <w:ind w:left="1020" w:right="320" w:hanging="504"/>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61" w:lineRule="exact"/>
        <w:rPr>
          <w:rFonts w:ascii="Times New Roman" w:cs="Times New Roman" w:eastAsia="Times New Roman" w:hAnsi="Times New Roman"/>
          <w:sz w:val="18"/>
          <w:szCs w:val="18"/>
          <w:color w:val="auto"/>
        </w:rPr>
      </w:pPr>
    </w:p>
    <w:p>
      <w:pPr>
        <w:ind w:left="1020" w:right="240" w:hanging="504"/>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61" w:lineRule="exact"/>
        <w:rPr>
          <w:rFonts w:ascii="Times New Roman" w:cs="Times New Roman" w:eastAsia="Times New Roman" w:hAnsi="Times New Roman"/>
          <w:sz w:val="18"/>
          <w:szCs w:val="18"/>
          <w:color w:val="auto"/>
        </w:rPr>
      </w:pPr>
    </w:p>
    <w:p>
      <w:pPr>
        <w:ind w:left="1020" w:right="360" w:hanging="504"/>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45" w:lineRule="exact"/>
        <w:rPr>
          <w:rFonts w:ascii="Times New Roman" w:cs="Times New Roman" w:eastAsia="Times New Roman" w:hAnsi="Times New Roman"/>
          <w:sz w:val="18"/>
          <w:szCs w:val="18"/>
          <w:color w:val="auto"/>
        </w:rPr>
      </w:pPr>
    </w:p>
    <w:p>
      <w:pPr>
        <w:ind w:left="1020" w:right="540" w:hanging="504"/>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have operations in the Middle East, neighboring regions, and other regions across the globe, and these regions may experience turmoil, political upheaval and similar crises that may impact our current projects, future business and financial stability.</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realize the full value of our backlog, which may result in lower-than-expected revenue.</w:t>
      </w:r>
    </w:p>
    <w:p>
      <w:pPr>
        <w:spacing w:after="0" w:line="115" w:lineRule="exact"/>
        <w:rPr>
          <w:rFonts w:ascii="Times New Roman" w:cs="Times New Roman" w:eastAsia="Times New Roman" w:hAnsi="Times New Roman"/>
          <w:sz w:val="18"/>
          <w:szCs w:val="18"/>
          <w:color w:val="auto"/>
        </w:rPr>
      </w:pPr>
    </w:p>
    <w:p>
      <w:pPr>
        <w:jc w:val="both"/>
        <w:ind w:left="1020" w:right="200" w:hanging="504"/>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61" w:lineRule="exact"/>
        <w:rPr>
          <w:rFonts w:ascii="Times New Roman" w:cs="Times New Roman" w:eastAsia="Times New Roman" w:hAnsi="Times New Roman"/>
          <w:sz w:val="18"/>
          <w:szCs w:val="18"/>
          <w:color w:val="auto"/>
        </w:rPr>
      </w:pPr>
    </w:p>
    <w:p>
      <w:pPr>
        <w:ind w:left="1020" w:right="480" w:hanging="504"/>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extreme weather events, including floods, hurricanes, droughts, and wildfires, including as a result of climate change or supply shortages, could have an adverse impact on our business and operations.</w:t>
      </w:r>
    </w:p>
    <w:p>
      <w:pPr>
        <w:spacing w:after="0" w:line="45" w:lineRule="exact"/>
        <w:rPr>
          <w:rFonts w:ascii="Times New Roman" w:cs="Times New Roman" w:eastAsia="Times New Roman" w:hAnsi="Times New Roman"/>
          <w:sz w:val="18"/>
          <w:szCs w:val="18"/>
          <w:color w:val="auto"/>
        </w:rPr>
      </w:pPr>
    </w:p>
    <w:p>
      <w:pPr>
        <w:ind w:left="1020" w:hanging="504"/>
        <w:spacing w:after="0" w:line="237"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results of operations, financial condition, cash flows and stock price can be adversely affected by pandemics, epidemics, or other public health emergencies, such as the global COVID-19 pandemic and variants thereof. The pandemic resulted in governments around the world implementing increasingly stringent measures to help control the spread of the virus, including quarantines, “shelter in place” and “stay at home” orders, travel restrictions, business curtailments, school closures, and other measures. While many of these restrictions have been removed or reduced, the spread of new variants or viruses may result in the imposition of additional restrictions. In addition, governments and central banks in several parts of the world have enacted, or may enact in the future, fiscal and monetary stimulus measures to counteract the impacts of any such emergency. The extent to which any emergency may impact our business will depend on future developments, which are highly uncertain and unpredictable, and the resultant financial impact cannot be estimated reasonably at this time but may materially adversely affect our ability to collect accounts receivables and our business, results of operations, financial condition and cash flows. Further, the economic impact of such events may cause extreme volatility in financial and other capital markets which may continue to adversely impact our stock price and our ability to access capital markets. Health emergencies may also have the effect of heightening many of the other risks described in this Annual Report on Form 10-K for the year ended December 31, 2023, such as those relating to government spending and priorities.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Our Common Stock</w:t>
      </w:r>
    </w:p>
    <w:p>
      <w:pPr>
        <w:spacing w:after="0" w:line="101" w:lineRule="exact"/>
        <w:rPr>
          <w:sz w:val="20"/>
          <w:szCs w:val="20"/>
          <w:color w:val="auto"/>
        </w:rPr>
      </w:pPr>
    </w:p>
    <w:p>
      <w:pPr>
        <w:ind w:left="1020" w:right="560" w:hanging="504"/>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Your ability to influence corporate matters may be limited because the ESOP beneficially owns a majority of our stock and therefore our employees, voting the shares allocated to them under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4" w:lineRule="exact"/>
        <w:rPr>
          <w:sz w:val="20"/>
          <w:szCs w:val="20"/>
          <w:color w:val="auto"/>
        </w:rPr>
      </w:pPr>
    </w:p>
    <w:p>
      <w:pPr>
        <w:ind w:left="1020" w:right="800"/>
        <w:spacing w:after="0" w:line="271" w:lineRule="auto"/>
        <w:rPr>
          <w:sz w:val="20"/>
          <w:szCs w:val="20"/>
          <w:color w:val="auto"/>
        </w:rPr>
      </w:pPr>
      <w:r>
        <w:rPr>
          <w:rFonts w:ascii="Arial" w:cs="Arial" w:eastAsia="Arial" w:hAnsi="Arial"/>
          <w:sz w:val="18"/>
          <w:szCs w:val="18"/>
          <w:color w:val="auto"/>
        </w:rPr>
        <w:t>the ESOP, or the ESOP Trustee, who will have the right to vote shares for which no voting instructions are provided by employees, could have substantial control over us.</w:t>
      </w:r>
    </w:p>
    <w:p>
      <w:pPr>
        <w:spacing w:after="0" w:line="45" w:lineRule="exact"/>
        <w:rPr>
          <w:sz w:val="20"/>
          <w:szCs w:val="20"/>
          <w:color w:val="auto"/>
        </w:rPr>
      </w:pPr>
    </w:p>
    <w:p>
      <w:pPr>
        <w:ind w:left="1020" w:hanging="504"/>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are a “controlled company” within the meaning of the New York Stock Exchange listing standards and, as a result, qualify for exemptions from certain corporate governance requirements. You may not have the same protections afforded to stockholders of companies that are subject to such requirements.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Government Contracts</w:t>
      </w:r>
    </w:p>
    <w:p>
      <w:pPr>
        <w:spacing w:after="0" w:line="213"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Government spending and priorities could change in a manner that adversely affects our future revenue and limits our growth prospects.</w:t>
      </w:r>
    </w:p>
    <w:p>
      <w:pPr>
        <w:spacing w:after="0" w:line="3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derive, and expect to continue to derive, a significant portion of our revenue from contracts with government entities. As a result, our business depends upon continued government expenditures on defense, intelligence, civil and engineering programs for which we provide support, both among foreign governments and at federal, state and local levels domestically. These expenditures have not remained constant over time. Our business, prospects, financial condition or operating results could be materially harmed, among other causes, by the following:</w:t>
      </w:r>
    </w:p>
    <w:p>
      <w:pPr>
        <w:spacing w:after="0" w:line="71" w:lineRule="exact"/>
        <w:rPr>
          <w:sz w:val="20"/>
          <w:szCs w:val="20"/>
          <w:color w:val="auto"/>
        </w:rPr>
      </w:pPr>
    </w:p>
    <w:p>
      <w:pPr>
        <w:ind w:left="1020" w:right="580" w:hanging="504"/>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budgetary constraints, including mandated automatic spending cuts, affecting across-the-board government spending, or specific agencies in particular, and changes in available funding;</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 shift in expenditures away from agencies or programs that we support;</w:t>
      </w:r>
    </w:p>
    <w:p>
      <w:pPr>
        <w:spacing w:after="0" w:line="115" w:lineRule="exact"/>
        <w:rPr>
          <w:rFonts w:ascii="Times New Roman" w:cs="Times New Roman" w:eastAsia="Times New Roman" w:hAnsi="Times New Roman"/>
          <w:sz w:val="18"/>
          <w:szCs w:val="18"/>
          <w:color w:val="auto"/>
        </w:rPr>
      </w:pPr>
    </w:p>
    <w:p>
      <w:pPr>
        <w:ind w:left="1020" w:right="260" w:hanging="504"/>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reduced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efforts to improve efficiency and reduce costs affecting government programs;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or delays in government programs that we support or the programs’ requirements;</w:t>
      </w:r>
    </w:p>
    <w:p>
      <w:pPr>
        <w:spacing w:after="0" w:line="115" w:lineRule="exact"/>
        <w:rPr>
          <w:rFonts w:ascii="Times New Roman" w:cs="Times New Roman" w:eastAsia="Times New Roman" w:hAnsi="Times New Roman"/>
          <w:sz w:val="18"/>
          <w:szCs w:val="18"/>
          <w:color w:val="auto"/>
        </w:rPr>
      </w:pPr>
    </w:p>
    <w:p>
      <w:pPr>
        <w:ind w:left="1020" w:right="80" w:hanging="504"/>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U.S. government shutdowns due to, among other reasons, a failure by elected officials to fund the government, such as the shutdowns which occurred during government fiscal years 2019 and 2014 and, to a lesser extent, government fiscal year 2018, and other potential delays in the appropriations process;</w:t>
      </w:r>
    </w:p>
    <w:p>
      <w:pPr>
        <w:spacing w:after="0" w:line="61" w:lineRule="exact"/>
        <w:rPr>
          <w:rFonts w:ascii="Times New Roman" w:cs="Times New Roman" w:eastAsia="Times New Roman" w:hAnsi="Times New Roman"/>
          <w:sz w:val="18"/>
          <w:szCs w:val="18"/>
          <w:color w:val="auto"/>
        </w:rPr>
      </w:pPr>
    </w:p>
    <w:p>
      <w:pPr>
        <w:ind w:left="1020" w:right="20" w:hanging="504"/>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resolutions (CRs) which are temporary spending bills that allow federal government operations to continue when final appropriations have not been enacted. CRs generally continue the level of funding from the prior year’s appropriations or the previously approved CR from the current year;</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U.S. government agencies awarding contracts on a technically acceptable/lowest cost basis in order to reduce expenditures;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payment of our invoices by government payment offices;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elections, including politicians who may have priorities that would reduce spending in areas in which we operate;</w:t>
      </w:r>
    </w:p>
    <w:p>
      <w:pPr>
        <w:spacing w:after="0" w:line="115" w:lineRule="exact"/>
        <w:rPr>
          <w:rFonts w:ascii="Times New Roman" w:cs="Times New Roman" w:eastAsia="Times New Roman" w:hAnsi="Times New Roman"/>
          <w:sz w:val="18"/>
          <w:szCs w:val="18"/>
          <w:color w:val="auto"/>
        </w:rPr>
      </w:pPr>
    </w:p>
    <w:p>
      <w:pPr>
        <w:ind w:left="1020" w:right="540" w:hanging="504"/>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by the U.S. government to fund its operations as a result of a failure to increase the federal government’s debt ceiling, a credit downgrade of U.S. government obligations or for any other reason; and</w:t>
      </w:r>
    </w:p>
    <w:p>
      <w:pPr>
        <w:spacing w:after="0" w:line="45" w:lineRule="exact"/>
        <w:rPr>
          <w:rFonts w:ascii="Times New Roman" w:cs="Times New Roman" w:eastAsia="Times New Roman" w:hAnsi="Times New Roman"/>
          <w:sz w:val="18"/>
          <w:szCs w:val="18"/>
          <w:color w:val="auto"/>
        </w:rPr>
      </w:pPr>
    </w:p>
    <w:p>
      <w:pPr>
        <w:ind w:left="1020" w:right="220" w:hanging="504"/>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191"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Any disruption in the functioning of government agencies, including as a result of government closures and shutdowns, terrorism, war, natural disasters, destruction of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17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particular, with regard to our largest single customer, the U.S. federal government, budget deficits, the national debt and the prevailing economic condition, and actions taken to address them, could continue to negatively affect the U.S. government expenditures on defense, intelligence and civil programs for which we provide support. There remains uncertainty as to the final fiscal year 2024 budget and if the Fiscal Responsibility Act reduction will impact it. However, a reduction in the amount of or delays or cancellations of funding for, services that we are contracted to provide to the U.S. Department of Defense as a result of any of these initiatives, legislation or otherwise could have a material adverse effect on our business, financial condition and results of operations.</w:t>
      </w:r>
    </w:p>
    <w:p>
      <w:pPr>
        <w:spacing w:after="0" w:line="182"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Most government contracts are subject to the government’s budgetary approval process. Legislatures typically appropriate funds for a given program on a year-by-year basis, even though contract performance may take more than one year. In addition, public-supported financing such as state and local municipal bonds may be only partially raised to support existing infrastructure projects. As a result, at the beginning of a program, the related contract is only partially funded, and additional funding is normally committed only as appropriations are made in each fiscal year. These appropriations, and the timing of payment of appropriated amounts, may be influenced by, among other things, the state of the economy, competing priorities for appropriation, changes in administration or control of legislatures and the timing and amount of tax receipts and the overall level of government expenditures. Similarly, the impact of an economic downturn on state and local governments may make it more difficult for them to fund infrastructure projects. If appropriations are not made in subsequent years on our government contracts, then we will not realize all of our potential revenue and profit from that contract, and we may incur substantial labor costs without reimbursement.</w:t>
      </w:r>
    </w:p>
    <w:p>
      <w:pPr>
        <w:spacing w:after="0" w:line="18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Government funding with respect to our Critical Infrastructure services fluctuates over time and new or changing government policies may affect our Critical Infrastructure business and operations. Government spending for our Critical Infrastructure services may also depend on factors related to government demand, such as the condition of the existing infrastructure and buildings and the need for new or expanded infrastructure and buildings. Our government clients may face budget cuts or deficits that prohibit them from funding proposed and existing Critical Infrastructure projects.</w:t>
      </w:r>
    </w:p>
    <w:p>
      <w:pPr>
        <w:spacing w:after="0" w:line="179"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These or other factors could cause our defense, intelligence, infrastructure or civil clients to decrease the number of new government contracts awarded generally and fail to award us new government contracts, reduce their purchases under our existing government contracts, exercise their right to terminate our government contracts or not exercise options to renew our government contracts, any of which could materially and adversely affect our business, financial condition and results of operations.</w:t>
      </w:r>
    </w:p>
    <w:p>
      <w:pPr>
        <w:spacing w:after="0" w:line="286"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3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U.S. federal government and its agencies, including the military and intelligence community, collectively are our largest customer. In particular, it represents substantially all of the revenue of our Federal Solutions segment. Approximately 18% and 17% of accounts receivable as of December 31, 2023 and December 31, 2022, respectively were derived from contracts with the U.S. federal government and its agencies. Our reputation and relationships with various U.S. government entities and agencies, and in particular with the U.S. Department of Defense, the Federal Aviation Administration, the United States intelligence community and the U.S. Department of Energy are key factors in maintaining and growing these revenues and winning new bids for new business. Negative press reports or publicity, regardless of accuracy, could harm our reputation. If our reputation or relationships with government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agencies were to be negatively affected, or if we are suspended or debarred from contracting with government agencies for any reason, the amount of business with government and other customers would decrease and our financial condition and results of operations could be adversely affected.</w:t>
      </w:r>
    </w:p>
    <w:p>
      <w:pPr>
        <w:spacing w:after="0" w:line="2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50"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We must comply with various laws and regulations relating to the formation, administration and performance of government contracts, which affect how we do business with our customers and may impose added costs on our business.</w:t>
      </w:r>
    </w:p>
    <w:p>
      <w:pPr>
        <w:spacing w:after="0" w:line="15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Many of our U.S. government contracts contain organizational conflict of interest, or OCI, clauses that may limit our ability to compete for or perform contracts or other types of services for particular customers. OCI arises when we engage in activities that may make us unable to render impartial assistance or advice to the U.S. government, impair our objectivity in performing contract work or provide us with an unfair competitive advantage. Existing OCI, and any OCI that may develop, could preclude our competition for or performance on a significant project or contract, which could limit our opportunities.</w:t>
      </w:r>
    </w:p>
    <w:p>
      <w:pPr>
        <w:spacing w:after="0" w:line="17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Some U.S. federal and state statutes and regulations provide for automatic debarment based on our actions, such as violations of the U.S. False Claims Act or the U.S. Foreign Corrupt Practices Act, or FCPA. The suspension or debarment in any particular case may be limited to the facility, contract or subsidiary involved in the violation or could be applied to our entire enterprise in severe circumstances. Even a narrow scope suspension or debarment could result in negative publicity that could adversely affect our ability to renew contracts and to secure new contracts, both with governments and private customers, which could materially and adversely affect our business, financial condition and results of operations.</w:t>
      </w:r>
    </w:p>
    <w:p>
      <w:pPr>
        <w:spacing w:after="0" w:line="292"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Governments may adopt new contract rules and regulations or revise their procurement practices in a manner adverse to us at any time.</w:t>
      </w:r>
    </w:p>
    <w:p>
      <w:pPr>
        <w:spacing w:after="0" w:line="3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government-related industries within which we do business continue to experience significant changes to business practices as a result of an increased focus on affordability, efficiencies and recovery of costs, among other items. Our existing and potential clients are similarly focused on increasing the productivity of their contractual arrangements. Moreover, government agencies may face restrictions or pressure regarding the type and amount of services that they may obtain from private contractors. Legislation, regulations and initiatives dealing with procurement reform, mitigation of potential OCIs, deterrence of fraud, and environmental responsibility or sustainability could have an adverse effect on us. Moreover, shifts in the buying practices of government agencies, such as increased usage of fixed price contracts, multiple award contracts and small business set-aside contracts, could have adverse effects on government contractors, including us. Any of these changes could impair our ability to obtain new contracts or contract renewals. Any new contracting requirements or procurement methods could be costly or administratively difficult for us to implement and could adversely affect our business, financial condition and results of operations.</w:t>
      </w:r>
    </w:p>
    <w:p>
      <w:pPr>
        <w:spacing w:after="0" w:line="296"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b w:val="1"/>
          <w:bCs w:val="1"/>
          <w:i w:val="1"/>
          <w:iCs w:val="1"/>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31"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Government agencies routinely audit and review a contractor’s performance on government contracts, indirect cost rates and pricing practices, and compliance with applicable contracting and procurement laws, regulations and standards. They also review the adequacy of the contractor’s compliance with government standards for its business systems, which are defined as the contractor’s accounting, earned value management, estimating, materials management, property management and purchasing systems. A finding of significant control deficiencies in a contractor’s business systems or a</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83"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finding of noncompliance with U.S. government Cost Accounting Standards, or CAS, can result in decremented billing rates to U.S. government customers until the control deficiencies are corrected and their remediation is accepted by the Defense Contract Management Agency. The agencies conducting these audits and reviews have come under increased scrutiny. As a result, audits and reviews have become more rigorous and the standards to which we are held are being more strictly interpreted which has increased the likelihood of an audit or review resulting in an adverse outcome.</w:t>
      </w:r>
    </w:p>
    <w:p>
      <w:pPr>
        <w:spacing w:after="0" w:line="17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If a review or investigation by a government agency identifies improper or illegal activities, we may be subject to civil or criminal penalties or administrative sanctions which could include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industries. If we incur a material penalty or administrative sanction or otherwise suffer harm to our reputation, our profitability, cash position and future prospects could be adversely affected.</w:t>
      </w:r>
    </w:p>
    <w:p>
      <w:pPr>
        <w:spacing w:after="0" w:line="182"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and those refunds would negatively impact our revenue. Receipt of adverse audit findings or the failure to obtain an “approved” determination on our various business systems could significantly and adversely affect our business by, among other things, restricting our ability to bid on new contracts and, for those proposals under evaluation, diminishing our competitive position. A determination of noncompliance could also result in penalties and sanctions against us, including withholding of payments, suspension of payments and increased government scrutiny. Increased scrutiny could adversely impact our ability to perform on contracts, affect our ability to invoice for work performed, delay the receipt of timely payment on contracts, and weaken our ability to compete for new contracts with the government.</w:t>
      </w:r>
    </w:p>
    <w:p>
      <w:pPr>
        <w:spacing w:after="0" w:line="29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50"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Government contracts often contain provisions and are subject to laws and regulations that provide government clients with rights and remedies not typically found in commercial contracts. These rights and remedies allow government clients, among other things, to:</w:t>
      </w:r>
    </w:p>
    <w:p>
      <w:pPr>
        <w:spacing w:after="0" w:line="45" w:lineRule="exact"/>
        <w:rPr>
          <w:sz w:val="20"/>
          <w:szCs w:val="20"/>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terminate existing contracts, with short notice, for convenience as well as for default;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reduce orders under or otherwise modify contracts;</w:t>
      </w:r>
    </w:p>
    <w:p>
      <w:pPr>
        <w:spacing w:after="0" w:line="115" w:lineRule="exact"/>
        <w:rPr>
          <w:rFonts w:ascii="Times New Roman" w:cs="Times New Roman" w:eastAsia="Times New Roman" w:hAnsi="Times New Roman"/>
          <w:sz w:val="18"/>
          <w:szCs w:val="18"/>
          <w:color w:val="auto"/>
        </w:rPr>
      </w:pPr>
    </w:p>
    <w:p>
      <w:pPr>
        <w:ind w:left="1020" w:right="60" w:hanging="504"/>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for contracts subject to the Truthful Cost and Pricing statute, reduce the contract price or cost where it was increased because a contractor or subcontractor furnished cost or pricing data during negotiations that was not complete, accurate and current;</w:t>
      </w:r>
    </w:p>
    <w:p>
      <w:pPr>
        <w:spacing w:after="0" w:line="45" w:lineRule="exact"/>
        <w:rPr>
          <w:rFonts w:ascii="Times New Roman" w:cs="Times New Roman" w:eastAsia="Times New Roman" w:hAnsi="Times New Roman"/>
          <w:sz w:val="18"/>
          <w:szCs w:val="18"/>
          <w:color w:val="auto"/>
        </w:rPr>
      </w:pPr>
    </w:p>
    <w:p>
      <w:pPr>
        <w:ind w:left="1020" w:hanging="504"/>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for some contracts, (1) demand a refund, make a forward price adjustment or terminate a contract for default if a contractor provided inaccurate or incomplete data during the contract negotiation process and (2) reduce the contract price under triggering circumstances, including the revision of price lists or other documents upon which the contract award was predicated;</w:t>
      </w:r>
    </w:p>
    <w:p>
      <w:pPr>
        <w:spacing w:after="0" w:line="61" w:lineRule="exact"/>
        <w:rPr>
          <w:rFonts w:ascii="Times New Roman" w:cs="Times New Roman" w:eastAsia="Times New Roman" w:hAnsi="Times New Roman"/>
          <w:sz w:val="18"/>
          <w:szCs w:val="18"/>
          <w:color w:val="auto"/>
        </w:rPr>
      </w:pPr>
    </w:p>
    <w:p>
      <w:pPr>
        <w:ind w:left="1020" w:right="560" w:hanging="504"/>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terminate our facility security clearances and thereby prevent us from receiving classified contracts and complete work on existing contracts;</w:t>
      </w:r>
    </w:p>
    <w:p>
      <w:pPr>
        <w:spacing w:after="0" w:line="45" w:lineRule="exact"/>
        <w:rPr>
          <w:rFonts w:ascii="Times New Roman" w:cs="Times New Roman" w:eastAsia="Times New Roman" w:hAnsi="Times New Roman"/>
          <w:sz w:val="18"/>
          <w:szCs w:val="18"/>
          <w:color w:val="auto"/>
        </w:rPr>
      </w:pPr>
    </w:p>
    <w:p>
      <w:pPr>
        <w:ind w:left="1020" w:right="860" w:hanging="504"/>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cancel multi-year contracts and related task orders if funds for contract performance for any subsequent year become unavailable;</w:t>
      </w:r>
    </w:p>
    <w:p>
      <w:pPr>
        <w:spacing w:after="0" w:line="45" w:lineRule="exact"/>
        <w:rPr>
          <w:rFonts w:ascii="Times New Roman" w:cs="Times New Roman" w:eastAsia="Times New Roman" w:hAnsi="Times New Roman"/>
          <w:sz w:val="18"/>
          <w:szCs w:val="18"/>
          <w:color w:val="auto"/>
        </w:rPr>
      </w:pPr>
    </w:p>
    <w:p>
      <w:pPr>
        <w:ind w:left="1020" w:right="200" w:hanging="504"/>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decline to exercise an option to renew a multi-year contract or issue task orders in connection with indefinite delivery/indefinite quantity contracts, or IDIQ contracts;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83" w:lineRule="exact"/>
        <w:rPr>
          <w:sz w:val="20"/>
          <w:szCs w:val="20"/>
          <w:color w:val="auto"/>
        </w:rPr>
      </w:pPr>
    </w:p>
    <w:p>
      <w:pPr>
        <w:jc w:val="both"/>
        <w:ind w:left="1020" w:right="60" w:hanging="504"/>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claim rights in solutions, systems and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spacing w:after="0" w:line="61" w:lineRule="exact"/>
        <w:rPr>
          <w:rFonts w:ascii="Times New Roman" w:cs="Times New Roman" w:eastAsia="Times New Roman" w:hAnsi="Times New Roman"/>
          <w:sz w:val="18"/>
          <w:szCs w:val="18"/>
          <w:color w:val="auto"/>
        </w:rPr>
      </w:pPr>
    </w:p>
    <w:p>
      <w:pPr>
        <w:ind w:left="1020" w:right="80" w:hanging="504"/>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61" w:lineRule="exact"/>
        <w:rPr>
          <w:rFonts w:ascii="Times New Roman" w:cs="Times New Roman" w:eastAsia="Times New Roman" w:hAnsi="Times New Roman"/>
          <w:sz w:val="18"/>
          <w:szCs w:val="18"/>
          <w:color w:val="auto"/>
        </w:rPr>
      </w:pPr>
    </w:p>
    <w:p>
      <w:pPr>
        <w:jc w:val="both"/>
        <w:ind w:left="1020" w:right="360" w:hanging="504"/>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suspend or debar us from doing business with the applicable government;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control or prohibit the export of our services.</w:t>
      </w:r>
    </w:p>
    <w:p>
      <w:pPr>
        <w:spacing w:after="0" w:line="22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government client were to unexpectedly terminate, cancel, or decline to exercise an option to renew with respect to one or more of our significant contracts, or suspend or debar us from doing business with such government, our revenue and operating results would be materially harmed.</w:t>
      </w:r>
    </w:p>
    <w:p>
      <w:pPr>
        <w:spacing w:after="0" w:line="289"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Our revenue and growth prospects may be harmed if we or our employees are unable to obtain government granted eligibility or other qualifications, we and they need to perform services for our customers.</w:t>
      </w:r>
    </w:p>
    <w:p>
      <w:pPr>
        <w:spacing w:after="0" w:line="3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 number of government programs require contractors to have certain kinds of government granted eligibility, such as security clearance credentials. Depending on the project, eligibility can be difficult and time-consuming to obtain. If we or our employees are unable to obtain or retain the necessary eligibility, including local ownership requirements, we may not be able to win new business, and our existing customers could terminate their contracts with us or decide not to renew them. To the extent we cannot obtain or maintain the required security clearances for our employees working on a particular contract, we may not derive the revenue or profit anticipated from such contract.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Operations and Markets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could suffer if we are not able to timely and effectively utilize our employees or manage our cost structure.</w:t>
      </w:r>
    </w:p>
    <w:p>
      <w:pPr>
        <w:spacing w:after="0" w:line="101"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45" w:lineRule="exact"/>
        <w:rPr>
          <w:sz w:val="20"/>
          <w:szCs w:val="20"/>
          <w:color w:val="auto"/>
        </w:rPr>
      </w:pPr>
    </w:p>
    <w:p>
      <w:pPr>
        <w:ind w:left="1020" w:right="820" w:hanging="504"/>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transition employees from completed projects to new assignments and to hire, assimilate and deploy new employees;</w:t>
      </w:r>
    </w:p>
    <w:p>
      <w:pPr>
        <w:spacing w:after="0" w:line="45" w:lineRule="exact"/>
        <w:rPr>
          <w:rFonts w:ascii="Times New Roman" w:cs="Times New Roman" w:eastAsia="Times New Roman" w:hAnsi="Times New Roman"/>
          <w:sz w:val="18"/>
          <w:szCs w:val="18"/>
          <w:color w:val="auto"/>
        </w:rPr>
      </w:pPr>
    </w:p>
    <w:p>
      <w:pPr>
        <w:ind w:left="1020" w:right="420" w:hanging="504"/>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forecast demand for our services and to maintain and deploy headcount that is aligned with demand, including employees with the right mix of skills and experience to support our projects;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employees’ ability to obtain or retain necessary security clearances or required certifications;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83" w:lineRule="exact"/>
        <w:rPr>
          <w:sz w:val="20"/>
          <w:szCs w:val="20"/>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or delays or cancellations of projects, as a result of governmental budgetary processes or otherwise;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manage attrition;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upon the cost of services and materials provided to customers;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devote time and resources to training, business development, and other non-chargeable activities.</w:t>
      </w:r>
    </w:p>
    <w:p>
      <w:pPr>
        <w:spacing w:after="0" w:line="224"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If our employees are under-utilized, our profit margin and profitability could suffer. Additionally, if our employees are over-utilized, it could have a material adverse effect on employee morale and attrition, which would in turn have a material adverse impact on our business, financial condition or results of operations.</w:t>
      </w:r>
    </w:p>
    <w:p>
      <w:pPr>
        <w:spacing w:after="0" w:line="171" w:lineRule="exact"/>
        <w:rPr>
          <w:sz w:val="20"/>
          <w:szCs w:val="20"/>
          <w:color w:val="auto"/>
        </w:rPr>
      </w:pPr>
    </w:p>
    <w:p>
      <w:pPr>
        <w:ind w:right="400" w:firstLine="509"/>
        <w:spacing w:after="0" w:line="246" w:lineRule="auto"/>
        <w:rPr>
          <w:sz w:val="20"/>
          <w:szCs w:val="20"/>
          <w:color w:val="auto"/>
        </w:rPr>
      </w:pPr>
      <w:r>
        <w:rPr>
          <w:rFonts w:ascii="Arial" w:cs="Arial" w:eastAsia="Arial" w:hAnsi="Arial"/>
          <w:sz w:val="18"/>
          <w:szCs w:val="18"/>
          <w:color w:val="auto"/>
        </w:rPr>
        <w:t>Our profitability is also affected by the extent to which we are able to effectively manage our overall cost structure for operating expenses, such as wages and benefits, real estate expenses, overhead and capital and other investment-related expenditures. If we are unable to effectively manage our costs and expenses and achieve efficiencies, our competitiveness and profitability may be adversely affected.</w:t>
      </w:r>
    </w:p>
    <w:p>
      <w:pPr>
        <w:spacing w:after="0" w:line="286"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are focused on growing our presence in our addressable markets by enhancing and optimizing our core operations, extending into opportunity-rich adjacent markets and acquiring and integrating transformative, disruptive technologies. These efforts entail inherent risks associated with innovation and competition from other participants in those areas, potential failure to help our clients respond to the challenges they face, our ability to comply with uncertain evolving legal standards applicable to some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as described in additional detail below.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 Additionally,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our financial condition.</w:t>
      </w:r>
    </w:p>
    <w:p>
      <w:pPr>
        <w:spacing w:after="0" w:line="18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addition, our ability to grow our business by leveraging our operating model to deploy our people efficiently and effectively across our client base is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financial condition and results of operations.</w:t>
      </w:r>
    </w:p>
    <w:p>
      <w:pPr>
        <w:spacing w:after="0" w:line="179"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9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laws, rules and regulations, and instill our core values in all of our personnel at each of these and any future locations. Any inability to ensure any of the foregoing could have a material adverse effect on our business, financial condition and results of operations.</w:t>
      </w:r>
    </w:p>
    <w:p>
      <w:pPr>
        <w:spacing w:after="0" w:line="26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have submitted claims and change orders to clients for work we performed beyond the initial scope of some of our contracts. If these clients do not approve these claims and change orders, our results of operations could be adversely impacted.</w:t>
      </w:r>
    </w:p>
    <w:p>
      <w:pPr>
        <w:spacing w:after="0" w:line="3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typically have pending claims and change orders submitted under some of our contracts for payment of work performed beyond the initial contractual requirements for which we have already recorded revenue. Our client may dispute these change orders and claims, and we cannot guarantee that such claims will be approved in whole, in part, or at all. Often, these claims and disputes can be the subject of lengthy arbitration or litigation proceedings, and it is difficult to accurately predict when these claims and disputes will be fully resolved. We may also renegotiate contracts to address these additional costs. When these types of events occur, we have used working capital in projects to cover cost overruns. If our claims are not approved or resolved, our revenue may be reduced in future periods.</w:t>
      </w:r>
    </w:p>
    <w:p>
      <w:pPr>
        <w:spacing w:after="0" w:line="29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50"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We design and develop technologically advanced and innovative products and services applied by our customers in a variety of environments. Problems and delays in development or delivery as a result of issues with respect to design, technology, licensing and patent rights, labor, learning curve assumptions or materials and components could prevent us from achieving contractual requirements. Our offerings cannot be tested and proven in all situations and are otherwise subject to unforeseen problems that could negatively affect revenue and profitability such as problems with governmental inaction, quality and workmanship, delivery of subcontractor components or services, unplanned degradation of product performance, unavailability of vendor materials and changes in the project scope requested by our clients. Among the factors that may adversely affect our business, financial condition or results of operations could be unforeseen costs and expenses not covered by insurance or indemnification from the customer, diversion of management focus in responding to unforeseen problems, loss of follow-on work, damage to our reputation and repayment to the customer of contract cost and fee payments we previously received.</w:t>
      </w:r>
    </w:p>
    <w:p>
      <w:pPr>
        <w:spacing w:after="0" w:line="296"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We face aggressive competition that can impact our ability to obtain contracts and may affect our future revenues, profitability and growth prospects.</w:t>
      </w:r>
    </w:p>
    <w:p>
      <w:pPr>
        <w:spacing w:after="0" w:line="3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expect that a majority of the business that we seek in the foreseeable future will be awarded through a competitive bidding process. For example, the U.S. government increasingly relies on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For contracts awarded to us, we also face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 award contracts. Our failure to compete effectively in this procurement environment would adversely affect our business, financial condition and results of operations.</w:t>
      </w:r>
    </w:p>
    <w:p>
      <w:pPr>
        <w:spacing w:after="0" w:line="174"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Projects may be awarded based solely upon price, but often take into account other factors, such as technical qualifications, proposed project team, schedule and past performance on similar projects. We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compete with larger companies that have greater name recognition, financial resources and larger technical staffs and with smaller, more specialized companies that are able to concentrate their resources on particular areas. Additionally, we may compete with a government’s own capabilities. Technology-focused companies may also develop products and services that could disrupt our business or compete with our services. To remain competitive, we must consistently provide superior service, technology and performance on a cost-effective basis to our customers and there is no assurance that we will do so.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global tax laws could have a material impact on our effective income tax rate.</w:t>
      </w:r>
    </w:p>
    <w:p>
      <w:pPr>
        <w:spacing w:after="0" w:line="10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are subject to income taxes in the U.S. and numerous foreign jurisdictions. Many tax jurisdictions, including the U.S., have called for comprehensive changes to fiscal and tax policies that could significantly impact how we are taxed on our domestic and foreign earnings. Such changes, if enacted into law, could increase our effective tax rate and have a material adverse impact on our financial condition and results of operations. For example, beginning in 2022, the Tax Cuts and Jobs Act of 2017 eliminated the option to currently deduct research and development expenditures in the year incurred and requires taxpayers to amortize such expenditures over five years for tax purposes. While the most significant impact of this provision is to cash tax liability for 2022, the tax year in which the provision took effect, the impact will decline annually over the five-year amortization period to an immaterial amount beginning in year six.</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Acquisitions and Joint Ventures</w:t>
      </w:r>
    </w:p>
    <w:p>
      <w:pPr>
        <w:spacing w:after="0" w:line="21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We may make acquisitions, investments, joint ventures and divestitures in the future that involve numerous risks, which if realized, may adversely affect our business and our future results.</w:t>
      </w:r>
    </w:p>
    <w:p>
      <w:pPr>
        <w:spacing w:after="0" w:line="3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may make strategic acquisitions, engage in joint ventures or divest existing businesses, which could cause us to incur unforeseen expenses and have disruptive effects on our business and may not yield the benefits we expect. Our Credit Agreement imposes limitations on our ability to make other acquisitions. Subject to those limitations, we may selectively pursue additional strategic acquisitions, investments and joint ventures in the future. Any future acquisitions, investments and joint ventures may pose many risks that could adversely affect our reputation, operations or financial results, including:</w:t>
      </w:r>
    </w:p>
    <w:p>
      <w:pPr>
        <w:spacing w:after="0" w:line="71" w:lineRule="exact"/>
        <w:rPr>
          <w:sz w:val="20"/>
          <w:szCs w:val="20"/>
          <w:color w:val="auto"/>
        </w:rPr>
      </w:pPr>
    </w:p>
    <w:p>
      <w:pPr>
        <w:ind w:left="1020" w:right="380" w:hanging="504"/>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retain key employees (including those with needed security clearances), customers and business partners of an acquired business in the future;</w:t>
      </w:r>
    </w:p>
    <w:p>
      <w:pPr>
        <w:spacing w:after="0" w:line="45" w:lineRule="exact"/>
        <w:rPr>
          <w:rFonts w:ascii="Times New Roman" w:cs="Times New Roman" w:eastAsia="Times New Roman" w:hAnsi="Times New Roman"/>
          <w:sz w:val="18"/>
          <w:szCs w:val="18"/>
          <w:color w:val="auto"/>
        </w:rPr>
      </w:pPr>
    </w:p>
    <w:p>
      <w:pPr>
        <w:ind w:left="1020" w:right="240" w:hanging="504"/>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successfully integrate acquired businesses, such as failing to successfully integrate information technology and other control systems relating to the operations of any acquired business;</w:t>
      </w:r>
    </w:p>
    <w:p>
      <w:pPr>
        <w:spacing w:after="0" w:line="45" w:lineRule="exact"/>
        <w:rPr>
          <w:rFonts w:ascii="Times New Roman" w:cs="Times New Roman" w:eastAsia="Times New Roman" w:hAnsi="Times New Roman"/>
          <w:sz w:val="18"/>
          <w:szCs w:val="18"/>
          <w:color w:val="auto"/>
        </w:rPr>
      </w:pPr>
    </w:p>
    <w:p>
      <w:pPr>
        <w:ind w:left="1020" w:right="340" w:hanging="504"/>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normally require a significant investment of time and resources, which may disrupt our business and distract our management from other important responsibilities;</w:t>
      </w:r>
    </w:p>
    <w:p>
      <w:pPr>
        <w:spacing w:after="0" w:line="45" w:lineRule="exact"/>
        <w:rPr>
          <w:rFonts w:ascii="Times New Roman" w:cs="Times New Roman" w:eastAsia="Times New Roman" w:hAnsi="Times New Roman"/>
          <w:sz w:val="18"/>
          <w:szCs w:val="18"/>
          <w:color w:val="auto"/>
        </w:rPr>
      </w:pPr>
    </w:p>
    <w:p>
      <w:pPr>
        <w:ind w:left="1020" w:right="140" w:hanging="504"/>
        <w:spacing w:after="0" w:line="252"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accurately estimate the financial effect of any acquisitions and investments on our business and we may not realize anticipated revenue opportunities, cost savings, or other synergies or benefits, or acquisitions may not result in improved operating performance; and</w:t>
      </w:r>
    </w:p>
    <w:p>
      <w:pPr>
        <w:spacing w:after="0" w:line="61" w:lineRule="exact"/>
        <w:rPr>
          <w:rFonts w:ascii="Times New Roman" w:cs="Times New Roman" w:eastAsia="Times New Roman" w:hAnsi="Times New Roman"/>
          <w:sz w:val="18"/>
          <w:szCs w:val="18"/>
          <w:color w:val="auto"/>
        </w:rPr>
      </w:pPr>
    </w:p>
    <w:p>
      <w:pPr>
        <w:ind w:left="1020" w:right="40" w:hanging="504"/>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assume known as well as unknown material liabilities, legal or regulatory risks that were not identified as part of our due diligence or for which we are unable to receive a purchase price adjustment or reimbursement through indemnification.</w:t>
      </w:r>
    </w:p>
    <w:p>
      <w:pPr>
        <w:spacing w:after="0" w:line="154"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If any acquisitions, investments or joint ventures fail, perform poorly or their value is otherwise impaired for any reason, including contractions in credit markets and global economic conditions, our business, financial condition and results of operations could be adversely affected.</w:t>
      </w:r>
    </w:p>
    <w:p>
      <w:pPr>
        <w:spacing w:after="0" w:line="171" w:lineRule="exact"/>
        <w:rPr>
          <w:sz w:val="20"/>
          <w:szCs w:val="20"/>
          <w:color w:val="auto"/>
        </w:rPr>
      </w:pPr>
    </w:p>
    <w:p>
      <w:pPr>
        <w:ind w:right="520" w:firstLine="509"/>
        <w:spacing w:after="0" w:line="252" w:lineRule="auto"/>
        <w:rPr>
          <w:sz w:val="20"/>
          <w:szCs w:val="20"/>
          <w:color w:val="auto"/>
        </w:rPr>
      </w:pPr>
      <w:r>
        <w:rPr>
          <w:rFonts w:ascii="Arial" w:cs="Arial" w:eastAsia="Arial" w:hAnsi="Arial"/>
          <w:sz w:val="18"/>
          <w:szCs w:val="18"/>
          <w:color w:val="auto"/>
        </w:rPr>
        <w:t>In addition, we may periodically divest or plan to divest businesses, including businesses that are no longer a part of our ongoing strategic plan. These divestitures similarly require significant investment of time and resources and may disrupt our business, distract management from other responsibilities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may result in losses on disposal or continued financial involvement in the divested business, including through indemnification, guarantee or other financial arrangements, for a period of time following the transaction, which could adversely affect our business, financial condition or results of operations. When we determine that we would like to divest a business, we may not be able to divest that business on attractive terms or at all.</w:t>
      </w:r>
    </w:p>
    <w:p>
      <w:pPr>
        <w:spacing w:after="0" w:line="286"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We conduct a portion of our work through joint venture entities, some of which we do not have management control over, and with which we typically have joint and several liability with our joint venture partners.</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13% of our revenue during fiscal 2023, 12% of our revenue during fiscal 2022 and 11% of our revenue during fiscal 2021 was derived from our operations through consolidated joint ventures. In addition, 3.9% of our revenue during fiscal 2023, 5.1% of our revenue during fiscal 2022 and 5.6% of our revenues in fiscal 2021 related to services we provided to our unconsolidated joint ventures, where control resides with unaffiliated third parties, and 16.6% of our operating income during fiscal 2023, 8.8% of our operating income during fiscal 2022 and 27.8% of our operating income during fiscal 2021 was derived from equity in our unconsolidated joint ventures. As with most joint venture arrangements, differences in views among the joint venture participants may result in delayed decisions or disputes. We also cannot control the actions of our joint venture partners and we typically have joint and several liability with our joint venture partners under the applicable contracts for joint venture projects. These factors could potentially adversely impact the business and operations of a joint venture and, in turn, our business and operations.</w:t>
      </w:r>
    </w:p>
    <w:p>
      <w:pPr>
        <w:spacing w:after="0" w:line="18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Operating through joint ventures in which we are a minority holder results in us having limited control over many decisions made with respect to projects and internal controls relating to projects. We generally do not have control of these unconsolidated joint ventures. These joint ventures may not be subject to the same requirements regarding internal controls and internal control over financial reporting that we follow. As a result, internal control problems may arise with respect to these joint ventures, which could have a material adverse effect on our business, financial condition and results of operations and could also affect our reputation in the industries we serve.</w:t>
      </w:r>
    </w:p>
    <w:p>
      <w:pPr>
        <w:spacing w:after="0" w:line="28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We participate in joint ventures where we provide guarantees and may be adversely impacted by the failure of such joint venture or its participants to fulfill their obligations.</w:t>
      </w:r>
    </w:p>
    <w:p>
      <w:pPr>
        <w:spacing w:after="0" w:line="31"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We have investments in and commitments to joint ventures with unrelated parties. These joint ventures from time to time may borrow money to help finance their activities and, in some circumstances, we may be required to provide guarantees of the obligations of our affiliated entities. As of December 31, 2023, we had $147.7 million of letters of credit and guarantees that relate to joint ventures. If these entities are not able to honor their obligations under the guarantees, we may be required to expend additional resources or suffer losses, which could be significant.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may not achieve their full intended benefits or may disrupt our plans and operations.</w:t>
      </w:r>
    </w:p>
    <w:p>
      <w:pPr>
        <w:spacing w:after="0" w:line="10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cannot assure you that we will be able to successfully integrate acquired companies with our business or otherwise realize the expected benefits of our acquisitions. For example, in the last several years we have made four large acquisitions. The combination of multiple independent businesses will be a complex, costly, and time-consuming process. Our business may be negatively impacted following acquisitions if we are unable to effectively manage our expanded operations. The integration process will require significant time and focus from our management team and may divert attention from the day-to-day operations of the combined business. Additionally, consummation of acquisitions could disrupt our current plans and operations, which could delay the achievement of our strategic objectives.</w:t>
      </w:r>
    </w:p>
    <w:p>
      <w:pPr>
        <w:spacing w:after="0" w:line="182"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The expected synergies and operating efficiencies of the acquisitions may not be fully realized, which could result in increased costs and have a material adverse effect on our business, financial condition and results of operations. In addition, the overall integration of the businesses may result in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1"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color w:val="auto"/>
        </w:rPr>
        <w:t>material unanticipated problems, expenses, liabilities, competitive responses, loss of customer relationships and diversion of management’s attention, among other potential adverse consequences. The risks of combining our operations of the businesses include, among others:</w:t>
      </w:r>
    </w:p>
    <w:p>
      <w:pPr>
        <w:spacing w:after="0" w:line="22"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may have underestimated the costs to integrate the information systems of acquired companies with ours;</w:t>
      </w:r>
    </w:p>
    <w:p>
      <w:pPr>
        <w:spacing w:after="0" w:line="115" w:lineRule="exact"/>
        <w:rPr>
          <w:rFonts w:ascii="Times New Roman" w:cs="Times New Roman" w:eastAsia="Times New Roman" w:hAnsi="Times New Roman"/>
          <w:sz w:val="18"/>
          <w:szCs w:val="18"/>
          <w:color w:val="auto"/>
        </w:rPr>
      </w:pPr>
    </w:p>
    <w:p>
      <w:pPr>
        <w:ind w:left="1020" w:right="500" w:hanging="504"/>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difficulties in integrating employees, integrating different corporate cultures and in attracting and retaining key personnel; and</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challenges in keeping existing contracts and customers.</w:t>
      </w:r>
    </w:p>
    <w:p>
      <w:pPr>
        <w:spacing w:after="0" w:line="22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Many of these risks will be outside of our control and any one of them could result in increased costs, decreases in the amount of expected revenue, and diversion of our management’s time and energy, which could have a material adverse effect on our business, financial condition and results of operations. In addition, even if our operations are integrated successfully, we may not realize the full benefits of the acquisitions, including the synergies, operating efficiencies, or sales or growth opportunities that are expected. These benefits may not be achieved within the anticipated time frame or at all.</w:t>
      </w:r>
    </w:p>
    <w:p>
      <w:pPr>
        <w:spacing w:after="0" w:line="2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We depend on our teaming arrangements and relationships with other contractors and subcontractors. If we are not able to maintain these relationships, of if these parties fail to satisfy their obligations to us or the customer, our revenues, profitability and growth prospects could be adversely affected.</w:t>
      </w:r>
    </w:p>
    <w:p>
      <w:pPr>
        <w:spacing w:after="0" w:line="50"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We rely on teaming relationships with other prime contractors and subcontractors in order to submit bids for large procurements or other opportunities where we believe the combination of services, products, and solutions provided by us and our teammates will help us to win and perform the contract. Our future revenues and growth prospects could be adversely affected if the other contractors eliminate or reduce their contract relationships with us, of if our government clients terminate or reduce these other contractors’ programs, do not award them new contracts or refuse to pay under a contract. Companies that do not have access to government contracts or experience with our customers may perform services as our subcontractor that we cannot otherwise provide ourselves, and that exposure could enhance such companies’ prospects of securing a future position as a prime government contractor which could increase competition for future contracts and impair our ability to win these contracts.</w:t>
      </w:r>
    </w:p>
    <w:p>
      <w:pPr>
        <w:spacing w:after="0" w:line="185" w:lineRule="exact"/>
        <w:rPr>
          <w:sz w:val="20"/>
          <w:szCs w:val="20"/>
          <w:color w:val="auto"/>
        </w:rPr>
      </w:pPr>
    </w:p>
    <w:p>
      <w:pPr>
        <w:jc w:val="both"/>
        <w:ind w:right="60" w:firstLine="509"/>
        <w:spacing w:after="0" w:line="246" w:lineRule="auto"/>
        <w:rPr>
          <w:sz w:val="20"/>
          <w:szCs w:val="20"/>
          <w:color w:val="auto"/>
        </w:rPr>
      </w:pPr>
      <w:r>
        <w:rPr>
          <w:rFonts w:ascii="Arial" w:cs="Arial" w:eastAsia="Arial" w:hAnsi="Arial"/>
          <w:sz w:val="18"/>
          <w:szCs w:val="18"/>
          <w:color w:val="auto"/>
        </w:rPr>
        <w:t>Whenever our subcontractors fail to timely meet their contractual obligations, have regulatory compliance or other problems, our ability to fulfill our obligations as a prime contractor or higher tier subcontractor may be jeopardized. Subcontractor performance deficiencies under subcontracts with us as the prime contractor could lead to significant losses in future periods and could result in our termination for default as the prime contractor even though it was the subcontractor that failed to perform and not our personnel.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Estimates and Accounting</w:t>
      </w:r>
    </w:p>
    <w:p>
      <w:pPr>
        <w:spacing w:after="0" w:line="213" w:lineRule="exact"/>
        <w:rPr>
          <w:sz w:val="20"/>
          <w:szCs w:val="20"/>
          <w:color w:val="auto"/>
        </w:rPr>
      </w:pPr>
    </w:p>
    <w:p>
      <w:pPr>
        <w:ind w:right="880"/>
        <w:spacing w:after="0" w:line="278"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and manage costs, time and resources.</w:t>
      </w:r>
    </w:p>
    <w:p>
      <w:pPr>
        <w:spacing w:after="0" w:line="3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generate revenue under various types of contracts, which include time-and-materials, cost-plus and fixed-price contracts. 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particularly under incentive fee contracts, is finally determined. Cost-plus and time-and-materials contracts generally have lower profitability than fixed-price contracts. To varying degrees, each of our contract types involves some risk that we could underestimate the costs and resources necessary to fulfill the contract. Our profitability is adversely affected when we incur costs on cost-plus and time-and-materials contracts that we cannot bill to our customers. While fixed-price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contracts allow us to benefit from cost savings, these contracts also increase our exposure to the risk of cost overruns.</w:t>
      </w:r>
    </w:p>
    <w:p>
      <w:pPr>
        <w:spacing w:after="0" w:line="211"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Revenue derived from fixed-price contracts represented 33% of our total revenue during fiscal 2023, 27% of our total revenue during fiscal 2022, and 26% of our total revenue during fiscal 2021. When making proposals on fixed-price contracts, we rely heavily on our estimates of costs, scope and timing for completing the associated projects, as well as assumptions regarding technical issues. In particular, contracts in our Critical Infrastructure segment are often won in a hard-bid process, in which clients primarily select the lowest price from a qualified bidder with the understanding that they will not pay above the bid amount, even if we perform work beyond the initial scope of our contract. In each case, our failure to accurately estimate costs, scope or the resources and technology needed to perform our contracts or to effectively manage and control our costs during the performance of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279"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use estimates in recognizing revenues and, if we make changes to estimates used in recognizing revenues, our profitability may be adversely affected.</w:t>
      </w:r>
    </w:p>
    <w:p>
      <w:pPr>
        <w:spacing w:after="0" w:line="31" w:lineRule="exact"/>
        <w:rPr>
          <w:sz w:val="20"/>
          <w:szCs w:val="20"/>
          <w:color w:val="auto"/>
        </w:rPr>
      </w:pPr>
    </w:p>
    <w:p>
      <w:pPr>
        <w:jc w:val="both"/>
        <w:ind w:right="20" w:firstLine="509"/>
        <w:spacing w:after="0" w:line="252" w:lineRule="auto"/>
        <w:rPr>
          <w:sz w:val="20"/>
          <w:szCs w:val="20"/>
          <w:color w:val="auto"/>
        </w:rPr>
      </w:pPr>
      <w:r>
        <w:rPr>
          <w:rFonts w:ascii="Arial" w:cs="Arial" w:eastAsia="Arial" w:hAnsi="Arial"/>
          <w:sz w:val="17"/>
          <w:szCs w:val="17"/>
          <w:color w:val="auto"/>
        </w:rPr>
        <w:t>A significant portion of our contract revenues are recognized using the cost-to-cost measure of progress method. This method requires estimates of total costs at completion or measurement of progress towards completion. Particularly due to the technical nature of the services being performed and the length of the contracts, this estimation process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immediately.</w:t>
      </w:r>
    </w:p>
    <w:p>
      <w:pPr>
        <w:spacing w:after="0" w:line="3"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Changes in the underlying assumptions, circumstances or estimates could result in adjustments that may adversely affect our financial results of operations.</w:t>
      </w:r>
    </w:p>
    <w:p>
      <w:pPr>
        <w:spacing w:after="0" w:line="281"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b w:val="1"/>
          <w:bCs w:val="1"/>
          <w:i w:val="1"/>
          <w:iCs w:val="1"/>
          <w:color w:val="auto"/>
        </w:rPr>
        <w:t>Goodwill and intangible assets represent a significant amount of our total assets and any impairment of these assets would negatively impact our results of operations.</w:t>
      </w:r>
    </w:p>
    <w:p>
      <w:pPr>
        <w:spacing w:after="0" w:line="3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of December 31, 2023, we had goodwill and intangible assets of $2.1 billion. Goodwill is tested for impairment annually, or more often if indicators of potential impairment exist, and intangible assets are tested for impairment whenever events or changes in circumstances indicate that the carrying value may not be recoverable. Examples of events or changes in circumstances indicating that the carrying value of goodwill may not be recoverable could include a significant adverse change in legal factors or in the business climate, an adverse action or assessment by a regulator, unanticipated competition, loss of key contracts, customer relationships, or personnel that affect current and future operating cash flows of the reporting unit. Any future impairment of goodwill or other intangible assets would have a negative impact on our profitability and financial results.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Technology Systems</w:t>
      </w:r>
    </w:p>
    <w:p>
      <w:pPr>
        <w:spacing w:after="0" w:line="213"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3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The cyber and security threats that our clients face have grown more frequent and sophisticated. A security breach in one of these systems could cause serious harm to our business, damage our reputation, and prevent us from being eligible for further work on sensitive systems for government or commercial clients. Work for non-government and commercial clients involving the protection of</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business, financial condition and results of operations.</w:t>
      </w:r>
    </w:p>
    <w:p>
      <w:pPr>
        <w:spacing w:after="0" w:line="280"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b w:val="1"/>
          <w:bCs w:val="1"/>
          <w:i w:val="1"/>
          <w:iCs w:val="1"/>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50"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help our clients detect, monitor and mitigate threats to their people, information and facilities. These threats may originate from nation states, terrorist or criminal actors, activist hackers or others who seek to harm our clients. There are many factors, some of which are beyond our control, which could result in the failure of our products to detect, monitor or mitigate these threats. Successful attacks on our clients may cause physical or reputational harm to us and our clients, as well as lead to liability claims against us by our clients or third parties, particularly if such attacks are a result of a failure or perceived failure of our services or technologies. In addition, as a result of our involvement with some clients or projects, our staff, information and facilities may be targeted by these or other threat actors and may be at risk for loss, or physical or reputational harm.</w:t>
      </w:r>
    </w:p>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50"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may be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controlled unclassified and other sensitive information. As a result, we and our vendors face a heightened risk of a security breach or disruption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financial condition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 adverse effect on our business, financial condition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exposing us or our clients to liability.</w:t>
      </w:r>
    </w:p>
    <w:p>
      <w:pPr>
        <w:spacing w:after="0" w:line="192"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45" w:lineRule="exact"/>
        <w:rPr>
          <w:sz w:val="20"/>
          <w:szCs w:val="20"/>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lose revenue due to adverse client reaction;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4"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provide additional services to a client at no charge;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related to remediation, monitoring and increasing our cybersecurity;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lose revenue due to the deployment of internal staff for remediation efforts instead of client assignments;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w:t>
      </w:r>
    </w:p>
    <w:p>
      <w:pPr>
        <w:spacing w:after="0" w:line="115" w:lineRule="exact"/>
        <w:rPr>
          <w:rFonts w:ascii="Times New Roman" w:cs="Times New Roman" w:eastAsia="Times New Roman" w:hAnsi="Times New Roman"/>
          <w:sz w:val="18"/>
          <w:szCs w:val="18"/>
          <w:color w:val="auto"/>
        </w:rPr>
      </w:pPr>
    </w:p>
    <w:p>
      <w:pPr>
        <w:ind w:left="1020" w:right="480" w:hanging="504"/>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to successfully market services that are reliant on the creation and maintaining of secure information technology systems to government and commercial clients;</w:t>
      </w:r>
    </w:p>
    <w:p>
      <w:pPr>
        <w:spacing w:after="0" w:line="45" w:lineRule="exact"/>
        <w:rPr>
          <w:rFonts w:ascii="Times New Roman" w:cs="Times New Roman" w:eastAsia="Times New Roman" w:hAnsi="Times New Roman"/>
          <w:sz w:val="18"/>
          <w:szCs w:val="18"/>
          <w:color w:val="auto"/>
        </w:rPr>
      </w:pPr>
    </w:p>
    <w:p>
      <w:pPr>
        <w:ind w:left="1020" w:right="280" w:hanging="504"/>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suffer claims by clients or impacted third parties for substantial damages, particularly as a result of any successful network or systems breach and exfiltration of client and/or third-party information; or</w:t>
      </w:r>
    </w:p>
    <w:p>
      <w:pPr>
        <w:spacing w:after="0" w:line="45" w:lineRule="exact"/>
        <w:rPr>
          <w:rFonts w:ascii="Times New Roman" w:cs="Times New Roman" w:eastAsia="Times New Roman" w:hAnsi="Times New Roman"/>
          <w:sz w:val="18"/>
          <w:szCs w:val="18"/>
          <w:color w:val="auto"/>
        </w:rPr>
      </w:pPr>
    </w:p>
    <w:p>
      <w:pPr>
        <w:ind w:left="1020" w:right="500" w:hanging="504"/>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incur significant costs, including fines from government regulators related to complying with applicable federal or state law, including laws pertaining to the security and protection of personal information.</w:t>
      </w:r>
    </w:p>
    <w:p>
      <w:pPr>
        <w:spacing w:after="0" w:line="154"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153"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some new business areas, we may not be able to obtain sufficient insurance and may decide not to accept or solicit business in these areas.</w:t>
      </w:r>
    </w:p>
    <w:p>
      <w:pPr>
        <w:spacing w:after="0" w:line="185"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As a contractor supporting defense and national security clients, we are also subject to regulatory compliance requirements under the Federal Acquisition Regulations, the Defense Federal Acquisition Regulation Supplement and other federal regulations requiring that our networks and information technology systems comply with the security and privacy controls in National Institute of Standards and Technology Special Publications and similar documents. To the extent that we do not comply with the applicable security and control requirements, whether imposed by regulation or contract, unauthorized access or disclosure of sensitive information could potentially result in a contract termination that has a material adverse effect on our business, financial condition and results of operations and reputational harm.</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Related to Legal Matters and Insurance</w:t>
      </w:r>
    </w:p>
    <w:p>
      <w:pPr>
        <w:spacing w:after="0" w:line="213"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Unavailability or cancellation of third-party insurance coverage would increase our overall risk exposure as well as disrupt the management of our business operations.</w:t>
      </w:r>
    </w:p>
    <w:p>
      <w:pPr>
        <w:spacing w:after="0" w:line="3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maintain insurance coverage from third-party insurers as part of our overall risk management strategy and because some of our contracts require us to maintain specific insurance coverage limits. 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there can be no assurance that any of our existing insurance coverage will be renewable upon the expiration of the coverage period or that future coverage will be affordable at the required limits.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301"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Adverse judgments or settlements in legal disputes could result in materially adverse monetary damages or injunctive relief and damage our reputation.</w:t>
      </w:r>
    </w:p>
    <w:p>
      <w:pPr>
        <w:spacing w:after="0" w:line="31"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w:t>
      </w:r>
    </w:p>
    <w:p>
      <w:pPr>
        <w:spacing w:after="0" w:line="176"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The results of litigation and other legal proceedings, including the claims described under “Business—Legal Proceedings”, are inherently uncertain and adverse judgments or settlements in some or all of these legal disputes may result in materially adverse monetary damages or injunctive relief against us. Additionally, our insurance policies may not protect us against potential liability due to various exclusions in the policies and self-insured retention amounts. Partially or completely uninsured claims, if successful and of significant magnitude, could have a material adverse effect on our business, financial condition and results of operations. Furthermore, any claims or litigation, even if fully indemnified or insured, could damage our reputation and make it more difficult to compete effectively or obtain adequate insurance in the future.</w:t>
      </w:r>
    </w:p>
    <w:p>
      <w:pPr>
        <w:spacing w:after="0" w:line="29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addition to government contract procurement laws and regulations, we are subject to numerous other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 Compliance with diverse and changing legal requirements is costly, time-consuming and requires significant resources. Violations of one or more of these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work and allegations by our customers that we have not performed our contractual obligations.</w:t>
      </w:r>
    </w:p>
    <w:p>
      <w:pPr>
        <w:spacing w:after="0" w:line="18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Misconduct by our employees, subcontractors, agents or business partners could subject us to fines and penalties, restitution or other damages, loss of security clearance, loss of current and future customer contracts and suspension or debarment from contracting with federal, state or local government agencies, any of which could adversely affect our business, financial condition and results of operations. Such misconduct could include fraud or other improper activities such as falsifying time or other records, failure to comply with our policies and procedures or violations of applicable laws and regulations.</w:t>
      </w:r>
    </w:p>
    <w:p>
      <w:pPr>
        <w:spacing w:after="0" w:line="289"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Our services and operations sometimes involve handling or disposing of hazardous substances or dangerous materials, and we are subject to environmental requirements and risks which could result in significant costs, liabilities and obligations.</w:t>
      </w:r>
    </w:p>
    <w:p>
      <w:pPr>
        <w:spacing w:after="0" w:line="3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operations are subject to stringent and complex federal, state and local laws and regulations governing the discharge of materials into the environment, the health and safety aspects of our operations, or otherwise relating to environmental protection. Some of our services and operations involve the handling or disposal of hazardous substances or dangerous materials, including explosive, chemical, biological, radiological or nuclear materials. These activities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or dangerous materials. Numerous governmental authorities, such as the U.S. Environmental Protection Agency, or the EPA, and analogous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state agencies, have the power to enforce compliance with these laws and regulations and the permits issued under them. Such enforcement actions often involve difficult and costly compliance measures or corrective actions.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and could also result in investigations, the imposition of corrective action or remedial obligations, and the issuance of orders limiting or prohibiting some or all of our operations. In certain instances, citizen groups also have the ability to bring legal proceedings against us if we are not in compliance with environmental laws. In addition, claims for damages to persons or property, including natural resources, may result from the environmental, health and safety impacts of our operations. We, like other businesses, can never completely eliminate the risk of contamination or injury from certain materials that we use in our business. If we have any violations of, or incur liabilities pursuant to, these laws or regulations, it may result in a material adverse effect on our business, financial condition or results of operations.</w:t>
      </w:r>
    </w:p>
    <w:p>
      <w:pPr>
        <w:spacing w:after="0" w:line="18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Certain environmental laws impose strict liability (i.e., no showing of “fault” is required)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the consequences of our own actions that were in compliance with all applicable laws at the time those actions were taken.</w:t>
      </w:r>
    </w:p>
    <w:p>
      <w:pPr>
        <w:spacing w:after="0" w:line="179" w:lineRule="exact"/>
        <w:rPr>
          <w:sz w:val="20"/>
          <w:szCs w:val="20"/>
          <w:color w:val="auto"/>
        </w:rPr>
      </w:pPr>
    </w:p>
    <w:p>
      <w:pPr>
        <w:ind w:right="440" w:firstLine="509"/>
        <w:spacing w:after="0" w:line="252" w:lineRule="auto"/>
        <w:rPr>
          <w:sz w:val="20"/>
          <w:szCs w:val="20"/>
          <w:color w:val="auto"/>
        </w:rPr>
      </w:pPr>
      <w:r>
        <w:rPr>
          <w:rFonts w:ascii="Arial" w:cs="Arial" w:eastAsia="Arial" w:hAnsi="Arial"/>
          <w:sz w:val="18"/>
          <w:szCs w:val="18"/>
          <w:color w:val="auto"/>
        </w:rPr>
        <w:t>We have limited, and potentially insufficient, insurance coverage for expenses and losses that may arise in connection with environmental contamination. Finally, in connection with certain acquisitions, we could acquire, or be required to provide indemnification against, environmental liabilities that could expose us to material losses.</w:t>
      </w:r>
    </w:p>
    <w:p>
      <w:pPr>
        <w:spacing w:after="0" w:line="28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Our failure to meet contractual schedule requirements, meet a required performance standard, meet our internal contractual performance projections or otherwise perform adequately on a project could adversely affect our business, financial condition or results of operations.</w:t>
      </w:r>
    </w:p>
    <w:p>
      <w:pPr>
        <w:spacing w:after="0" w:line="5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Under some of our contracts, we can incur liquidated or other damages if we do not achieve project completion by a scheduled date. In addition, our costs generally increase from schedule delays and/or could exceed our projections for a particular project. Project performance can be affected by a number of factors beyond our control, including unavoidable delays from governmental inaction, public opposition, inability to obtain financing, weather conditions, unavailability of vendor materials, changes in the project scope of services requested by our clients, industrial accidents, environmental hazards, labor disruptions and other factors. Any defects or errors, or failures to meet our clients’ expectations, in our projects or services could result in claims for damages against us and could adversely affect our reputation. Material performance problems for existing and future contracts could cause actual results of operations to differ from those anticipated by us and also could cause us to suffer damage to our reputation within our industries and client base.</w:t>
      </w:r>
    </w:p>
    <w:p>
      <w:pPr>
        <w:spacing w:after="0" w:line="295" w:lineRule="exact"/>
        <w:rPr>
          <w:sz w:val="20"/>
          <w:szCs w:val="20"/>
          <w:color w:val="auto"/>
        </w:rPr>
      </w:pPr>
    </w:p>
    <w:p>
      <w:pPr>
        <w:ind w:right="640"/>
        <w:spacing w:after="0" w:line="278" w:lineRule="auto"/>
        <w:rPr>
          <w:sz w:val="20"/>
          <w:szCs w:val="20"/>
          <w:color w:val="auto"/>
        </w:rPr>
      </w:pPr>
      <w:r>
        <w:rPr>
          <w:rFonts w:ascii="Arial" w:cs="Arial" w:eastAsia="Arial" w:hAnsi="Arial"/>
          <w:sz w:val="18"/>
          <w:szCs w:val="18"/>
          <w:b w:val="1"/>
          <w:bCs w:val="1"/>
          <w:i w:val="1"/>
          <w:iCs w:val="1"/>
          <w:color w:val="auto"/>
        </w:rPr>
        <w:t>Failure to adequately protect, maintain, or enforce our rights in our intellectual property may adversely limit our competitive position.</w:t>
      </w:r>
    </w:p>
    <w:p>
      <w:pPr>
        <w:spacing w:after="0" w:line="3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8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otherwise take appropriate steps to enforce our rights. Failure to adequately protect, maintain, or enforce our intellectual property rights may adversely limit our competitive position.</w:t>
      </w:r>
    </w:p>
    <w:p>
      <w:pPr>
        <w:spacing w:after="0" w:line="263"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31"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financial condition or results of operations may be adversely affected.</w:t>
      </w:r>
    </w:p>
    <w:p>
      <w:pPr>
        <w:spacing w:after="0" w:line="179"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products or services, or take other actions to resolve the claims. These actions, if required, may be costly or unavailable on terms acceptable to us.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Risks Related to International Operations</w:t>
      </w:r>
    </w:p>
    <w:p>
      <w:pPr>
        <w:spacing w:after="0" w:line="21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operations outside the United States expose us to legal, political and economic risks in different countries as well as currency exchange rate fluctuations that could harm our business and financial results.</w:t>
      </w:r>
    </w:p>
    <w:p>
      <w:pPr>
        <w:spacing w:after="0" w:line="31"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Revenue attributable to our services provided outside of the United States as a percentage of our total revenue was 24.4% in 2023, 24.9% in 2022 and 25.0% in 2021. There are risks inherent in doing business internationally, including:</w:t>
      </w:r>
    </w:p>
    <w:p>
      <w:pPr>
        <w:spacing w:after="0" w:line="45" w:lineRule="exact"/>
        <w:rPr>
          <w:sz w:val="20"/>
          <w:szCs w:val="20"/>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governmental controls and changes in laws, regulations or policies;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and economic instability and turmoil internationally, including countries in the Middle East;</w:t>
      </w:r>
    </w:p>
    <w:p>
      <w:pPr>
        <w:spacing w:after="0" w:line="115" w:lineRule="exact"/>
        <w:rPr>
          <w:rFonts w:ascii="Times New Roman" w:cs="Times New Roman" w:eastAsia="Times New Roman" w:hAnsi="Times New Roman"/>
          <w:sz w:val="18"/>
          <w:szCs w:val="18"/>
          <w:color w:val="auto"/>
        </w:rPr>
      </w:pPr>
    </w:p>
    <w:p>
      <w:pPr>
        <w:ind w:left="1020" w:right="160" w:hanging="504"/>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civil unrest, acts of terrorism, force majeure, war, or other armed conflict, including the ongoing war and unrest in Israel, which has the potential to impact other countries in the Middle East;</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greater physical security risks;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U.S. and other national government trade policies affecting the markets for our services;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practices, tariffs and taxes;</w:t>
      </w:r>
    </w:p>
    <w:p>
      <w:pPr>
        <w:spacing w:after="0" w:line="115" w:lineRule="exact"/>
        <w:rPr>
          <w:rFonts w:ascii="Times New Roman" w:cs="Times New Roman" w:eastAsia="Times New Roman" w:hAnsi="Times New Roman"/>
          <w:sz w:val="18"/>
          <w:szCs w:val="18"/>
          <w:color w:val="auto"/>
        </w:rPr>
      </w:pPr>
    </w:p>
    <w:p>
      <w:pPr>
        <w:ind w:left="1020" w:right="700" w:hanging="504"/>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non-compliance with a wide variety of laws and regulations, including anti-corruption, U.S. export controls and economic and trade sanctions, and anti-boycott laws and similar non-U.S. laws and regulations;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labor conditions;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logistical and communication challenges;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currency exchange rate fluctuations, devaluations and other conversion restrictions;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health and safety concerns, including those related to the COVID-19 pandemic, variants and other potential epidemics.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factors could have a material adverse effect on our business, financial condition or results of operations.</w:t>
      </w: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4" w:name="page45"/>
    <w:bookmarkEnd w:id="44"/>
    <w:p>
      <w:pPr>
        <w:spacing w:after="0" w:line="30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have operations in the Middle East, neighboring regions, and other regions across the globe, and these regions may experience turmoil, political upheaval or similar crises that may impact our current projects, future business and financial stability.</w:t>
      </w:r>
    </w:p>
    <w:p>
      <w:pPr>
        <w:spacing w:after="0" w:line="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currently have operations in the Middle East, including in Oman, Qatar, Saudi Arabia and the United Arab Emirates. This part of the world often has conflicts, such as the current Israel-Hamas situation. Further, we may undertake work in other countries that may experience turmoil, political upheaval, or other similar crises. This uncertainty may affect our ability to continue our projects in these regions due to lack of resources, local support, and safety for our workers. If we are unable to finish these projects, it is likely that our finances will be impacted. Furthermore, we may experience liability regarding our employees and their safety and security in these locations. We also may incur material costs to maintain the safety of our personnel. Despite these precautions, the safety of our personnel in these locations may continue to be at risk. Acts of terrorism and threats of armed conflicts in or around various areas in which we operate could limit or disrupt markets and our operations, including disruptions resulting from the evacuation of personnel, cancellation of contracts, or the loss of key employees, contractors or assets.</w:t>
      </w:r>
    </w:p>
    <w:p>
      <w:pPr>
        <w:spacing w:after="0" w:line="291"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We operate in many different jurisdictions, and we could be adversely affected by violations of the U.S. Foreign Corrupt Practices Act and similar worldwide anti-corruption laws.</w:t>
      </w:r>
    </w:p>
    <w:p>
      <w:pPr>
        <w:spacing w:after="0" w:line="3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FCPA and similar worldwide anti-corruption laws, including the U.K. Bribery Act of 2010, generally prohibit companies and their intermediaries from making improper payments to non-U.S. officials for the purpose of obtaining or retaining business. Our internal policies mandate compliance with these anti-corruption laws, including the requirements to maintain accurate information and internal controls which may fall within the purview of the FCPA, its books and records provisions or its anti-bribery provisions. We operate in many parts of the world that have experienced governmental corruption to some degree; and, in some circumstances, strict compliance with anticorruption laws may conflict with local customs and practices. Despite our training and compliance programs, we cannot be certain that our internal control policies and procedures always will protect us from reckless or criminal acts committed by our employees or agents. In addition, from time to time, government investigations of corruption in industries we operate in may affect us and our peers. Violations of these laws, or allegations of such violations, could disrupt our business and result in a material adverse effect on our business, financial condition or results of operations.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Debt and Backlog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full value of our backlog, which may result in lower-than-expected revenue.</w:t>
      </w:r>
    </w:p>
    <w:p>
      <w:pPr>
        <w:spacing w:after="0" w:line="10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As of December 31, 2023, our total backlog was $8.6 billion, of which $5.0 billion was funded. Our backlog includes orders under contracts that can extend for several years. We historically have not realized all of the revenue included in our total backlog, and we may not realize all of the revenue included in our total backlog in the future. There is a somewhat higher degree of risk in this regard with respect to unfunded backlog and backlog related to unexercised options years and IDIQ contracts for which task orders have not yet been issued.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government spending; in the case of funded backlog, the period of performance for the contract has expired; in the case of unfunded backlog, funding may not be available; in the case of backlog related to unexercised option years, the contract option is not yet exercised or may ever be exercised; and, in the case of backlog related to IDIQ contracts where task orders have not been issued, no further task orders may be issued. In addition, headcount growth is the</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8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primary means by which we are able to achieve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appropriations that reflect changes in government policies or priorities resulting from various military, political, economic or international developments; changes in the use of government contracting vehicles, and the provisions therein used to procure our services; and adjustments to the scope of services under, or cancellation of contracts, by the applicable government at any time. Furthermore, even if our backlog results in revenue, the contracts may not be profitable.</w:t>
      </w:r>
    </w:p>
    <w:p>
      <w:pPr>
        <w:spacing w:after="0" w:line="291"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3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As of December 31, 2023, our accounts receivable, net was $915.6 million. We depend on the timely collection of our receivables to generate cash flow, provide working capital and continue our business operations. If our customers fail to pay or delay the payment of invoices for any reason, our business and financial condition may be materially and adversely affected. Our customers have in the past and may in the future delay or fail to pay invoices for a number of reasons, including lack of appropriated funds, lack of an approved budget or as a result of audit findings by government regulatory agencies. We also experience longer payment cycles in the Middle East. We cannot assure you that we will collect all our accounts receivable in excess of our allowance for doubtful accounts in a timely manner, which would impact our cash flows.</w:t>
      </w:r>
    </w:p>
    <w:p>
      <w:pPr>
        <w:spacing w:after="0" w:line="293" w:lineRule="exact"/>
        <w:rPr>
          <w:sz w:val="20"/>
          <w:szCs w:val="20"/>
          <w:color w:val="auto"/>
        </w:rPr>
      </w:pPr>
    </w:p>
    <w:p>
      <w:pPr>
        <w:ind w:right="800"/>
        <w:spacing w:after="0" w:line="278" w:lineRule="auto"/>
        <w:rPr>
          <w:sz w:val="20"/>
          <w:szCs w:val="20"/>
          <w:color w:val="auto"/>
        </w:rPr>
      </w:pPr>
      <w:r>
        <w:rPr>
          <w:rFonts w:ascii="Arial" w:cs="Arial" w:eastAsia="Arial" w:hAnsi="Arial"/>
          <w:sz w:val="18"/>
          <w:szCs w:val="18"/>
          <w:b w:val="1"/>
          <w:bCs w:val="1"/>
          <w:i w:val="1"/>
          <w:iCs w:val="1"/>
          <w:color w:val="auto"/>
        </w:rPr>
        <w:t>The agreements governing our debt contain a number of restrictive covenants which may limit our ability to finance future operations, acquisitions or capital needs or engage in other business activities that may be in our interest.</w:t>
      </w:r>
    </w:p>
    <w:p>
      <w:pPr>
        <w:spacing w:after="0" w:line="31"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As of December 31, 2023, our total indebtedness was approximately $746 million. Our Credit Agreement and the agreements governing our Delayed Draw Term Loan and Convertible Notes contain a number of covenants that impose operating and other restrictions on us and our subsidiaries. Such restrictions affect or will affect, and in many respects limit or prohibit our ability and the ability of our subsidiaries to, among other things:</w:t>
      </w:r>
    </w:p>
    <w:p>
      <w:pPr>
        <w:spacing w:after="0" w:line="68" w:lineRule="exact"/>
        <w:rPr>
          <w:sz w:val="20"/>
          <w:szCs w:val="20"/>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indebtedness;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and make other distributions in respect of our equity securities;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redeem our equity securities;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make loans, advances, investments or other restricted payments;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sell assets or receivables;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engage in certain business activities;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amend our ESOP’s plan documents;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effect mergers or consolidations.</w:t>
      </w:r>
    </w:p>
    <w:p>
      <w:pPr>
        <w:spacing w:after="0" w:line="22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In addition, our Credit Agreement also requires us to comply with certain financial ratio covenants, including a debt leverage ratio and a interest charge coverage ratio. Our ability to comply with these ratios may be affected by events beyond our control.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1" w:lineRule="exact"/>
        <w:rPr>
          <w:sz w:val="20"/>
          <w:szCs w:val="20"/>
          <w:color w:val="auto"/>
        </w:rPr>
      </w:pPr>
    </w:p>
    <w:p>
      <w:pPr>
        <w:jc w:val="both"/>
        <w:ind w:right="20" w:firstLine="509"/>
        <w:spacing w:after="0" w:line="252" w:lineRule="auto"/>
        <w:rPr>
          <w:sz w:val="20"/>
          <w:szCs w:val="20"/>
          <w:color w:val="auto"/>
        </w:rPr>
      </w:pPr>
      <w:r>
        <w:rPr>
          <w:rFonts w:ascii="Arial" w:cs="Arial" w:eastAsia="Arial" w:hAnsi="Arial"/>
          <w:sz w:val="18"/>
          <w:szCs w:val="18"/>
          <w:color w:val="auto"/>
        </w:rPr>
        <w:t>These restrictions could limit our ability to plan for or react to market or economic conditions or meet capital needs or otherwise restrict our activities or business plans and could adversely affect our ability to finance our operations, acquisitions, investments or strategic alliances or other capital needs or to engage in other business activities that would be in our interest.</w:t>
      </w:r>
    </w:p>
    <w:p>
      <w:pPr>
        <w:spacing w:after="0" w:line="171"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A breach of any of these covenants or our inability to comply with the required financial ratios could result in a default under our debt instruments. If an event of default occurs, our creditors could elect to:</w:t>
      </w:r>
    </w:p>
    <w:p>
      <w:pPr>
        <w:spacing w:after="0" w:line="45" w:lineRule="exact"/>
        <w:rPr>
          <w:sz w:val="20"/>
          <w:szCs w:val="20"/>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declare all borrowings outstanding, together with accrued and unpaid interest, to be immediately due and payable;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apply all of our available cash to repay the borrowings;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making debt service payments on some of our borrowings.</w:t>
      </w:r>
    </w:p>
    <w:p>
      <w:pPr>
        <w:spacing w:after="0" w:line="224" w:lineRule="exact"/>
        <w:rPr>
          <w:sz w:val="20"/>
          <w:szCs w:val="20"/>
          <w:color w:val="auto"/>
        </w:rPr>
      </w:pPr>
    </w:p>
    <w:p>
      <w:pPr>
        <w:jc w:val="both"/>
        <w:ind w:right="100" w:firstLine="509"/>
        <w:spacing w:after="0" w:line="252" w:lineRule="auto"/>
        <w:rPr>
          <w:sz w:val="20"/>
          <w:szCs w:val="20"/>
          <w:color w:val="auto"/>
        </w:rPr>
      </w:pPr>
      <w:r>
        <w:rPr>
          <w:rFonts w:ascii="Arial" w:cs="Arial" w:eastAsia="Arial" w:hAnsi="Arial"/>
          <w:sz w:val="18"/>
          <w:szCs w:val="18"/>
          <w:color w:val="auto"/>
        </w:rPr>
        <w:t>If we were unable to repay or otherwise refinance these borrowings when due, the lenders under our Credit Agreement could demand payment from subsidiary guarantors, as provided under our Credit Agreement. These guarantors constitute substantially all of our domestic, wholly owned subsidiaries’ assets.</w:t>
      </w:r>
    </w:p>
    <w:p>
      <w:pPr>
        <w:spacing w:after="0" w:line="28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b w:val="1"/>
          <w:bCs w:val="1"/>
          <w:i w:val="1"/>
          <w:iCs w:val="1"/>
          <w:color w:val="auto"/>
        </w:rPr>
        <w:t>Prior to our initial public offering, we were 100% owned by the ESOP, which is a retirement plan that is intended to be qualified under the Internal Revenue Code. If the ESOP failed to meet the requirements of a tax qualified retirement plan, we could be subject to substantial penalties.</w:t>
      </w:r>
    </w:p>
    <w:p>
      <w:pPr>
        <w:spacing w:after="0" w:line="5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ESOP is a defined contribution retirement plan subject to the requirements of the Internal Revenue Code (Code) and the Employment Retirement Income Security Act (ERISA). The ESOP received a determination letter, dated January 31, 2012, from the Internal Revenue Service (IRS) that it meets the requirements of a tax qualified retirement plan in form, and we endeavor to maintain and administer the ESOP in compliance with all requirements of the Code and ERISA. However, the rules regarding tax qualified plans, and especially ESOPs, are complex and change frequently. Accordingly, it is possible that the ESOP may not have been administered in full compliance with all applicable rules under the Code or ERISA at all times.</w:t>
      </w:r>
    </w:p>
    <w:p>
      <w:pPr>
        <w:spacing w:after="0" w:line="182"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color w:val="auto"/>
        </w:rPr>
        <w:t>If the ESOP were determined not to be in material compliance with the Code or ERISA, then the ESOP could lose its tax qualified status and we could be subject to substantial penalties under the Code and ERISA which could have a material adverse effect on our business, financial condition or results of operations. Additionally, loss of the ESOP’s tax-qualified status would adversely impact our prior treatment as an S Corporation.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Employees</w:t>
      </w:r>
    </w:p>
    <w:p>
      <w:pPr>
        <w:spacing w:after="0" w:line="213" w:lineRule="exact"/>
        <w:rPr>
          <w:sz w:val="20"/>
          <w:szCs w:val="20"/>
          <w:color w:val="auto"/>
        </w:rPr>
      </w:pPr>
    </w:p>
    <w:p>
      <w:pPr>
        <w:ind w:right="680"/>
        <w:spacing w:after="0" w:line="278" w:lineRule="auto"/>
        <w:rPr>
          <w:sz w:val="20"/>
          <w:szCs w:val="20"/>
          <w:color w:val="auto"/>
        </w:rPr>
      </w:pPr>
      <w:r>
        <w:rPr>
          <w:rFonts w:ascii="Arial" w:cs="Arial" w:eastAsia="Arial" w:hAnsi="Arial"/>
          <w:sz w:val="18"/>
          <w:szCs w:val="18"/>
          <w:b w:val="1"/>
          <w:bCs w:val="1"/>
          <w:i w:val="1"/>
          <w:iCs w:val="1"/>
          <w:color w:val="auto"/>
        </w:rPr>
        <w:t>A failure to attract, train and retain skilled employees and our senior management team would adversely affect our ability to execute our strategy and may disrupt our operations.</w:t>
      </w:r>
    </w:p>
    <w:p>
      <w:pPr>
        <w:spacing w:after="0" w:line="31"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Our business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in the current and future fiscal years. Although we intend to continue to devote significant resources to recruiting, training and retaining qualified employees, we may not be able to attract, effectively train and retain these employees. Any failure to do so could impair our ability to efficiently perform our contractual obligations, timely meet our customers’ needs and ultimately win new business, all of which could adversely affect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1"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We believe that our success also depends on the continued employment of a highly qualified and experienced senior management team and that team’s ability to retain existing business and generate new business. The loss of key personnel in critical functions could lead to lack of business continuity or disruptions in our business until we are able to hire and train replacement personnel.</w:t>
      </w:r>
    </w:p>
    <w:p>
      <w:pPr>
        <w:spacing w:after="0" w:line="28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We may lose one or more members of our senior management team or fail to develop new leaders, which could cause a disruption in the management of our business.</w:t>
      </w:r>
    </w:p>
    <w:p>
      <w:pPr>
        <w:spacing w:after="0" w:line="3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do not have any employment agreements providing for a specific term of employment with any members of our senior management. The loss of any member of our senior management or our failure to continue to develop new members could impair our ability to identify and secure new contracts, to maintain good client relations, and to otherwise manage our business, and could have a material adverse effect on our business, financial condition and results of operations.</w:t>
      </w:r>
    </w:p>
    <w:p>
      <w:pPr>
        <w:spacing w:after="0" w:line="29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Negotiations with labor unions and possible work actions could divert management attention and disrupt operations. In addition, new collective bargaining agreements or amendments to existing agreements could increase our labor costs and operating expenses.</w:t>
      </w:r>
    </w:p>
    <w:p>
      <w:pPr>
        <w:spacing w:after="0" w:line="5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signatory to twenty-four union collective bargaining agreements as of December 31, 2023; however, currently Parsons only employs union personnel on three of the twenty-four agreements Consisting of approximately 300 employees. For the other twenty-one, we have negotiated and/or signed agreements on behalf of our customers in a program management role, are part of a joint-venture partnership where the construction contractor employs the union personnel, or the project does not currently have a need for the type of work covered by the applicable union agreement. The outcome of any future negotiations relating to union representation or collective bargaining agreements for these or other employees in the future may not be favorable to us. We may reach agreements in collective bargaining that increase our operating expenses and lower our net income as a result of higher wages or benefit expenses. In addition, negotiations with unions could divert management attention and disrupt operations, which may adversely affect our results of operations. If we are unable to negotiate acceptable collective bargaining agreements, we may have to address the threat of union-initiated work actions, including strikes. Depending on the nature of the threat or the type and duration of any work action, these actions could disrupt our operations and adversely affect our operating results.</w:t>
      </w:r>
    </w:p>
    <w:p>
      <w:pPr>
        <w:spacing w:after="0" w:line="29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50"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Our field project sites and facilities, particularly in our Critical Infrastructure business, often put our employees and others in close proximity with mechanized equipment, moving vehicles, chemical and manufacturing processes, and highly regulated materials. On some field project sites and in some of our facilities, we may be responsible for safety and, accordingly, we have an obligation to implement effective safety procedures. If these procedures are not appropriately implemented or are ineffective, our employees could be injured or killed, and we could be exposed to possible litigation. As a result, our failure to maintain adequate safety standards and equipment could result in reduced profitability or the loss of projects or clients and could have a material adverse impact on our business,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8" w:name="page49"/>
    <w:bookmarkEnd w:id="48"/>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Related to Our Common Stock</w:t>
      </w:r>
    </w:p>
    <w:p>
      <w:pPr>
        <w:spacing w:after="0" w:line="213"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If we are unable to maintain effective internal control over financial reporting in the future, investors may lose confidence in the accuracy and completeness of our financial reports and the market price of our common stock may be negatively affected.</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The process of designing, implementing and testing the internal control over financial reporting required to comply with this obligation is time-consuming, costly and complicated. If we identify material weaknesses in our internal control over financial reporting, or if we are unable to comply in a timely manner with the management certification requirements of Section 404 of the Sarbanes-Oxley Act as to the effectiveness of our internal control over financial reporting or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negatively affected, and we could become subject to investigations by our stock exchange, the SEC or other regulatory authorities, which could require additional financial and management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stock price fluctuates, you could lose a significant part of your investment.</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stock may be influenced by many factors, some of which are beyond our control, including the following:</w:t>
      </w:r>
    </w:p>
    <w:p>
      <w:pPr>
        <w:spacing w:after="0" w:line="103" w:lineRule="exact"/>
        <w:rPr>
          <w:sz w:val="20"/>
          <w:szCs w:val="20"/>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opinions and estimates of any securities analysts who publish research about us;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contracts, acquisitions or capital commitments;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quarterly operating results;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economic or market conditions or trends in our industry or the economy as a whole;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future sales of our common stock;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investor perception of us and the industries we operate in.</w:t>
      </w:r>
    </w:p>
    <w:p>
      <w:pPr>
        <w:spacing w:after="0" w:line="224"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As a result of these factors, investors in our common stock may not be able to resell their shares at or above the initial purchase price. These broad market and industry factors may materially reduce the market price of our common stock, regardless of our operating performance.</w:t>
      </w:r>
    </w:p>
    <w:p>
      <w:pPr>
        <w:spacing w:after="0" w:line="171"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share price may be volatile, and the market price of our common stock may drop.</w:t>
      </w:r>
    </w:p>
    <w:p>
      <w:pPr>
        <w:spacing w:after="0" w:line="101"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Quarterly operating results may fluctuate.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68" w:lineRule="exact"/>
        <w:rPr>
          <w:sz w:val="20"/>
          <w:szCs w:val="20"/>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broader stock market;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4" w:lineRule="exact"/>
        <w:rPr>
          <w:sz w:val="20"/>
          <w:szCs w:val="20"/>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 of new products or services by us or our competitors;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awards, backlog and book-to-bill ratios in a given period;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issuance of new or changed securities analysts’ reports or recommendations;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operations that vary from expectations of securities analysis and investors;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actions by us or our competitors;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by us, our competitors or our acquisition targets;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sales, or anticipated sales, of large blocks of our stock;</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personnel;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legal or political developments;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public response to press releases or other public announcements by us or third parties, including our filings with the SEC;</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and governmental investigations;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seasonality associated with U.S. federal, state, regional and local government funding and spending;</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changing economic conditions;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default under agreements governing our indebtedness;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exchange rate fluctuations; and</w:t>
      </w:r>
    </w:p>
    <w:p>
      <w:pPr>
        <w:spacing w:after="0" w:line="115" w:lineRule="exact"/>
        <w:rPr>
          <w:rFonts w:ascii="Times New Roman" w:cs="Times New Roman" w:eastAsia="Times New Roman" w:hAnsi="Times New Roman"/>
          <w:sz w:val="18"/>
          <w:szCs w:val="18"/>
          <w:color w:val="auto"/>
        </w:rPr>
      </w:pPr>
    </w:p>
    <w:p>
      <w:pPr>
        <w:ind w:left="1020" w:right="660" w:hanging="504"/>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other events or factors, including those from natural disasters, war, actors of terrorism or responses to these events and pandemics, such as the COVID-19 pandemic.</w:t>
      </w:r>
    </w:p>
    <w:p>
      <w:pPr>
        <w:spacing w:after="0" w:line="15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293"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Sales of outstanding shares of our common stock into the market in the future by the ESOP could cause the market price of our common stock to drop significantly.</w:t>
      </w:r>
    </w:p>
    <w:p>
      <w:pPr>
        <w:spacing w:after="0" w:line="3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At December 31, 2023, we had 146,341,363 shares of our common stock issued and 105,839,978 outstanding. Of these shares, 59,879,857 shares are owned by the ESOP, 45,960,122 shares are publicly owned, and 40,501,385 shares are Treasury stock. We are party to a registration rights agreement with the ESOP Trustee, providing the ESOP with certain demand registration rights related to shares held by the ESOP in the event the ESOP Trustee determines in good faith, in exercising its fiduciary duties under ERISA, that the ESOP is required to sell its shares, which we believe is only likely</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0" w:name="page51"/>
    <w:bookmarkEnd w:id="50"/>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to occur if our business, financial condition or results of operations have materially and adversely deteriorated.</w:t>
      </w:r>
    </w:p>
    <w:p>
      <w:pPr>
        <w:spacing w:after="0" w:line="321"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Qualifying ESOP participants have the right to receive distributions of shares of our common stock from the ESOP and can sell such shares in the market.</w:t>
      </w:r>
    </w:p>
    <w:p>
      <w:pPr>
        <w:spacing w:after="0" w:line="3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of December 31, 2023, there were 59,879,857 shares of common stock held in the ESOP. Shares held in the ESOP are eligible for sale in the public market, subject to applicable Rule 144 limitations, vesting restrictions and any applicable market standoff agreements and lock-up agreements. Participants are generally entitled to distributions from the ESOP only following termination of employment or upon death and in order to diversify their accounts upon attaining a specified age and completing a specified number of years of service. As previously noted in the section of Part 1, Item 1 entitled “Employee Stock Ownership Plan”, in December 2020, the board of directors approved an amendment to the Employee Stock Ownership Plan to provide more flexible diversification rights for participants, and in January 2021, the board of directors approved the modification of the thresholds for distributions to participants in the ESOP effective March 1, 2021. In April 2022, the board of directors approved an amendment providing for lump sum distributions to participants and removing the annual installments. Annual diversification elections and five-year vested termination distributions are not impacted by this amendment and will still occur annually and over installments as outlined in the Plan.</w:t>
      </w:r>
    </w:p>
    <w:p>
      <w:pPr>
        <w:spacing w:after="0" w:line="18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ESOP distributions are made in the form of shares of our common stock (other than distributions in respect of fractional shares, which will be made in cash). Upon receiving a distribution of our common stock from the ESOP, a participant will be able to sell such shares in the market. As a result, we cannot predict the effect, if any, that these distributions and the corresponding sales of shares by the participants may have on the market price of our common stock. Distribution of substantial amounts of our common stock to participants may cause the market price of our common stock to decline.</w:t>
      </w:r>
    </w:p>
    <w:p>
      <w:pPr>
        <w:spacing w:after="0" w:line="289"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The issuance of additional stock, not reserved for issuance under our equity incentive plans or otherwise, will dilute all other stockholdings.</w:t>
      </w:r>
    </w:p>
    <w:p>
      <w:pPr>
        <w:spacing w:after="0" w:line="31"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We have an aggregate of 853,658,637 shares of common stock authorized but not outstanding and not reserved for issuance under our 2021 Plan, under our existing Incentive Plans or otherwise. We may issue all of these shares without any action or approval by our stockholders. The issuance of additional shares could be dilutive to existing holders. We historically have made annual contributions of our common stock to the ESOP. We made contributions of 915,113 shares in fiscal 2023, 1,188,129 shares in fiscal 2022, and 1,631,477 shares in fiscal 2021 of our common stock to the ESOP and intend to continue to make annual contributions in shares of our common stock to the ESOP. In fiscal 2023, 2022 and 2021, we made annual contributions to the ESOP in shares of our common stock in the amount of 8% of the participants’ cash compensation for the applicable year (net of shares forfeited by participants in the applicable year). For future fiscal years, the annual contribution to the ESOP shall be in amounts as determined by the board of directors.</w:t>
      </w:r>
    </w:p>
    <w:p>
      <w:pPr>
        <w:spacing w:after="0" w:line="29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Your ability to influence corporate matters may be limited because the ESOP beneficially owns a majority of our stock and therefore our ESOP participants, voting the shares allocated to them under the ESOP, or the ESOP Trustee, who will have the right to vote shares for which no voting instructions are provided by employees, could have substantial control over us.</w:t>
      </w:r>
    </w:p>
    <w:p>
      <w:pPr>
        <w:spacing w:after="0" w:line="5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common stock has one vote per share. The ESOP beneficially owns approximately 57% of our outstanding common stock, 40% of which is owned by current employees of Parsons Corporation. Under the terms of the ESOP, each participant has the ability to direct the ESOP Trustee on the voting of the shares allocated to his or her account under the ESOP. However, the ESOP Trustee will vote any shares that a participant does not direct the voting, or any shares that are held by the ESOP which are not allocated to participants’ accounts. As such, the ESOP Trustee may be able to exercise a greater influence than otherwise over matters requiring stockholder approval, including the election of directors and approval of significant corporate transactions.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9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purpose of the ESOP is to provide retirement income to employees and their beneficiaries. Accordingly, the interests of the ESOP and the ESOP participants may be contrary to yours as an outside investor.</w:t>
      </w:r>
    </w:p>
    <w:p>
      <w:pPr>
        <w:spacing w:after="0" w:line="15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ERISA sets forth certain fiduciary requirements that require an ERISA fiduciary, like the ESOP Trustee, to act solely in the interests of plan participants and their beneficiaries for the purpose of providing retirement benefits. The Department of Labor, which is the agency with the authority to interpret and enforce the fiduciary sections of ERISA, has indicated in its interpretative guidance that voting is an ERISA fiduciary act. The ESOP Trustee’s fiduciary duties under ERISA to the ESOP and its participants may cause the ESOP Trustee to override participants’ voting directions to the extent that following such directions would violate ERISA. In such case, the ESOP Trustee will be able to exercise voting control over all of the ESOP’s shares. Further, the interests of the minority stockholders may not be aligned with those of the ESOP as the majority stockholder, because the ESOP Trustee is required under ERISA to act in the best interest of the ESOP participants and beneficiaries, this may present a conflict.</w:t>
      </w:r>
    </w:p>
    <w:p>
      <w:pPr>
        <w:spacing w:after="0" w:line="185"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As a result, the concentration of ownership in our company by the ESOP could delay or prevent a change in control of our company or otherwise discourage a potential acquirer from attempting to obtain control of our company, which in turn could reduce the price of our common stock.</w:t>
      </w:r>
    </w:p>
    <w:p>
      <w:pPr>
        <w:spacing w:after="0" w:line="28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listing standards and, as a result, qualify for exemptions from certain corporate governance requirements. You may not have the same protections afforded to stockholders of companies that are subject to such requirements.</w:t>
      </w:r>
    </w:p>
    <w:p>
      <w:pPr>
        <w:spacing w:after="0" w:line="5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ESOP holds common stock representing approximately 57% of the voting power of our common stock as of December 31, 2023. As a result, we are considered a “controlled company” for the purposes of New York Stock Exchange (“NYSE”) rules and corporate governance standards. As a controlled company, we are exempt from certain NYSE corporate governance requirements, including those that would otherwise require our board of directors to have a majority of independent directors and require that we either establish compensation and nominating and corporate governance board committees, each comprised entirely of independent directors, or otherwise ensure that the compensation of our executive officers and nominees for directors are determined or recommended to the board of directors by the independent members of the board of directors. While we intend to have a majority of independent directors, and our compensation and nominating and corporate governance committees to consist entirely of independent directors, we may decide at a later time to rely on one of the “controlled company” exemptions. Accordingly, our common stock may not have the same protections afforded to stockholders of companies that are subject to all of the NYSE corporate governance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which could limit our business plan or adversely affect your investment.</w:t>
      </w:r>
    </w:p>
    <w:p>
      <w:pPr>
        <w:spacing w:after="0" w:line="10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business and strategic plans may consume resources faster than we anticipate. In the future, we may need to raise additional funds through the issuance of new equity securities, debt or a combination of both. However, any decline in the market price of our common stock could impair our ability to raise capital. Separately, additional financing may not be available on favorable terms, or at all. If adequate funds are not available on acceptable terms, we may be unable to fund our operations or new investments. If we issue new debt securities, the debt holders would have rights senior to common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a change in management and limit our share price.</w:t>
      </w:r>
    </w:p>
    <w:p>
      <w:pPr>
        <w:spacing w:after="0" w:line="10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71"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We have a number of anti-takeover devices that could hinder takeover attempts and could reduce the market value of our common stock or prevent sale at a premium. Our anti-takeover provisions:</w:t>
      </w:r>
    </w:p>
    <w:p>
      <w:pPr>
        <w:spacing w:after="0" w:line="45" w:lineRule="exact"/>
        <w:rPr>
          <w:sz w:val="20"/>
          <w:szCs w:val="20"/>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11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our board of directors is classified into three classes with staggered, three-year terms and that directors may only be removed for cause;</w:t>
      </w:r>
    </w:p>
    <w:p>
      <w:pPr>
        <w:spacing w:after="0" w:line="45" w:lineRule="exact"/>
        <w:rPr>
          <w:rFonts w:ascii="Times New Roman" w:cs="Times New Roman" w:eastAsia="Times New Roman" w:hAnsi="Times New Roman"/>
          <w:sz w:val="18"/>
          <w:szCs w:val="18"/>
          <w:color w:val="auto"/>
        </w:rPr>
      </w:pPr>
    </w:p>
    <w:p>
      <w:pPr>
        <w:ind w:left="1020" w:right="300" w:hanging="504"/>
        <w:spacing w:after="0" w:line="252"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5" w:lineRule="exact"/>
        <w:rPr>
          <w:rFonts w:ascii="Times New Roman" w:cs="Times New Roman" w:eastAsia="Times New Roman" w:hAnsi="Times New Roman"/>
          <w:sz w:val="18"/>
          <w:szCs w:val="18"/>
          <w:color w:val="auto"/>
        </w:rPr>
      </w:pPr>
    </w:p>
    <w:p>
      <w:pPr>
        <w:ind w:left="1020" w:right="180" w:hanging="504"/>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specify that special meetings of our stockholders can be called only by our board of directors, or a board committee authorized with the power to call such meetings;</w:t>
      </w:r>
    </w:p>
    <w:p>
      <w:pPr>
        <w:spacing w:after="0" w:line="45" w:lineRule="exact"/>
        <w:rPr>
          <w:rFonts w:ascii="Times New Roman" w:cs="Times New Roman" w:eastAsia="Times New Roman" w:hAnsi="Times New Roman"/>
          <w:sz w:val="18"/>
          <w:szCs w:val="18"/>
          <w:color w:val="auto"/>
        </w:rPr>
      </w:pPr>
    </w:p>
    <w:p>
      <w:pPr>
        <w:ind w:left="1020" w:right="200" w:hanging="504"/>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prohibit stockholder action by written consent, which has the effect of requiring all stockholder actions to be taken at a meeting of our stockholders;</w:t>
      </w:r>
    </w:p>
    <w:p>
      <w:pPr>
        <w:spacing w:after="0" w:line="45" w:lineRule="exact"/>
        <w:rPr>
          <w:rFonts w:ascii="Times New Roman" w:cs="Times New Roman" w:eastAsia="Times New Roman" w:hAnsi="Times New Roman"/>
          <w:sz w:val="18"/>
          <w:szCs w:val="18"/>
          <w:color w:val="auto"/>
        </w:rPr>
      </w:pPr>
    </w:p>
    <w:p>
      <w:pPr>
        <w:ind w:left="1020" w:right="40" w:hanging="504"/>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prohibit cumulative voting in the election of directors; and</w:t>
      </w:r>
    </w:p>
    <w:p>
      <w:pPr>
        <w:spacing w:after="0" w:line="115" w:lineRule="exact"/>
        <w:rPr>
          <w:rFonts w:ascii="Times New Roman" w:cs="Times New Roman" w:eastAsia="Times New Roman" w:hAnsi="Times New Roman"/>
          <w:sz w:val="18"/>
          <w:szCs w:val="18"/>
          <w:color w:val="auto"/>
        </w:rPr>
      </w:pPr>
    </w:p>
    <w:p>
      <w:pPr>
        <w:ind w:left="1020" w:right="80" w:hanging="504"/>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stockholders’ meetings.</w:t>
      </w:r>
    </w:p>
    <w:p>
      <w:pPr>
        <w:spacing w:after="0" w:line="154" w:lineRule="exact"/>
        <w:rPr>
          <w:sz w:val="20"/>
          <w:szCs w:val="20"/>
          <w:color w:val="auto"/>
        </w:rPr>
      </w:pPr>
    </w:p>
    <w:p>
      <w:pPr>
        <w:ind w:right="600" w:firstLine="509"/>
        <w:spacing w:after="0" w:line="252"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(DGCL). These provisions may prohibit large stockholders, in particular those owning 15% or more of our outstanding voting stock, from merging or combining with us for a period of time.</w:t>
      </w:r>
    </w:p>
    <w:p>
      <w:pPr>
        <w:spacing w:after="0" w:line="28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50"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the following civil actions:</w:t>
      </w:r>
    </w:p>
    <w:p>
      <w:pPr>
        <w:spacing w:after="0" w:line="45" w:lineRule="exact"/>
        <w:rPr>
          <w:sz w:val="20"/>
          <w:szCs w:val="20"/>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15" w:lineRule="exact"/>
        <w:rPr>
          <w:rFonts w:ascii="Times New Roman" w:cs="Times New Roman" w:eastAsia="Times New Roman" w:hAnsi="Times New Roman"/>
          <w:sz w:val="18"/>
          <w:szCs w:val="18"/>
          <w:color w:val="auto"/>
        </w:rPr>
      </w:pPr>
    </w:p>
    <w:p>
      <w:pPr>
        <w:ind w:left="1020" w:right="940" w:hanging="504"/>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a fiduciary duty by any of our directors, officers, employees or agents or our stockholders;</w:t>
      </w:r>
    </w:p>
    <w:p>
      <w:pPr>
        <w:spacing w:after="0" w:line="45" w:lineRule="exact"/>
        <w:rPr>
          <w:rFonts w:ascii="Times New Roman" w:cs="Times New Roman" w:eastAsia="Times New Roman" w:hAnsi="Times New Roman"/>
          <w:sz w:val="18"/>
          <w:szCs w:val="18"/>
          <w:color w:val="auto"/>
        </w:rPr>
      </w:pPr>
    </w:p>
    <w:p>
      <w:pPr>
        <w:ind w:left="1020" w:right="220" w:hanging="504"/>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arising pursuant to any provision of the DGCL or our certificate of incorporation or bylaws or as to which the DGCL confers jurisdiction on the Court of Chancery of the State of Delaware; or</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governed by the internal affairs doctrine.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the stockholder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current plans to declare dividends.</w:t>
      </w:r>
    </w:p>
    <w:p>
      <w:pPr>
        <w:spacing w:after="0" w:line="101"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We do not currently pay a dividend and have no current plans to declare any cash dividends to holders of our common stock. Any determination to pay dividends in the future will be at the discretion of our board of directors and will depend upon results of operations, financial condition, any contractual restrictions, our indebtedness,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cash dividends should not purchase our common stock.</w:t>
      </w:r>
    </w:p>
    <w:p>
      <w:pPr>
        <w:spacing w:after="0" w:line="292"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31"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an analyst who covers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03" w:lineRule="exact"/>
        <w:rPr>
          <w:sz w:val="20"/>
          <w:szCs w:val="20"/>
          <w:color w:val="auto"/>
        </w:rPr>
      </w:pPr>
    </w:p>
    <w:p>
      <w:pPr>
        <w:jc w:val="both"/>
        <w:ind w:right="220" w:firstLine="509"/>
        <w:spacing w:after="0" w:line="252"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63" w:lineRule="exact"/>
        <w:rPr>
          <w:sz w:val="20"/>
          <w:szCs w:val="20"/>
          <w:color w:val="auto"/>
        </w:rPr>
      </w:pPr>
    </w:p>
    <w:p>
      <w:pPr>
        <w:ind w:right="180" w:firstLine="869"/>
        <w:spacing w:after="0" w:line="317" w:lineRule="auto"/>
        <w:rPr>
          <w:sz w:val="20"/>
          <w:szCs w:val="20"/>
          <w:color w:val="auto"/>
        </w:rPr>
      </w:pPr>
      <w:r>
        <w:rPr>
          <w:rFonts w:ascii="Arial" w:cs="Arial" w:eastAsia="Arial" w:hAnsi="Arial"/>
          <w:sz w:val="17"/>
          <w:szCs w:val="17"/>
          <w:color w:val="auto"/>
        </w:rPr>
        <w:t>We use NIST Cybersecurity Framework and CIS Critical Security Controls as a guide to help us identify, assess, and manage cybersecurity relevant to our business. This does not imply that we meet any particular technical standards, specifications, or requirements.</w:t>
      </w:r>
    </w:p>
    <w:p>
      <w:pPr>
        <w:spacing w:after="0" w:line="10" w:lineRule="exact"/>
        <w:rPr>
          <w:sz w:val="20"/>
          <w:szCs w:val="20"/>
          <w:color w:val="auto"/>
        </w:rPr>
      </w:pPr>
    </w:p>
    <w:p>
      <w:pPr>
        <w:ind w:right="180" w:firstLine="869"/>
        <w:spacing w:after="0" w:line="251" w:lineRule="auto"/>
        <w:rPr>
          <w:sz w:val="20"/>
          <w:szCs w:val="20"/>
          <w:color w:val="auto"/>
        </w:rPr>
      </w:pPr>
      <w:r>
        <w:rPr>
          <w:rFonts w:ascii="Arial" w:cs="Arial" w:eastAsia="Arial" w:hAnsi="Arial"/>
          <w:sz w:val="18"/>
          <w:szCs w:val="18"/>
          <w:color w:val="auto"/>
        </w:rPr>
        <w:t>Our cybersecurity risk management program is integrated with our overall enterprise risk management program, and shares common methodologies, reporting channels and governance processes that apply across the enterprise risk management program to other legal, compliance, strategic, operational, and financial risk areas. Our cybersecurity risk management program includes the following key elements:</w:t>
      </w:r>
    </w:p>
    <w:p>
      <w:pPr>
        <w:spacing w:after="0" w:line="65" w:lineRule="exact"/>
        <w:rPr>
          <w:sz w:val="20"/>
          <w:szCs w:val="20"/>
          <w:color w:val="auto"/>
        </w:rPr>
      </w:pPr>
    </w:p>
    <w:p>
      <w:pPr>
        <w:ind w:left="1020" w:right="400" w:hanging="504"/>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risk assessments designed to help identify material cybersecurity risks to our critical systems, information, services, and our broader enterprise IT environment;</w:t>
      </w:r>
    </w:p>
    <w:p>
      <w:pPr>
        <w:spacing w:after="0" w:line="45" w:lineRule="exact"/>
        <w:rPr>
          <w:rFonts w:ascii="Times New Roman" w:cs="Times New Roman" w:eastAsia="Times New Roman" w:hAnsi="Times New Roman"/>
          <w:sz w:val="18"/>
          <w:szCs w:val="18"/>
          <w:color w:val="auto"/>
        </w:rPr>
      </w:pPr>
    </w:p>
    <w:p>
      <w:pPr>
        <w:ind w:left="1020" w:right="560" w:hanging="504"/>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team comprised of IT security, IT infrastructure, and IT compliance personnel principally responsible for directing (1) our cybersecurity risk assessment processes; (2) our security processes; and (3) our response to cybersecurity incidents;</w:t>
      </w:r>
    </w:p>
    <w:p>
      <w:pPr>
        <w:spacing w:after="0" w:line="45" w:lineRule="exact"/>
        <w:rPr>
          <w:rFonts w:ascii="Times New Roman" w:cs="Times New Roman" w:eastAsia="Times New Roman" w:hAnsi="Times New Roman"/>
          <w:sz w:val="18"/>
          <w:szCs w:val="18"/>
          <w:color w:val="auto"/>
        </w:rPr>
      </w:pPr>
    </w:p>
    <w:p>
      <w:pPr>
        <w:ind w:left="1020" w:right="340" w:hanging="504"/>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external cybersecurity service providers, where appropriate, to assess, test or otherwise assist with aspects of our security processes;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4" w:lineRule="exact"/>
        <w:rPr>
          <w:sz w:val="20"/>
          <w:szCs w:val="20"/>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employees with access to our IT systems;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response plan and Security Operations Center to respond to cybersecurity incidents;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risk management process for service providers.</w:t>
      </w:r>
    </w:p>
    <w:p>
      <w:pPr>
        <w:spacing w:after="0" w:line="116"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conditions, as we have described in the Risk Factors section of this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Cybersecurity Governance</w:t>
      </w:r>
    </w:p>
    <w:p>
      <w:pPr>
        <w:spacing w:after="0" w:line="103" w:lineRule="exact"/>
        <w:rPr>
          <w:sz w:val="20"/>
          <w:szCs w:val="20"/>
          <w:color w:val="auto"/>
        </w:rPr>
      </w:pPr>
    </w:p>
    <w:p>
      <w:pPr>
        <w:ind w:right="260" w:firstLine="869"/>
        <w:spacing w:after="0" w:line="260" w:lineRule="auto"/>
        <w:rPr>
          <w:sz w:val="20"/>
          <w:szCs w:val="20"/>
          <w:color w:val="auto"/>
        </w:rPr>
      </w:pPr>
      <w:r>
        <w:rPr>
          <w:rFonts w:ascii="Arial" w:cs="Arial" w:eastAsia="Arial" w:hAnsi="Arial"/>
          <w:sz w:val="18"/>
          <w:szCs w:val="18"/>
          <w:color w:val="auto"/>
        </w:rPr>
        <w:t>Our Board considers cybersecurity risk as critical to the enterprise and delegates the cybersecurity risk oversight function to the Audit and Risk Committee. The Audit and Risk Committee oversees management’s design, implementation, and enforcement of our cybersecurity risk management program.</w:t>
      </w:r>
    </w:p>
    <w:p>
      <w:pPr>
        <w:spacing w:after="0" w:line="55" w:lineRule="exact"/>
        <w:rPr>
          <w:sz w:val="20"/>
          <w:szCs w:val="20"/>
          <w:color w:val="auto"/>
        </w:rPr>
      </w:pPr>
    </w:p>
    <w:p>
      <w:pPr>
        <w:ind w:right="80" w:firstLine="869"/>
        <w:spacing w:after="0" w:line="247" w:lineRule="auto"/>
        <w:rPr>
          <w:sz w:val="20"/>
          <w:szCs w:val="20"/>
          <w:color w:val="auto"/>
        </w:rPr>
      </w:pPr>
      <w:r>
        <w:rPr>
          <w:rFonts w:ascii="Arial" w:cs="Arial" w:eastAsia="Arial" w:hAnsi="Arial"/>
          <w:sz w:val="18"/>
          <w:szCs w:val="18"/>
          <w:color w:val="auto"/>
        </w:rPr>
        <w:t>Our Chief Security Officer reports to the Chief Technology Officer and works closely with the Chief Legal Officer to ensure that all disclosure or reporting requirements are satisfied if an incident were to occur. The Chief Security Officer leads Parsons’ overall cybersecurity function and provides quarterly reports to the Audit and Risk Committee on our cybersecurity risks, including briefings on our cybersecurity risk management program and cybersecurity incidents. The Audit and Risk Committee also receives periodic presentations on relevant cybersecurity topics as part of the Committee and the Board’s continuing education on topics that impact public companies.</w:t>
      </w:r>
    </w:p>
    <w:p>
      <w:pPr>
        <w:spacing w:after="0" w:line="68" w:lineRule="exact"/>
        <w:rPr>
          <w:sz w:val="20"/>
          <w:szCs w:val="20"/>
          <w:color w:val="auto"/>
        </w:rPr>
      </w:pPr>
    </w:p>
    <w:p>
      <w:pPr>
        <w:ind w:firstLine="869"/>
        <w:spacing w:after="0" w:line="259" w:lineRule="auto"/>
        <w:rPr>
          <w:sz w:val="20"/>
          <w:szCs w:val="20"/>
          <w:color w:val="auto"/>
        </w:rPr>
      </w:pPr>
      <w:r>
        <w:rPr>
          <w:rFonts w:ascii="Arial" w:cs="Arial" w:eastAsia="Arial" w:hAnsi="Arial"/>
          <w:sz w:val="17"/>
          <w:szCs w:val="17"/>
          <w:color w:val="auto"/>
        </w:rPr>
        <w:t>Our Chief Security Officer supervises efforts to prevent, detect, mitigation and remediate cybersecurity risks and incidents through various means, which include briefings from internal security personnel; threat intelligence and other information obtained from governmental, public or private sources, including external cybersecurity service providers; and alerts and reports produced by security tools deployed in the IT environment. Our Chief Security Officer is responsible for assessing and managing our material risks from cybersecurity threats and has primary responsibility for leading our overall cybersecurity risks management program and supervises both our internal cybersecurity personnel and our external cybersecurity service providers. Our Chief Security Officer has significant global experience in managing and leading IT and cybersecurity teams and holds cybersecurity certifications from leading cybersecurity training and research institutes.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3"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headquarters are located in Chantilly, Virginia. As of December 31, 2023, we leased 272 commercial facilities (including our headquarters) with an aggregate of approximately 2.6 million square feet of space across 36 U.S. states and 16 countries used in connection with the various services rendered to our customers. Additionally, we operate at several customer-accredited Sensitive Compartmented Information Facilities, which are highly specialized, secure facilities used to perform classified work for the United States intelligence community. We also have employees working at customer sites throughout the U.S. and in other countries. We believe our facilities are adequate for our current and presently foreseeable needs.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performance under our contracts and our compliance with the terms of those contracts and applicable laws and regulations are subject to continuous audit, review and investigation by our customers, including the U.S. federal government. In addition, we are from time to time involved in legal proceedings and investigations arising in the ordinary course of business, including those relating to employment matters, relationships with clients and contractors, intellectual property disputes, environmental matters and other business matters. Although the outcome of any such matter is inherently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uncertain and may be materially adverse, based on current information, except as noted below, we believe there are no pending lawsuits or claims that may have a material adverse effect on our business, financial condition or results of operations.</w:t>
      </w:r>
    </w:p>
    <w:p>
      <w:pPr>
        <w:spacing w:after="0" w:line="153"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We are awaiting the court’s rulings upon such motions, which will determine whether a trial will be necessary for this matter in 2024.</w:t>
      </w:r>
    </w:p>
    <w:p>
      <w:pPr>
        <w:spacing w:after="0" w:line="18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 November 28, 2023, a Proposed Statement of Decision was filed with the clerk of the Superior Court of the State of California In and For the County of San Mateo proposing an award of damages in the total amount of approximately $102.5 million in favor of Parsons Transportation Group, Inc. and against Alstom Signaling Operations LLC (Alstom") (including approximately $62.5 million relating to claims assigned to Parsons pursuant to a prior settlement with the Peninsula Corridor Joint Powers Board and approximately $ 40 million attributable to Parsons’ contractual and indemnification claims). This proposed award relates back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Alstom filed objections to the Proposed Statement of Decision, and Parsons has filed its responses to the objections. It is anticipated that the court will enter a final decision in the first quarter of 2024.</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this time, the Company is unable to determine the probability of the outcome of the litigation.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ind w:right="1040"/>
        <w:spacing w:after="0" w:line="35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NYSE under the ticker symbol “PSN”.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During the years ended December 31, 2023, 2022 and 2021, the Company did not declare any dividends. We currently do not intend to declare or pay any cash dividends in the foreseeable future. Any determination to pay dividends on our capital stock will be at the discretion of our board of directors, subject to applicable laws, and will depend on our financial condition, results of operations, capital requirements, restrictions under our Convertible Senior Notes, or the Delayed Draw Term Loan and Credit Agreement, and other factors that our board of directors considers relevant.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According to the records of our transfer agent, there were three shareholders of record as of February 5, 2024.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3"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following table provides information as of December 31, 2023 regarding compensation plans under which our equity securities are authorized for issuance.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Number of Securities to be</w:t>
            </w: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Issued upon Exercise of</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Weighted-Average Exercise</w:t>
            </w:r>
          </w:p>
        </w:tc>
        <w:tc>
          <w:tcPr>
            <w:tcW w:w="16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under Equity Compensation</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Outstanding Options, Warrants</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Price of Outstanding Options,</w:t>
            </w:r>
          </w:p>
        </w:tc>
        <w:tc>
          <w:tcPr>
            <w:tcW w:w="16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and Rights</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6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Plan Category</w:t>
            </w:r>
          </w:p>
        </w:tc>
        <w:tc>
          <w:tcPr>
            <w:tcW w:w="2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Equity compensation plans approved by</w:t>
            </w:r>
          </w:p>
        </w:tc>
        <w:tc>
          <w:tcPr>
            <w:tcW w:w="2180" w:type="dxa"/>
            <w:vAlign w:val="bottom"/>
            <w:tcBorders>
              <w:top w:val="single" w:sz="8" w:color="auto"/>
            </w:tcBorders>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40" w:type="dxa"/>
            <w:vAlign w:val="bottom"/>
            <w:tcBorders>
              <w:top w:val="single" w:sz="8" w:color="auto"/>
            </w:tcBorders>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security holders (1)</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0"/>
                <w:szCs w:val="20"/>
                <w:color w:val="auto"/>
              </w:rPr>
            </w:pPr>
          </w:p>
        </w:tc>
        <w:tc>
          <w:tcPr>
            <w:tcW w:w="2200" w:type="dxa"/>
            <w:vAlign w:val="bottom"/>
            <w:shd w:val="clear" w:color="auto" w:fill="CFF0FC"/>
          </w:tcPr>
          <w:p>
            <w:pPr>
              <w:spacing w:after="0"/>
              <w:rPr>
                <w:sz w:val="20"/>
                <w:szCs w:val="20"/>
                <w:color w:val="auto"/>
              </w:rPr>
            </w:pP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1,463,790</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7"/>
        </w:trPr>
        <w:tc>
          <w:tcPr>
            <w:tcW w:w="3620" w:type="dxa"/>
            <w:vAlign w:val="bottom"/>
          </w:tcPr>
          <w:p>
            <w:pPr>
              <w:ind w:left="20"/>
              <w:spacing w:after="0" w:line="197" w:lineRule="exact"/>
              <w:rPr>
                <w:sz w:val="20"/>
                <w:szCs w:val="20"/>
                <w:color w:val="auto"/>
              </w:rPr>
            </w:pPr>
            <w:r>
              <w:rPr>
                <w:rFonts w:ascii="Arial" w:cs="Arial" w:eastAsia="Arial" w:hAnsi="Arial"/>
                <w:sz w:val="18"/>
                <w:szCs w:val="18"/>
                <w:color w:val="auto"/>
              </w:rPr>
              <w:t>Equity compensation plans not approved</w:t>
            </w:r>
          </w:p>
        </w:tc>
        <w:tc>
          <w:tcPr>
            <w:tcW w:w="2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2,093,336  (3)</w:t>
            </w:r>
          </w:p>
        </w:tc>
        <w:tc>
          <w:tcPr>
            <w:tcW w:w="2200" w:type="dxa"/>
            <w:vAlign w:val="bottom"/>
          </w:tcPr>
          <w:p>
            <w:pPr>
              <w:spacing w:after="0"/>
              <w:rPr>
                <w:sz w:val="17"/>
                <w:szCs w:val="17"/>
                <w:color w:val="auto"/>
              </w:rPr>
            </w:pPr>
          </w:p>
        </w:tc>
        <w:tc>
          <w:tcPr>
            <w:tcW w:w="2400" w:type="dxa"/>
            <w:vAlign w:val="bottom"/>
            <w:gridSpan w:val="2"/>
            <w:vMerge w:val="restart"/>
          </w:tcPr>
          <w:p>
            <w:pPr>
              <w:jc w:val="right"/>
              <w:spacing w:after="0"/>
              <w:rPr>
                <w:sz w:val="20"/>
                <w:szCs w:val="20"/>
                <w:color w:val="auto"/>
              </w:rPr>
            </w:pPr>
            <w:r>
              <w:rPr>
                <w:rFonts w:ascii="Arial" w:cs="Arial" w:eastAsia="Arial" w:hAnsi="Arial"/>
                <w:sz w:val="18"/>
                <w:szCs w:val="18"/>
                <w:color w:val="auto"/>
              </w:rPr>
              <w:t>8,238,003</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20" w:type="dxa"/>
            <w:vAlign w:val="bottom"/>
          </w:tcPr>
          <w:p>
            <w:pPr>
              <w:ind w:left="20"/>
              <w:spacing w:after="0"/>
              <w:rPr>
                <w:sz w:val="20"/>
                <w:szCs w:val="20"/>
                <w:color w:val="auto"/>
              </w:rPr>
            </w:pPr>
            <w:r>
              <w:rPr>
                <w:rFonts w:ascii="Arial" w:cs="Arial" w:eastAsia="Arial" w:hAnsi="Arial"/>
                <w:sz w:val="18"/>
                <w:szCs w:val="18"/>
                <w:color w:val="auto"/>
              </w:rPr>
              <w:t>by security holders</w:t>
            </w:r>
          </w:p>
        </w:tc>
        <w:tc>
          <w:tcPr>
            <w:tcW w:w="260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2,093,336</w:t>
            </w:r>
          </w:p>
        </w:tc>
        <w:tc>
          <w:tcPr>
            <w:tcW w:w="420" w:type="dxa"/>
            <w:vAlign w:val="bottom"/>
            <w:tcBorders>
              <w:bottom w:val="single" w:sz="8" w:color="CFF0FC"/>
            </w:tcBorders>
            <w:shd w:val="clear" w:color="auto" w:fill="CFF0FC"/>
          </w:tcPr>
          <w:p>
            <w:pPr>
              <w:spacing w:after="0"/>
              <w:rPr>
                <w:sz w:val="22"/>
                <w:szCs w:val="22"/>
                <w:color w:val="auto"/>
              </w:rPr>
            </w:pPr>
          </w:p>
        </w:tc>
        <w:tc>
          <w:tcPr>
            <w:tcW w:w="2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9,701,793</w:t>
            </w:r>
          </w:p>
        </w:tc>
        <w:tc>
          <w:tcPr>
            <w:tcW w:w="4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-24765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-7620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the 2020 Employee Stock Purchase Plan.</w:t>
      </w:r>
    </w:p>
    <w:p>
      <w:pPr>
        <w:spacing w:after="0" w:line="14" w:lineRule="exact"/>
        <w:rPr>
          <w:rFonts w:ascii="Arial" w:cs="Arial" w:eastAsia="Arial" w:hAnsi="Arial"/>
          <w:sz w:val="14"/>
          <w:szCs w:val="14"/>
          <w:color w:val="auto"/>
        </w:rPr>
      </w:pPr>
    </w:p>
    <w:p>
      <w:pPr>
        <w:ind w:left="520" w:right="180" w:hanging="512"/>
        <w:spacing w:after="0" w:line="24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represents 1,463,790 shares remaining available for future issuance under the 2020 Employee Stock Purchase Plan (of which 52,364 shares were purchased pursuant to the offering period that ended on December 31, 2023).</w:t>
      </w:r>
    </w:p>
    <w:p>
      <w:pPr>
        <w:ind w:left="520" w:right="500" w:hanging="512"/>
        <w:spacing w:after="0" w:line="24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represents the sum of 2,093,336 shares of common stock subject to outstanding RSU and PSU awards under the 2019 Incentive Plan (with PSU awards reflected at “target” levels),</w:t>
      </w:r>
    </w:p>
    <w:p>
      <w:pPr>
        <w:ind w:left="520" w:hanging="512"/>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represents 8,238,003 shares remaining available for future issuance under the 2019 Incentive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7" w:name="page58"/>
    <w:bookmarkEnd w:id="57"/>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0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following graph compares the cumulative total return, from the date of the Company’s initial public offering (“IPO”) through December 31, 2023, to shareholders of Parsons Corporation common stock relative to the cumulative total returns of the Russell 2000 Index and the Standard and Poor’s IT Consulting &amp; Other Services Index. The graph assumes that the value of the initial investment in our common stock and each of the two indexes was $100 on May 8, 2019, the date of the Company’s IPO, and tracks it through December 31, 2023 (including reinvestment of dividends). The stock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119380</wp:posOffset>
            </wp:positionV>
            <wp:extent cx="5120005" cy="4657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20005" cy="465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Borders>
              <w:top w:val="single" w:sz="8" w:color="auto"/>
              <w:bottom w:val="single" w:sz="8" w:color="auto"/>
            </w:tcBorders>
          </w:tcPr>
          <w:p>
            <w:pPr>
              <w:spacing w:after="0"/>
              <w:rPr>
                <w:sz w:val="16"/>
                <w:szCs w:val="16"/>
                <w:color w:val="auto"/>
              </w:rPr>
            </w:pPr>
          </w:p>
        </w:tc>
        <w:tc>
          <w:tcPr>
            <w:tcW w:w="21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5/8/19</w:t>
            </w:r>
          </w:p>
        </w:tc>
        <w:tc>
          <w:tcPr>
            <w:tcW w:w="8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12/19</w:t>
            </w:r>
          </w:p>
        </w:tc>
        <w:tc>
          <w:tcPr>
            <w:tcW w:w="8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12/20</w:t>
            </w:r>
          </w:p>
        </w:tc>
        <w:tc>
          <w:tcPr>
            <w:tcW w:w="8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12/21</w:t>
            </w:r>
          </w:p>
        </w:tc>
        <w:tc>
          <w:tcPr>
            <w:tcW w:w="8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12/22</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12/23</w:t>
            </w:r>
          </w:p>
        </w:tc>
      </w:tr>
      <w:tr>
        <w:trPr>
          <w:trHeight w:val="413"/>
        </w:trPr>
        <w:tc>
          <w:tcPr>
            <w:tcW w:w="4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Parsons Corp.</w:t>
            </w:r>
          </w:p>
        </w:tc>
        <w:tc>
          <w:tcPr>
            <w:tcW w:w="2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137.28</w:t>
            </w: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121.08</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111.91</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153.81</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208.55</w:t>
            </w:r>
          </w:p>
        </w:tc>
      </w:tr>
      <w:tr>
        <w:trPr>
          <w:trHeight w:val="243"/>
        </w:trPr>
        <w:tc>
          <w:tcPr>
            <w:tcW w:w="4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Russell 2000</w:t>
            </w:r>
          </w:p>
        </w:tc>
        <w:tc>
          <w:tcPr>
            <w:tcW w:w="2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105.95</w:t>
            </w: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127.10</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145.93</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116.11</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135.76</w:t>
            </w:r>
          </w:p>
        </w:tc>
      </w:tr>
      <w:tr>
        <w:trPr>
          <w:trHeight w:val="243"/>
        </w:trPr>
        <w:tc>
          <w:tcPr>
            <w:tcW w:w="4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S&amp;P Composite 1500 IT Consulting &amp; Other Services</w:t>
            </w:r>
          </w:p>
        </w:tc>
        <w:tc>
          <w:tcPr>
            <w:tcW w:w="2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100.00</w:t>
            </w: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103.18</w:t>
            </w: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117.05</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161.45</w:t>
            </w:r>
          </w:p>
        </w:tc>
        <w:tc>
          <w:tcPr>
            <w:tcW w:w="8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123.35</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156.59</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3"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information required by this item with respect to our equity compensation plans is incorporated by reference to our 2024 Proxy Statement.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$100,000,000 from time to time, commencing on August 12, 2021. The Board further amended this authorization in August 2022 to remove the prior expiration date and grant executive leadership the discretion to determine the price for such share repurchases. 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77"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As of December 31, 2023, the Company has spent $ 54.7 million (which includes commissions paid of $29 thousand) repurchasing 1,426,476 shares of Common Stock at an average price of $38.35 per share.</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Company’s purchase of equity securities for the three months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4"/>
                <w:szCs w:val="14"/>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276"/>
              <w:spacing w:after="0"/>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(or approximate</w:t>
            </w:r>
          </w:p>
        </w:tc>
        <w:tc>
          <w:tcPr>
            <w:tcW w:w="0" w:type="dxa"/>
            <w:vAlign w:val="bottom"/>
          </w:tcPr>
          <w:p>
            <w:pPr>
              <w:spacing w:after="0"/>
              <w:rPr>
                <w:sz w:val="1"/>
                <w:szCs w:val="1"/>
                <w:color w:val="auto"/>
              </w:rPr>
            </w:pPr>
          </w:p>
        </w:tc>
      </w:tr>
      <w:tr>
        <w:trPr>
          <w:trHeight w:val="162"/>
        </w:trPr>
        <w:tc>
          <w:tcPr>
            <w:tcW w:w="444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 paid</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15"/>
        </w:trPr>
        <w:tc>
          <w:tcPr>
            <w:tcW w:w="444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(or units</w:t>
            </w:r>
          </w:p>
        </w:tc>
        <w:tc>
          <w:tcPr>
            <w:tcW w:w="300" w:type="dxa"/>
            <w:vAlign w:val="bottom"/>
          </w:tcPr>
          <w:p>
            <w:pPr>
              <w:spacing w:after="0"/>
              <w:rPr>
                <w:sz w:val="10"/>
                <w:szCs w:val="1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per share (or unit)</w:t>
            </w:r>
          </w:p>
        </w:tc>
        <w:tc>
          <w:tcPr>
            <w:tcW w:w="2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shares (or units)</w:t>
            </w:r>
          </w:p>
        </w:tc>
        <w:tc>
          <w:tcPr>
            <w:tcW w:w="0" w:type="dxa"/>
            <w:vAlign w:val="bottom"/>
          </w:tcPr>
          <w:p>
            <w:pPr>
              <w:spacing w:after="0"/>
              <w:rPr>
                <w:sz w:val="1"/>
                <w:szCs w:val="1"/>
                <w:color w:val="auto"/>
              </w:rPr>
            </w:pPr>
          </w:p>
        </w:tc>
      </w:tr>
      <w:tr>
        <w:trPr>
          <w:trHeight w:val="47"/>
        </w:trPr>
        <w:tc>
          <w:tcPr>
            <w:tcW w:w="444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276"/>
              <w:spacing w:after="0"/>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the plans 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October 1 to 31, 2023</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48,299,563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November 1 to 30, 2023</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48,299,563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December 1 to 31, 2023</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47,535</w:t>
            </w:r>
          </w:p>
        </w:tc>
        <w:tc>
          <w:tcPr>
            <w:tcW w:w="660" w:type="dxa"/>
            <w:vAlign w:val="bottom"/>
            <w:tcBorders>
              <w:bottom w:val="single" w:sz="8" w:color="CFF0FC"/>
            </w:tcBorders>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63.11</w:t>
            </w: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47,535</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45,299,670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spacing w:after="0"/>
              <w:rPr>
                <w:sz w:val="20"/>
                <w:szCs w:val="20"/>
                <w:color w:val="auto"/>
              </w:rPr>
            </w:pPr>
            <w:r>
              <w:rPr>
                <w:rFonts w:ascii="Arial" w:cs="Arial" w:eastAsia="Arial" w:hAnsi="Arial"/>
                <w:sz w:val="18"/>
                <w:szCs w:val="18"/>
                <w:color w:val="auto"/>
              </w:rPr>
              <w:t>47,535</w:t>
            </w:r>
          </w:p>
        </w:tc>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63.11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47,535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45,299,670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-179070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-179070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900" w:hanging="518"/>
        <w:spacing w:after="0"/>
        <w:tabs>
          <w:tab w:leader="none" w:pos="9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commissions and calculated at the average price per share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5"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Annual Report on Form 10-K. Certain amounts may not foot due to rounding.</w:t>
      </w:r>
    </w:p>
    <w:p>
      <w:pPr>
        <w:spacing w:after="0" w:line="173" w:lineRule="exact"/>
        <w:rPr>
          <w:sz w:val="20"/>
          <w:szCs w:val="20"/>
          <w:color w:val="auto"/>
        </w:rPr>
      </w:pPr>
    </w:p>
    <w:p>
      <w:pPr>
        <w:ind w:firstLine="509"/>
        <w:spacing w:after="0" w:line="265" w:lineRule="auto"/>
        <w:rPr>
          <w:sz w:val="20"/>
          <w:szCs w:val="20"/>
          <w:color w:val="auto"/>
        </w:rPr>
      </w:pPr>
      <w:r>
        <w:rPr>
          <w:rFonts w:ascii="Arial" w:cs="Arial" w:eastAsia="Arial" w:hAnsi="Arial"/>
          <w:sz w:val="17"/>
          <w:szCs w:val="17"/>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87630</wp:posOffset>
            </wp:positionV>
            <wp:extent cx="5342890" cy="30054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2890" cy="300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1"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and intelligence, space and missile defense, critical infrastructure protection, transportation, environmental remediation and urban development. By combining our talented team of professionals and advanced technology, we solve complex technical challenges to enable a safer, smarter, more secure and more connected world.</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5" w:right="459" w:bottom="1440" w:gutter="0" w:footer="0" w:header="0"/>
        </w:sectPr>
      </w:pPr>
    </w:p>
    <w:bookmarkStart w:id="60" w:name="page61"/>
    <w:bookmarkEnd w:id="60"/>
    <w:p>
      <w:pPr>
        <w:spacing w:after="0" w:line="191" w:lineRule="exact"/>
        <w:rPr>
          <w:sz w:val="20"/>
          <w:szCs w:val="20"/>
          <w:color w:val="auto"/>
        </w:rPr>
      </w:pPr>
    </w:p>
    <w:p>
      <w:pPr>
        <w:ind w:right="260" w:firstLine="509"/>
        <w:spacing w:after="0" w:line="252"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is an advanced technology provider to the U.S. government. Our Critical Infrastructure business provides integrated design and engineering services for complex physical and digital infrastructure around the globe.</w:t>
      </w:r>
    </w:p>
    <w:p>
      <w:pPr>
        <w:spacing w:after="0" w:line="171"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Metrics</w:t>
      </w:r>
    </w:p>
    <w:p>
      <w:pPr>
        <w:spacing w:after="0" w:line="21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Period Ended</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220" w:type="dxa"/>
            <w:vAlign w:val="bottom"/>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r>
      <w:tr>
        <w:trPr>
          <w:trHeight w:val="223"/>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w:t>
            </w:r>
          </w:p>
        </w:tc>
        <w:tc>
          <w:tcPr>
            <w:tcW w:w="34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5,996,780</w:t>
            </w:r>
          </w:p>
        </w:tc>
        <w:tc>
          <w:tcPr>
            <w:tcW w:w="5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4,274,721</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4,565,792</w:t>
            </w: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Backlog (1)</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8,592,271</w:t>
            </w:r>
          </w:p>
        </w:tc>
        <w:tc>
          <w:tcPr>
            <w:tcW w:w="5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8,179,245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8,346,937</w:t>
            </w:r>
          </w:p>
        </w:tc>
        <w:tc>
          <w:tcPr>
            <w:tcW w:w="100" w:type="dxa"/>
            <w:vAlign w:val="bottom"/>
          </w:tcPr>
          <w:p>
            <w:pPr>
              <w:spacing w:after="0"/>
              <w:rPr>
                <w:sz w:val="19"/>
                <w:szCs w:val="19"/>
                <w:color w:val="auto"/>
              </w:rPr>
            </w:pPr>
          </w:p>
        </w:tc>
      </w:tr>
      <w:tr>
        <w:trPr>
          <w:trHeight w:val="229"/>
        </w:trPr>
        <w:tc>
          <w:tcPr>
            <w:tcW w:w="6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Book-to-Bill</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jc w:val="both"/>
        <w:ind w:left="520" w:right="240" w:hanging="512"/>
        <w:spacing w:after="0" w:line="252"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Difference between our backlog of $8.6 billion and our remaining unsatisfied performance obligations, or RUPO, of $6.4 billion, each as of December 31, 2023, is due to (i) unissued task orders and unexercised option years, to the extent their issuance or exercise is probable, as well as (ii) contract awards, to the extent we believe contract execution and funding is probable.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1" w:lineRule="exact"/>
        <w:rPr>
          <w:sz w:val="20"/>
          <w:szCs w:val="20"/>
          <w:color w:val="auto"/>
        </w:rPr>
      </w:pPr>
    </w:p>
    <w:p>
      <w:pPr>
        <w:jc w:val="both"/>
        <w:ind w:right="360" w:firstLine="509"/>
        <w:spacing w:after="0" w:line="252"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total value of new awards for the periods presented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540" w:type="dxa"/>
            <w:vAlign w:val="bottom"/>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Pr>
          <w:p>
            <w:pPr>
              <w:spacing w:after="0"/>
              <w:rPr>
                <w:sz w:val="15"/>
                <w:szCs w:val="15"/>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r>
      <w:tr>
        <w:trPr>
          <w:trHeight w:val="22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Solutions</w:t>
            </w: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3,259,052</w:t>
            </w: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1,921,123</w:t>
            </w: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2,458,528</w:t>
            </w: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Critical Infrastructure</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2,737,728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2,353,598</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2,107,264</w:t>
            </w:r>
          </w:p>
        </w:tc>
        <w:tc>
          <w:tcPr>
            <w:tcW w:w="100" w:type="dxa"/>
            <w:vAlign w:val="bottom"/>
          </w:tcPr>
          <w:p>
            <w:pPr>
              <w:spacing w:after="0"/>
              <w:rPr>
                <w:sz w:val="19"/>
                <w:szCs w:val="19"/>
                <w:color w:val="auto"/>
              </w:rPr>
            </w:pPr>
          </w:p>
        </w:tc>
      </w:tr>
      <w:tr>
        <w:trPr>
          <w:trHeight w:val="263"/>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Awards</w:t>
            </w: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5,996,780</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4,274,721</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4,565,792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5022850</wp:posOffset>
            </wp:positionH>
            <wp:positionV relativeFrom="paragraph">
              <wp:posOffset>-24765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0"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change in new awards in both our Federal Solutions and Critical Infrastructure segments for the year ended December 31, 2023 when compared to the corresponding period last year was primarily driven by an overall increase in the number of large contract awards.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3" w:lineRule="exact"/>
        <w:rPr>
          <w:sz w:val="20"/>
          <w:szCs w:val="20"/>
          <w:color w:val="auto"/>
        </w:rPr>
      </w:pPr>
    </w:p>
    <w:p>
      <w:pPr>
        <w:ind w:left="1020" w:right="500" w:hanging="504"/>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45" w:lineRule="exact"/>
        <w:rPr>
          <w:rFonts w:ascii="Times New Roman" w:cs="Times New Roman" w:eastAsia="Times New Roman" w:hAnsi="Times New Roman"/>
          <w:sz w:val="18"/>
          <w:szCs w:val="18"/>
          <w:color w:val="auto"/>
        </w:rPr>
      </w:pPr>
    </w:p>
    <w:p>
      <w:pPr>
        <w:ind w:left="1020" w:hanging="504"/>
        <w:spacing w:after="0" w:line="246"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 Unfunded backlog does not include potential task orders expected to be awarded under multiple awards IDIQ contract vehicles, where task orders are competitively awarded and separately priced.</w:t>
      </w:r>
    </w:p>
    <w:p>
      <w:pPr>
        <w:spacing w:after="0" w:line="17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value of our backlog at the respective dates presented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520" w:type="dxa"/>
            <w:vAlign w:val="bottom"/>
            <w:vMerge w:val="restart"/>
          </w:tcPr>
          <w:p>
            <w:pPr>
              <w:ind w:left="20"/>
              <w:spacing w:after="0"/>
              <w:rPr>
                <w:sz w:val="20"/>
                <w:szCs w:val="20"/>
                <w:color w:val="auto"/>
              </w:rPr>
            </w:pPr>
            <w:r>
              <w:rPr>
                <w:rFonts w:ascii="Arial" w:cs="Arial" w:eastAsia="Arial" w:hAnsi="Arial"/>
                <w:sz w:val="18"/>
                <w:szCs w:val="18"/>
                <w:color w:val="auto"/>
              </w:rPr>
              <w:t>Federal Solutions:</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5"/>
                <w:szCs w:val="15"/>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Funded</w:t>
            </w:r>
          </w:p>
        </w:tc>
        <w:tc>
          <w:tcPr>
            <w:tcW w:w="34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1,454,581</w:t>
            </w:r>
          </w:p>
        </w:tc>
        <w:tc>
          <w:tcPr>
            <w:tcW w:w="5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1,257,537</w:t>
            </w:r>
          </w:p>
        </w:tc>
        <w:tc>
          <w:tcPr>
            <w:tcW w:w="5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80"/>
              <w:spacing w:after="0"/>
              <w:rPr>
                <w:sz w:val="20"/>
                <w:szCs w:val="20"/>
                <w:color w:val="auto"/>
              </w:rPr>
            </w:pPr>
            <w:r>
              <w:rPr>
                <w:rFonts w:ascii="Arial" w:cs="Arial" w:eastAsia="Arial" w:hAnsi="Arial"/>
                <w:sz w:val="18"/>
                <w:szCs w:val="18"/>
                <w:color w:val="auto"/>
              </w:rPr>
              <w:t>Unfunded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3,490,781</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3,586,791</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Federal Solutions</w:t>
            </w: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4,945,362</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4,844,328</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5,321,663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Critical Infrastructure: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Funded</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3,578,902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3,280,701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80"/>
              <w:spacing w:after="0"/>
              <w:rPr>
                <w:sz w:val="20"/>
                <w:szCs w:val="20"/>
                <w:color w:val="auto"/>
              </w:rPr>
            </w:pPr>
            <w:r>
              <w:rPr>
                <w:rFonts w:ascii="Arial" w:cs="Arial" w:eastAsia="Arial" w:hAnsi="Arial"/>
                <w:sz w:val="18"/>
                <w:szCs w:val="18"/>
                <w:color w:val="auto"/>
              </w:rPr>
              <w:t>Unfunded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54,216</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Critical Infrastructure</w:t>
            </w: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3,646,909</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3,334,917</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3,025,274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Total Backlog (1)</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8,592,271</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8,179,245</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8,346,937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-778510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-778510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-179070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-179070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ind w:left="520" w:right="60" w:hanging="512"/>
        <w:spacing w:after="0" w:line="252"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Difference between our backlog of $8.6 billion and our RUPO of $6.4 billion, each as of December 31, 2023, is due to (i) unissued task orders and unexercised option years, to the extent their issuance or exercise is probable, as well as (ii) contract awards, to the extent we believe contract execution and funding is probable.</w:t>
      </w:r>
    </w:p>
    <w:p>
      <w:pPr>
        <w:spacing w:after="0" w:line="171"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9"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We expect to recognize $3.8 billion of our funded backlog at December 31, 2023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 Risks Relating to Our Business—We may not realize the full value of our backlog, which may result in lower than expected revenue.”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1"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 Our backlog will fluctuate in any given period based on the volume of awards issued and the rate of revenue generated from our existing contracts.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654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21"/>
                <w:szCs w:val="21"/>
                <w:color w:val="auto"/>
              </w:rPr>
            </w:pPr>
          </w:p>
        </w:tc>
      </w:tr>
      <w:tr>
        <w:trPr>
          <w:trHeight w:val="22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Solutions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Critical Infrastructure</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29"/>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Overall</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1"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services that we are contracted to provide to the U.S. government as a result of any of these impacts or related initiatives, legislation or otherwise could have a material adverse effect on our business and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1"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well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 Engineers, LLC</w:t>
      </w:r>
    </w:p>
    <w:p>
      <w:pPr>
        <w:spacing w:after="0" w:line="10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On October 31, 2023, the Company entered into a Membership Interest Purchase Agreement to acquire a 100% ownership interest in I.S. Engineers, LLC, a privately-owned company, for $12.2 million, subject to certain adjustments. Headquartered in Texas, I.S. Engineers, LLC provides full-service consulting specializing in transportation engineering, including roads and highways, and program management. The financial results of I.S. Engineers have been included in our consolidated results of operations from October 31, 2023 onward.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Sealing Technologies, Inc.</w:t>
      </w:r>
    </w:p>
    <w:p>
      <w:pPr>
        <w:spacing w:after="0" w:line="10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On August 23, 2023, the Company acquired a 100% ownership interest in Sealing Technologies, Inc (“SealingTech”), a privately-owned company, for $179.3 million and up to an additional $25 million in the event an earn out revenue target is exceeded. Headquartered in Maryland, SealingTech expands Parsons’ customer base across the Department of Defense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The financial results of SealingTech have been included in our consolidated results of operations from August 23, 2023 onward.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IPKeys Power Partners</w:t>
      </w:r>
    </w:p>
    <w:p>
      <w:pPr>
        <w:spacing w:after="0" w:line="10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financial results of IPKeys have been included in our consolidated results of operations from April 13, 2023 onward.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Xator Corporation</w:t>
      </w:r>
    </w:p>
    <w:p>
      <w:pPr>
        <w:spacing w:after="0" w:line="101"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On May 31, 2022, the Company acquired Xator Corporation for $387.5 million. This strategic acquisition expands Parsons’ presence within the U.S. Special Operations Command, the Intelligence Community, Federal Civilian customers, and global critical infrastructure markets, while providing new customer access at the Department of State. Xator also expands Parsons’ customer base and brings differentiated technical capabilities in critical infrastructure protection, counter-unmanned aircraft systems (cUAS), intelligence and cyber solutions, biometrics, and global threat assessment and operations, increasing our addressable market in both the Federal Solutions and Critical Infrastructure segments. The financial results of Xator have been included in our consolidated results of operations from May 31, 2022 onward.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BlackHorse Solutions, Inc.</w:t>
      </w:r>
    </w:p>
    <w:p>
      <w:pPr>
        <w:spacing w:after="0" w:line="10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On July 6, 2021, the Company acquired BlackHorse for $205.0 million. BlackHorse expands Parsons’ capabilities and products in next-generation military, intelligence, and space operations, specifically in cyber electronic warfare and information dominance. The acquisition was entirely funded by cash on-hand. The financial results of BlackHorse have been included in our consolidated results of operations from July 6, 2021 onward.</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Echo Ridge LLC</w:t>
      </w:r>
    </w:p>
    <w:p>
      <w:pPr>
        <w:spacing w:after="0" w:line="101"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On July 30, 2021, the Company acquired Echo Ridge for $9.0 million. Echo Ridge adds position, navigation, and timing devices; modeling, simulation, test, and measurement tools; and deployable software defined radio products and signal processing services to Parsons’ space portfolio. The acquisition was entirely funded by cash on-hand. The financial results of Echo Ridge have been included in our consolidated results of operations from July 30, 2021 onward.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1" w:lineRule="exact"/>
        <w:rPr>
          <w:sz w:val="20"/>
          <w:szCs w:val="20"/>
          <w:color w:val="auto"/>
        </w:rPr>
      </w:pPr>
    </w:p>
    <w:p>
      <w:pPr>
        <w:jc w:val="both"/>
        <w:ind w:right="220" w:firstLine="509"/>
        <w:spacing w:after="0" w:line="252"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3" w:lineRule="exact"/>
        <w:rPr>
          <w:sz w:val="20"/>
          <w:szCs w:val="20"/>
          <w:color w:val="auto"/>
        </w:rPr>
      </w:pPr>
    </w:p>
    <w:p>
      <w:pPr>
        <w:ind w:left="1540" w:right="60" w:hanging="514"/>
        <w:spacing w:after="0" w:line="246" w:lineRule="auto"/>
        <w:tabs>
          <w:tab w:leader="none" w:pos="15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4" w:lineRule="exact"/>
        <w:rPr>
          <w:sz w:val="20"/>
          <w:szCs w:val="20"/>
          <w:color w:val="auto"/>
        </w:rPr>
      </w:pPr>
    </w:p>
    <w:p>
      <w:pPr>
        <w:jc w:val="both"/>
        <w:ind w:left="1540" w:right="280" w:hanging="514"/>
        <w:spacing w:after="0" w:line="252" w:lineRule="auto"/>
        <w:tabs>
          <w:tab w:leader="none" w:pos="15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4"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w:t>
      </w:r>
      <w:r>
        <w:rPr>
          <w:rFonts w:ascii="Arial" w:cs="Arial" w:eastAsia="Arial" w:hAnsi="Arial"/>
          <w:sz w:val="18"/>
          <w:szCs w:val="18"/>
          <w:i w:val="1"/>
          <w:iCs w:val="1"/>
          <w:color w:val="auto"/>
        </w:rPr>
        <w:t>Summary of Significant Accounting Polices</w:t>
      </w:r>
      <w:r>
        <w:rPr>
          <w:rFonts w:ascii="Arial" w:cs="Arial" w:eastAsia="Arial" w:hAnsi="Arial"/>
          <w:sz w:val="18"/>
          <w:szCs w:val="18"/>
          <w:color w:val="auto"/>
        </w:rPr>
        <w:t>” in the notes to our consolidated financial statements included elsewhere in this Annual Report on Form 10-K for a description of our policies on revenue recognition applicable to each type of contract.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Fixed-price</w:t>
            </w: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33%</w:t>
            </w:r>
          </w:p>
        </w:tc>
        <w:tc>
          <w:tcPr>
            <w:tcW w:w="16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27%</w:t>
            </w:r>
          </w:p>
        </w:tc>
        <w:tc>
          <w:tcPr>
            <w:tcW w:w="16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26%</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162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28%</w:t>
            </w:r>
          </w:p>
        </w:tc>
        <w:tc>
          <w:tcPr>
            <w:tcW w:w="162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28%</w:t>
            </w:r>
          </w:p>
        </w:tc>
      </w:tr>
      <w:tr>
        <w:trPr>
          <w:trHeight w:val="229"/>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Cost-plus</w:t>
            </w:r>
          </w:p>
        </w:tc>
        <w:tc>
          <w:tcPr>
            <w:tcW w:w="1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42%</w:t>
            </w:r>
          </w:p>
        </w:tc>
        <w:tc>
          <w:tcPr>
            <w:tcW w:w="16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45%</w:t>
            </w:r>
          </w:p>
        </w:tc>
        <w:tc>
          <w:tcPr>
            <w:tcW w:w="16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46%</w:t>
            </w:r>
          </w:p>
        </w:tc>
      </w:tr>
    </w:tbl>
    <w:p>
      <w:pPr>
        <w:spacing w:after="0" w:line="22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83"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171"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The Company is involved in a significant volume of contracts with the United States federal government and state and local governments. Approximately 55%, 53%, and 52% of consolidated revenues for the years ended December 31, 2023, December 31, 2022 and December 31, 2021, respectively were derived from contracts with the United States federal government. No other customers represented 10% or more of consolidated revenues or accounts receivable in any of the periods presented.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1"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(losses) of unconsolidated joint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ventures. Our revenues included $213.8 million in 2023, $217.4 million in 2022, and $204.7 million in 2021 related to services we provided to our unconsolidated joint ventures.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In 2023, 2022 and 2021, we made annual contributions to the ESOP in the amount of 8% of the participants’ cash compensation for the applicable year. Total ESOP contribution expense was $58.2 million for 2023, $54.7 million for 2022, and $54.9 million for fiscal 2021, and is recorded in “Direct cost of contracts” and “Selling, general and administrative expenses.” We expect operating expenses to increase due to our anticipated growth. However, on a forward-looking basis, we generally expect these costs to decline as a percentage of our total revenue as we realize the benefits of scale.</w:t>
      </w:r>
    </w:p>
    <w:p>
      <w:pPr>
        <w:spacing w:after="0" w:line="183"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3" w:lineRule="exact"/>
        <w:rPr>
          <w:sz w:val="20"/>
          <w:szCs w:val="20"/>
          <w:color w:val="auto"/>
        </w:rPr>
      </w:pPr>
    </w:p>
    <w:p>
      <w:pPr>
        <w:ind w:right="840" w:firstLine="509"/>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Interest expense consists of interest expense incurred under our Convertible Senior Notes, Credit Agreement and Delayed Draw Term</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193"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transaction gain or loss related to movements in foreign currency exchange rates, and contingent consideration.</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7" w:name="page68"/>
    <w:bookmarkEnd w:id="67"/>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2023 compared to year ended December 31, 2022</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fiscal 2023 and fiscal 2022 as a percentage of revenue.</w:t>
      </w:r>
    </w:p>
    <w:p>
      <w:pPr>
        <w:spacing w:after="0" w:line="221"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15240</wp:posOffset>
            </wp:positionV>
            <wp:extent cx="2337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37435" cy="8255"/>
                    </a:xfrm>
                    <a:prstGeom prst="rect">
                      <a:avLst/>
                    </a:prstGeom>
                    <a:noFill/>
                  </pic:spPr>
                </pic:pic>
              </a:graphicData>
            </a:graphic>
          </wp:anchor>
        </w:drawing>
      </w:r>
    </w:p>
    <w:p>
      <w:pPr>
        <w:spacing w:after="0" w:line="21" w:lineRule="exact"/>
        <w:rPr>
          <w:sz w:val="20"/>
          <w:szCs w:val="20"/>
          <w:color w:val="auto"/>
        </w:rPr>
      </w:pPr>
    </w:p>
    <w:p>
      <w:pPr>
        <w:jc w:val="right"/>
        <w:ind w:right="420"/>
        <w:spacing w:after="0"/>
        <w:tabs>
          <w:tab w:leader="none" w:pos="1260" w:val="left"/>
        </w:tabs>
        <w:rPr>
          <w:sz w:val="20"/>
          <w:szCs w:val="20"/>
          <w:color w:val="auto"/>
        </w:rPr>
      </w:pPr>
      <w:r>
        <w:rPr>
          <w:rFonts w:ascii="Arial" w:cs="Arial" w:eastAsia="Arial" w:hAnsi="Arial"/>
          <w:sz w:val="14"/>
          <w:szCs w:val="14"/>
          <w:b w:val="1"/>
          <w:bCs w:val="1"/>
          <w:color w:val="auto"/>
        </w:rPr>
        <w:t>December 31, 2023</w:t>
      </w:r>
      <w:r>
        <w:rPr>
          <w:sz w:val="20"/>
          <w:szCs w:val="20"/>
          <w:color w:val="auto"/>
        </w:rPr>
        <w:tab/>
      </w:r>
      <w:r>
        <w:rPr>
          <w:rFonts w:ascii="Arial" w:cs="Arial" w:eastAsia="Arial" w:hAnsi="Arial"/>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15240</wp:posOffset>
            </wp:positionV>
            <wp:extent cx="2337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37435"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 costs of contracts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in (losses) earnings of unconsolidated joint ventures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Selling, general and administrative expenses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income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net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other income benefit (expense)</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Income before income tax expense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expense</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income including noncontrolling interests</w:t>
      </w:r>
    </w:p>
    <w:p>
      <w:pPr>
        <w:spacing w:after="0" w:line="32" w:lineRule="exact"/>
        <w:rPr>
          <w:sz w:val="20"/>
          <w:szCs w:val="20"/>
          <w:color w:val="auto"/>
        </w:rPr>
      </w:pPr>
    </w:p>
    <w:p>
      <w:pPr>
        <w:jc w:val="right"/>
        <w:ind w:left="20" w:right="680"/>
        <w:spacing w:after="0" w:line="307" w:lineRule="auto"/>
        <w:rPr>
          <w:sz w:val="20"/>
          <w:szCs w:val="20"/>
          <w:color w:val="auto"/>
        </w:rPr>
      </w:pPr>
      <w:r>
        <w:rPr>
          <w:rFonts w:ascii="Arial" w:cs="Arial" w:eastAsia="Arial" w:hAnsi="Arial"/>
          <w:sz w:val="18"/>
          <w:szCs w:val="18"/>
          <w:color w:val="auto"/>
        </w:rPr>
        <w:t>Net income attributable to noncontrolling interests Net income attributable to Parsons Corporation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dollars in thousands)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3540"/>
        <w:spacing w:after="0"/>
        <w:tabs>
          <w:tab w:leader="none" w:pos="5460" w:val="left"/>
        </w:tabs>
        <w:rPr>
          <w:sz w:val="20"/>
          <w:szCs w:val="20"/>
          <w:color w:val="auto"/>
        </w:rPr>
      </w:pPr>
      <w:r>
        <w:rPr>
          <w:rFonts w:ascii="Arial" w:cs="Arial" w:eastAsia="Arial" w:hAnsi="Arial"/>
          <w:sz w:val="18"/>
          <w:szCs w:val="18"/>
          <w:color w:val="auto"/>
        </w:rPr>
        <w:t>100.0 %</w:t>
      </w:r>
      <w:r>
        <w:rPr>
          <w:sz w:val="20"/>
          <w:szCs w:val="20"/>
          <w:color w:val="auto"/>
        </w:rPr>
        <w:tab/>
      </w:r>
      <w:r>
        <w:rPr>
          <w:rFonts w:ascii="Arial" w:cs="Arial" w:eastAsia="Arial" w:hAnsi="Arial"/>
          <w:sz w:val="17"/>
          <w:szCs w:val="17"/>
          <w:color w:val="auto"/>
        </w:rPr>
        <w:t>100.0 %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-129540</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 w:lineRule="exact"/>
        <w:rPr>
          <w:sz w:val="20"/>
          <w:szCs w:val="20"/>
          <w:color w:val="auto"/>
        </w:rPr>
      </w:pPr>
    </w:p>
    <w:p>
      <w:pPr>
        <w:ind w:left="3640"/>
        <w:spacing w:after="0"/>
        <w:tabs>
          <w:tab w:leader="none" w:pos="5560" w:val="left"/>
        </w:tabs>
        <w:rPr>
          <w:sz w:val="20"/>
          <w:szCs w:val="20"/>
          <w:color w:val="auto"/>
        </w:rPr>
      </w:pPr>
      <w:r>
        <w:rPr>
          <w:rFonts w:ascii="Arial" w:cs="Arial" w:eastAsia="Arial" w:hAnsi="Arial"/>
          <w:sz w:val="18"/>
          <w:szCs w:val="18"/>
          <w:color w:val="auto"/>
        </w:rPr>
        <w:t>77.8 %</w:t>
      </w:r>
      <w:r>
        <w:rPr>
          <w:sz w:val="20"/>
          <w:szCs w:val="20"/>
          <w:color w:val="auto"/>
        </w:rPr>
        <w:tab/>
      </w:r>
      <w:r>
        <w:rPr>
          <w:rFonts w:ascii="Arial" w:cs="Arial" w:eastAsia="Arial" w:hAnsi="Arial"/>
          <w:sz w:val="17"/>
          <w:szCs w:val="17"/>
          <w:color w:val="auto"/>
        </w:rPr>
        <w:t>77.4 %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11430</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3680"/>
        <w:spacing w:after="0"/>
        <w:tabs>
          <w:tab w:leader="none" w:pos="5660" w:val="left"/>
        </w:tabs>
        <w:rPr>
          <w:sz w:val="20"/>
          <w:szCs w:val="20"/>
          <w:color w:val="auto"/>
        </w:rPr>
      </w:pPr>
      <w:r>
        <w:rPr>
          <w:rFonts w:ascii="Arial" w:cs="Arial" w:eastAsia="Arial" w:hAnsi="Arial"/>
          <w:sz w:val="18"/>
          <w:szCs w:val="18"/>
          <w:color w:val="auto"/>
        </w:rPr>
        <w:t>(0.9 )%</w:t>
      </w:r>
      <w:r>
        <w:rPr>
          <w:sz w:val="20"/>
          <w:szCs w:val="20"/>
          <w:color w:val="auto"/>
        </w:rPr>
        <w:tab/>
      </w:r>
      <w:r>
        <w:rPr>
          <w:rFonts w:ascii="Arial" w:cs="Arial" w:eastAsia="Arial" w:hAnsi="Arial"/>
          <w:sz w:val="17"/>
          <w:szCs w:val="17"/>
          <w:color w:val="auto"/>
        </w:rPr>
        <w:t>0.4 %</w:t>
      </w:r>
    </w:p>
    <w:p>
      <w:pPr>
        <w:spacing w:after="0" w:line="22" w:lineRule="exact"/>
        <w:rPr>
          <w:sz w:val="20"/>
          <w:szCs w:val="20"/>
          <w:color w:val="auto"/>
        </w:rPr>
      </w:pPr>
    </w:p>
    <w:p>
      <w:pPr>
        <w:ind w:left="3640"/>
        <w:spacing w:after="0"/>
        <w:tabs>
          <w:tab w:leader="none" w:pos="5560" w:val="left"/>
        </w:tabs>
        <w:rPr>
          <w:sz w:val="20"/>
          <w:szCs w:val="20"/>
          <w:color w:val="auto"/>
        </w:rPr>
      </w:pPr>
      <w:r>
        <w:rPr>
          <w:rFonts w:ascii="Arial" w:cs="Arial" w:eastAsia="Arial" w:hAnsi="Arial"/>
          <w:sz w:val="18"/>
          <w:szCs w:val="18"/>
          <w:color w:val="auto"/>
        </w:rPr>
        <w:t>16.0 %</w:t>
      </w:r>
      <w:r>
        <w:rPr>
          <w:sz w:val="20"/>
          <w:szCs w:val="20"/>
          <w:color w:val="auto"/>
        </w:rPr>
        <w:tab/>
      </w:r>
      <w:r>
        <w:rPr>
          <w:rFonts w:ascii="Arial" w:cs="Arial" w:eastAsia="Arial" w:hAnsi="Arial"/>
          <w:sz w:val="17"/>
          <w:szCs w:val="17"/>
          <w:color w:val="auto"/>
        </w:rPr>
        <w:t>18.5 %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11430</wp:posOffset>
            </wp:positionV>
            <wp:extent cx="2337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37435" cy="8255"/>
                    </a:xfrm>
                    <a:prstGeom prst="rect">
                      <a:avLst/>
                    </a:prstGeom>
                    <a:noFill/>
                  </pic:spPr>
                </pic:pic>
              </a:graphicData>
            </a:graphic>
          </wp:anchor>
        </w:drawing>
      </w:r>
    </w:p>
    <w:p>
      <w:pPr>
        <w:spacing w:after="0" w:line="6" w:lineRule="exact"/>
        <w:rPr>
          <w:sz w:val="20"/>
          <w:szCs w:val="20"/>
          <w:color w:val="auto"/>
        </w:rPr>
      </w:pPr>
    </w:p>
    <w:p>
      <w:pPr>
        <w:ind w:left="3740"/>
        <w:spacing w:after="0"/>
        <w:tabs>
          <w:tab w:leader="none" w:pos="5660" w:val="left"/>
        </w:tabs>
        <w:rPr>
          <w:sz w:val="20"/>
          <w:szCs w:val="20"/>
          <w:color w:val="auto"/>
        </w:rPr>
      </w:pPr>
      <w:r>
        <w:rPr>
          <w:rFonts w:ascii="Arial" w:cs="Arial" w:eastAsia="Arial" w:hAnsi="Arial"/>
          <w:sz w:val="18"/>
          <w:szCs w:val="18"/>
          <w:color w:val="auto"/>
        </w:rPr>
        <w:t>5.3 %</w:t>
      </w:r>
      <w:r>
        <w:rPr>
          <w:sz w:val="20"/>
          <w:szCs w:val="20"/>
          <w:color w:val="auto"/>
        </w:rPr>
        <w:tab/>
      </w:r>
      <w:r>
        <w:rPr>
          <w:rFonts w:ascii="Arial" w:cs="Arial" w:eastAsia="Arial" w:hAnsi="Arial"/>
          <w:sz w:val="17"/>
          <w:szCs w:val="17"/>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-127635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740"/>
        <w:spacing w:after="0"/>
        <w:tabs>
          <w:tab w:leader="none" w:pos="5660" w:val="left"/>
        </w:tabs>
        <w:rPr>
          <w:sz w:val="20"/>
          <w:szCs w:val="20"/>
          <w:color w:val="auto"/>
        </w:rPr>
      </w:pPr>
      <w:r>
        <w:rPr>
          <w:rFonts w:ascii="Arial" w:cs="Arial" w:eastAsia="Arial" w:hAnsi="Arial"/>
          <w:sz w:val="18"/>
          <w:szCs w:val="18"/>
          <w:color w:val="auto"/>
        </w:rPr>
        <w:t>0.0 %</w:t>
      </w:r>
      <w:r>
        <w:rPr>
          <w:sz w:val="20"/>
          <w:szCs w:val="20"/>
          <w:color w:val="auto"/>
        </w:rPr>
        <w:tab/>
      </w:r>
      <w:r>
        <w:rPr>
          <w:rFonts w:ascii="Arial" w:cs="Arial" w:eastAsia="Arial" w:hAnsi="Arial"/>
          <w:sz w:val="17"/>
          <w:szCs w:val="17"/>
          <w:color w:val="auto"/>
        </w:rPr>
        <w:t>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17780</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3680"/>
        <w:spacing w:after="0"/>
        <w:tabs>
          <w:tab w:leader="none" w:pos="5600" w:val="left"/>
        </w:tabs>
        <w:rPr>
          <w:sz w:val="20"/>
          <w:szCs w:val="20"/>
          <w:color w:val="auto"/>
        </w:rPr>
      </w:pPr>
      <w:r>
        <w:rPr>
          <w:rFonts w:ascii="Arial" w:cs="Arial" w:eastAsia="Arial" w:hAnsi="Arial"/>
          <w:sz w:val="18"/>
          <w:szCs w:val="18"/>
          <w:color w:val="auto"/>
        </w:rPr>
        <w:t>(0.6 )%</w:t>
      </w:r>
      <w:r>
        <w:rPr>
          <w:sz w:val="20"/>
          <w:szCs w:val="20"/>
          <w:color w:val="auto"/>
        </w:rPr>
        <w:tab/>
      </w:r>
      <w:r>
        <w:rPr>
          <w:rFonts w:ascii="Arial" w:cs="Arial" w:eastAsia="Arial" w:hAnsi="Arial"/>
          <w:sz w:val="16"/>
          <w:szCs w:val="16"/>
          <w:color w:val="auto"/>
        </w:rPr>
        <w:t>(0.6 )%</w:t>
      </w:r>
    </w:p>
    <w:p>
      <w:pPr>
        <w:spacing w:after="0" w:line="22" w:lineRule="exact"/>
        <w:rPr>
          <w:sz w:val="20"/>
          <w:szCs w:val="20"/>
          <w:color w:val="auto"/>
        </w:rPr>
      </w:pPr>
    </w:p>
    <w:p>
      <w:pPr>
        <w:ind w:left="3740"/>
        <w:spacing w:after="0"/>
        <w:tabs>
          <w:tab w:leader="none" w:pos="5660" w:val="left"/>
        </w:tabs>
        <w:rPr>
          <w:sz w:val="20"/>
          <w:szCs w:val="20"/>
          <w:color w:val="auto"/>
        </w:rPr>
      </w:pPr>
      <w:r>
        <w:rPr>
          <w:rFonts w:ascii="Arial" w:cs="Arial" w:eastAsia="Arial" w:hAnsi="Arial"/>
          <w:sz w:val="18"/>
          <w:szCs w:val="18"/>
          <w:color w:val="auto"/>
        </w:rPr>
        <w:t>0.1 %</w:t>
      </w:r>
      <w:r>
        <w:rPr>
          <w:sz w:val="20"/>
          <w:szCs w:val="20"/>
          <w:color w:val="auto"/>
        </w:rPr>
        <w:tab/>
      </w:r>
      <w:r>
        <w:rPr>
          <w:rFonts w:ascii="Arial" w:cs="Arial" w:eastAsia="Arial" w:hAnsi="Arial"/>
          <w:sz w:val="17"/>
          <w:szCs w:val="17"/>
          <w:color w:val="auto"/>
        </w:rPr>
        <w:t>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11430</wp:posOffset>
            </wp:positionV>
            <wp:extent cx="2337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37435" cy="8255"/>
                    </a:xfrm>
                    <a:prstGeom prst="rect">
                      <a:avLst/>
                    </a:prstGeom>
                    <a:noFill/>
                  </pic:spPr>
                </pic:pic>
              </a:graphicData>
            </a:graphic>
          </wp:anchor>
        </w:drawing>
      </w:r>
    </w:p>
    <w:p>
      <w:pPr>
        <w:spacing w:after="0" w:line="6" w:lineRule="exact"/>
        <w:rPr>
          <w:sz w:val="20"/>
          <w:szCs w:val="20"/>
          <w:color w:val="auto"/>
        </w:rPr>
      </w:pPr>
    </w:p>
    <w:p>
      <w:pPr>
        <w:ind w:left="3680"/>
        <w:spacing w:after="0"/>
        <w:tabs>
          <w:tab w:leader="none" w:pos="5600" w:val="left"/>
        </w:tabs>
        <w:rPr>
          <w:sz w:val="20"/>
          <w:szCs w:val="20"/>
          <w:color w:val="auto"/>
        </w:rPr>
      </w:pPr>
      <w:r>
        <w:rPr>
          <w:rFonts w:ascii="Arial" w:cs="Arial" w:eastAsia="Arial" w:hAnsi="Arial"/>
          <w:sz w:val="18"/>
          <w:szCs w:val="18"/>
          <w:color w:val="auto"/>
        </w:rPr>
        <w:t>(0.4 )%</w:t>
      </w:r>
      <w:r>
        <w:rPr>
          <w:sz w:val="20"/>
          <w:szCs w:val="20"/>
          <w:color w:val="auto"/>
        </w:rPr>
        <w:tab/>
      </w:r>
      <w:r>
        <w:rPr>
          <w:rFonts w:ascii="Arial" w:cs="Arial" w:eastAsia="Arial" w:hAnsi="Arial"/>
          <w:sz w:val="16"/>
          <w:szCs w:val="16"/>
          <w:color w:val="auto"/>
        </w:rPr>
        <w:t>(0.5 )%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-127635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740"/>
        <w:spacing w:after="0"/>
        <w:tabs>
          <w:tab w:leader="none" w:pos="5660" w:val="left"/>
        </w:tabs>
        <w:rPr>
          <w:sz w:val="20"/>
          <w:szCs w:val="20"/>
          <w:color w:val="auto"/>
        </w:rPr>
      </w:pPr>
      <w:r>
        <w:rPr>
          <w:rFonts w:ascii="Arial" w:cs="Arial" w:eastAsia="Arial" w:hAnsi="Arial"/>
          <w:sz w:val="18"/>
          <w:szCs w:val="18"/>
          <w:color w:val="auto"/>
        </w:rPr>
        <w:t>4.9 %</w:t>
      </w:r>
      <w:r>
        <w:rPr>
          <w:sz w:val="20"/>
          <w:szCs w:val="20"/>
          <w:color w:val="auto"/>
        </w:rPr>
        <w:tab/>
      </w:r>
      <w:r>
        <w:rPr>
          <w:rFonts w:ascii="Arial" w:cs="Arial" w:eastAsia="Arial" w:hAnsi="Arial"/>
          <w:sz w:val="17"/>
          <w:szCs w:val="17"/>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17780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3680"/>
        <w:spacing w:after="0"/>
        <w:tabs>
          <w:tab w:leader="none" w:pos="5600" w:val="left"/>
        </w:tabs>
        <w:rPr>
          <w:sz w:val="20"/>
          <w:szCs w:val="20"/>
          <w:color w:val="auto"/>
        </w:rPr>
      </w:pPr>
      <w:r>
        <w:rPr>
          <w:rFonts w:ascii="Arial" w:cs="Arial" w:eastAsia="Arial" w:hAnsi="Arial"/>
          <w:sz w:val="18"/>
          <w:szCs w:val="18"/>
          <w:color w:val="auto"/>
        </w:rPr>
        <w:t>(1.0 )%</w:t>
      </w:r>
      <w:r>
        <w:rPr>
          <w:sz w:val="20"/>
          <w:szCs w:val="20"/>
          <w:color w:val="auto"/>
        </w:rPr>
        <w:tab/>
      </w:r>
      <w:r>
        <w:rPr>
          <w:rFonts w:ascii="Arial" w:cs="Arial" w:eastAsia="Arial" w:hAnsi="Arial"/>
          <w:sz w:val="16"/>
          <w:szCs w:val="16"/>
          <w:color w:val="auto"/>
        </w:rPr>
        <w:t>(0.9 )%</w:t>
      </w:r>
    </w:p>
    <w:p>
      <w:pPr>
        <w:spacing w:after="0" w:line="26" w:lineRule="exact"/>
        <w:rPr>
          <w:sz w:val="20"/>
          <w:szCs w:val="20"/>
          <w:color w:val="auto"/>
        </w:rPr>
      </w:pPr>
    </w:p>
    <w:p>
      <w:pPr>
        <w:ind w:left="3740"/>
        <w:spacing w:after="0"/>
        <w:tabs>
          <w:tab w:leader="none" w:pos="5660" w:val="left"/>
        </w:tabs>
        <w:rPr>
          <w:sz w:val="20"/>
          <w:szCs w:val="20"/>
          <w:color w:val="auto"/>
        </w:rPr>
      </w:pPr>
      <w:r>
        <w:rPr>
          <w:rFonts w:ascii="Arial" w:cs="Arial" w:eastAsia="Arial" w:hAnsi="Arial"/>
          <w:sz w:val="18"/>
          <w:szCs w:val="18"/>
          <w:color w:val="auto"/>
        </w:rPr>
        <w:t>3.8 %</w:t>
      </w:r>
      <w:r>
        <w:rPr>
          <w:sz w:val="20"/>
          <w:szCs w:val="20"/>
          <w:color w:val="auto"/>
        </w:rPr>
        <w:tab/>
      </w:r>
      <w:r>
        <w:rPr>
          <w:rFonts w:ascii="Arial" w:cs="Arial" w:eastAsia="Arial" w:hAnsi="Arial"/>
          <w:sz w:val="17"/>
          <w:szCs w:val="17"/>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17780</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3680"/>
        <w:spacing w:after="0"/>
        <w:tabs>
          <w:tab w:leader="none" w:pos="5600" w:val="left"/>
        </w:tabs>
        <w:rPr>
          <w:sz w:val="20"/>
          <w:szCs w:val="20"/>
          <w:color w:val="auto"/>
        </w:rPr>
      </w:pPr>
      <w:r>
        <w:rPr>
          <w:rFonts w:ascii="Arial" w:cs="Arial" w:eastAsia="Arial" w:hAnsi="Arial"/>
          <w:sz w:val="18"/>
          <w:szCs w:val="18"/>
          <w:color w:val="auto"/>
        </w:rPr>
        <w:t>(0.9 )%</w:t>
      </w:r>
      <w:r>
        <w:rPr>
          <w:sz w:val="20"/>
          <w:szCs w:val="20"/>
          <w:color w:val="auto"/>
        </w:rPr>
        <w:tab/>
      </w:r>
      <w:r>
        <w:rPr>
          <w:rFonts w:ascii="Arial" w:cs="Arial" w:eastAsia="Arial" w:hAnsi="Arial"/>
          <w:sz w:val="16"/>
          <w:szCs w:val="16"/>
          <w:color w:val="auto"/>
        </w:rPr>
        <w:t>(0.7 )%</w:t>
      </w:r>
    </w:p>
    <w:p>
      <w:pPr>
        <w:spacing w:after="0" w:line="26" w:lineRule="exact"/>
        <w:rPr>
          <w:sz w:val="20"/>
          <w:szCs w:val="20"/>
          <w:color w:val="auto"/>
        </w:rPr>
      </w:pPr>
    </w:p>
    <w:p>
      <w:pPr>
        <w:ind w:left="3740"/>
        <w:spacing w:after="0"/>
        <w:tabs>
          <w:tab w:leader="none" w:pos="5660" w:val="left"/>
        </w:tabs>
        <w:rPr>
          <w:sz w:val="20"/>
          <w:szCs w:val="20"/>
          <w:color w:val="auto"/>
        </w:rPr>
      </w:pPr>
      <w:r>
        <w:rPr>
          <w:rFonts w:ascii="Arial" w:cs="Arial" w:eastAsia="Arial" w:hAnsi="Arial"/>
          <w:sz w:val="18"/>
          <w:szCs w:val="18"/>
          <w:color w:val="auto"/>
        </w:rPr>
        <w:t>3.0 %</w:t>
      </w:r>
      <w:r>
        <w:rPr>
          <w:sz w:val="20"/>
          <w:szCs w:val="20"/>
          <w:color w:val="auto"/>
        </w:rPr>
        <w:tab/>
      </w:r>
      <w:r>
        <w:rPr>
          <w:rFonts w:ascii="Arial" w:cs="Arial" w:eastAsia="Arial" w:hAnsi="Arial"/>
          <w:sz w:val="17"/>
          <w:szCs w:val="17"/>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17780</wp:posOffset>
            </wp:positionV>
            <wp:extent cx="23374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3743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Variance</w:t>
            </w:r>
          </w:p>
        </w:tc>
      </w:tr>
      <w:tr>
        <w:trPr>
          <w:trHeight w:val="160"/>
        </w:trPr>
        <w:tc>
          <w:tcPr>
            <w:tcW w:w="1420" w:type="dxa"/>
            <w:vAlign w:val="bottom"/>
          </w:tcPr>
          <w:p>
            <w:pPr>
              <w:jc w:val="center"/>
              <w:ind w:right="88"/>
              <w:spacing w:after="0" w:line="159" w:lineRule="exact"/>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center"/>
              <w:ind w:left="68"/>
              <w:spacing w:after="0" w:line="15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96"/>
        </w:trPr>
        <w:tc>
          <w:tcPr>
            <w:tcW w:w="14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14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980" w:type="dxa"/>
            <w:vAlign w:val="bottom"/>
          </w:tcPr>
          <w:p>
            <w:pPr>
              <w:ind w:left="440"/>
              <w:spacing w:after="0"/>
              <w:rPr>
                <w:sz w:val="20"/>
                <w:szCs w:val="20"/>
                <w:color w:val="auto"/>
              </w:rPr>
            </w:pPr>
            <w:r>
              <w:rPr>
                <w:rFonts w:ascii="Arial" w:cs="Arial" w:eastAsia="Arial" w:hAnsi="Arial"/>
                <w:sz w:val="14"/>
                <w:szCs w:val="14"/>
                <w:b w:val="1"/>
                <w:bCs w:val="1"/>
                <w:color w:val="auto"/>
              </w:rPr>
              <w:t>Dollar</w:t>
            </w:r>
          </w:p>
        </w:tc>
        <w:tc>
          <w:tcPr>
            <w:tcW w:w="1860" w:type="dxa"/>
            <w:vAlign w:val="bottom"/>
          </w:tcPr>
          <w:p>
            <w:pPr>
              <w:ind w:left="920"/>
              <w:spacing w:after="0"/>
              <w:rPr>
                <w:sz w:val="20"/>
                <w:szCs w:val="20"/>
                <w:color w:val="auto"/>
              </w:rPr>
            </w:pPr>
            <w:r>
              <w:rPr>
                <w:rFonts w:ascii="Arial" w:cs="Arial" w:eastAsia="Arial" w:hAnsi="Arial"/>
                <w:sz w:val="14"/>
                <w:szCs w:val="14"/>
                <w:b w:val="1"/>
                <w:bCs w:val="1"/>
                <w:color w:val="auto"/>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-6985</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4700" w:space="480"/>
            <w:col w:w="6160"/>
          </w:cols>
          <w:pgMar w:left="320" w:top="1440" w:right="239" w:bottom="1440" w:gutter="0" w:footer="0" w:header="0"/>
          <w:type w:val="continuous"/>
        </w:sectPr>
      </w:pPr>
    </w:p>
    <w:p>
      <w:pPr>
        <w:ind w:left="20"/>
        <w:spacing w:after="0"/>
        <w:tabs>
          <w:tab w:leader="none" w:pos="5160" w:val="left"/>
          <w:tab w:leader="none" w:pos="5640" w:val="left"/>
          <w:tab w:leader="none" w:pos="6760" w:val="left"/>
          <w:tab w:leader="none" w:pos="7220" w:val="left"/>
          <w:tab w:leader="none" w:pos="8300" w:val="left"/>
          <w:tab w:leader="none" w:pos="8740" w:val="left"/>
          <w:tab w:leader="none" w:pos="1074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5,442,749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4,195,272</w:t>
        <w:tab/>
        <w:t>$</w:t>
      </w:r>
      <w:r>
        <w:rPr>
          <w:sz w:val="20"/>
          <w:szCs w:val="20"/>
          <w:color w:val="auto"/>
        </w:rPr>
        <w:tab/>
      </w:r>
      <w:r>
        <w:rPr>
          <w:rFonts w:ascii="Arial" w:cs="Arial" w:eastAsia="Arial" w:hAnsi="Arial"/>
          <w:sz w:val="18"/>
          <w:szCs w:val="18"/>
          <w:color w:val="auto"/>
        </w:rPr>
        <w:t>1,247,477</w:t>
      </w:r>
      <w:r>
        <w:rPr>
          <w:sz w:val="20"/>
          <w:szCs w:val="20"/>
          <w:color w:val="auto"/>
        </w:rPr>
        <w:tab/>
      </w:r>
      <w:r>
        <w:rPr>
          <w:rFonts w:ascii="Arial" w:cs="Arial" w:eastAsia="Arial" w:hAnsi="Arial"/>
          <w:sz w:val="17"/>
          <w:szCs w:val="17"/>
          <w:color w:val="auto"/>
        </w:rPr>
        <w:t>29.7 %</w:t>
      </w:r>
    </w:p>
    <w:p>
      <w:pPr>
        <w:spacing w:after="0" w:line="221"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Revenue for the year ended December 31, 2023 compared to the prior year increased $1.2 billion. Revenue increased in both the Federal Solutions and Critical Infrastructure segments by $807.7 million and $439.8 million, respectively. See “—Segment Results” below for further discussion.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Fiscal Year Ended</w:t>
            </w: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Direct cost of contracts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4,236,735</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3,248,550</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988,185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4"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Direct cost of contracts for the year ended December 31, 2023 compared to the prior year increased $988.2 million. Direct cost of contracts increased in both the Federal Solutions and Critical Infrastructure segments by $672.1 million and $316.1 million, respectively. The increases were primarily due to an increase in business volume and from business acquisitions offset by a decrease of $37.9 million in the Critical Infrastructure segment related to a legal matter on a previously completed contract.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earnings of unconsolidated joint ventures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Fiscal Year Ended</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7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December 31, 2023</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ind w:left="18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Percent</w:t>
            </w:r>
          </w:p>
        </w:tc>
      </w:tr>
      <w:tr>
        <w:trPr>
          <w:trHeight w:val="190"/>
        </w:trPr>
        <w:tc>
          <w:tcPr>
            <w:tcW w:w="4860" w:type="dxa"/>
            <w:vAlign w:val="bottom"/>
          </w:tcPr>
          <w:p>
            <w:pPr>
              <w:ind w:left="20"/>
              <w:spacing w:after="0" w:line="190" w:lineRule="exact"/>
              <w:rPr>
                <w:sz w:val="20"/>
                <w:szCs w:val="20"/>
                <w:color w:val="auto"/>
              </w:rPr>
            </w:pPr>
            <w:r>
              <w:rPr>
                <w:rFonts w:ascii="Arial" w:cs="Arial" w:eastAsia="Arial" w:hAnsi="Arial"/>
                <w:sz w:val="18"/>
                <w:szCs w:val="18"/>
                <w:color w:val="auto"/>
              </w:rPr>
              <w:t>Equity in (losses) earnings of unconsolidated joint</w:t>
            </w: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5"/>
        </w:trPr>
        <w:tc>
          <w:tcPr>
            <w:tcW w:w="4860" w:type="dxa"/>
            <w:vAlign w:val="bottom"/>
          </w:tcPr>
          <w:p>
            <w:pPr>
              <w:ind w:left="20"/>
              <w:spacing w:after="0"/>
              <w:rPr>
                <w:sz w:val="20"/>
                <w:szCs w:val="20"/>
                <w:color w:val="auto"/>
              </w:rPr>
            </w:pPr>
            <w:r>
              <w:rPr>
                <w:rFonts w:ascii="Arial" w:cs="Arial" w:eastAsia="Arial" w:hAnsi="Arial"/>
                <w:sz w:val="18"/>
                <w:szCs w:val="18"/>
                <w:color w:val="auto"/>
              </w:rPr>
              <w:t>ventures</w:t>
            </w:r>
          </w:p>
        </w:tc>
        <w:tc>
          <w:tcPr>
            <w:tcW w:w="380" w:type="dxa"/>
            <w:vAlign w:val="bottom"/>
          </w:tcPr>
          <w:p>
            <w:pPr>
              <w:jc w:val="right"/>
              <w:ind w:right="179"/>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(47,751 )</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16,347</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(64,098 )</w:t>
            </w:r>
          </w:p>
        </w:tc>
        <w:tc>
          <w:tcPr>
            <w:tcW w:w="3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(392.1 )%</w:t>
            </w:r>
          </w:p>
        </w:tc>
      </w:tr>
      <w:tr>
        <w:trPr>
          <w:trHeight w:val="881"/>
        </w:trPr>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496"/>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-1318260</wp:posOffset>
            </wp:positionV>
            <wp:extent cx="7132320" cy="273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68" w:name="page69"/>
    <w:bookmarkEnd w:id="68"/>
    <w:p>
      <w:pPr>
        <w:spacing w:after="0" w:line="16"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Equity in (losses) earnings of unconsolidated joint ventures for the year ended December 31, 2023 decreased by $64.1 million compared to the prior year. The decrease was primarily related to write-downs on joint ventures of $83.4 million.</w:t>
      </w:r>
    </w:p>
    <w:p>
      <w:pPr>
        <w:spacing w:after="0" w:line="153"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$57.9 million of the joint venture write-downs related to Parsons’ participation in a design build joint venture. The write-down relates to supply chain challenges identified during the procurement of materials which impacted the estimate to complete the project.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Fiscal Year Ended</w:t>
            </w:r>
          </w:p>
        </w:tc>
        <w:tc>
          <w:tcPr>
            <w:tcW w:w="8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869,905</w:t>
            </w:r>
          </w:p>
        </w:tc>
        <w:tc>
          <w:tcPr>
            <w:tcW w:w="9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777,403</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92,502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0"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SG&amp;A expenses for the year ended December 31, 2023 increased by $92.5 million compared to the prior year. The increase in SG&amp;A was primarily due to an increase of $35.9 million related to employee incentive programs, a $ 23.7 million increase from business acquisitions, a $17.0 million increase primarily related to business development and sales activities, and a $7.3 million increase in general liability insurance costs. As a percent of revenue, our SG&amp;A declined from 18.5% in 2022 to 16.0% in 2023.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1154"/>
              <w:spacing w:after="0"/>
              <w:rPr>
                <w:sz w:val="20"/>
                <w:szCs w:val="20"/>
                <w:color w:val="auto"/>
              </w:rPr>
            </w:pPr>
            <w:r>
              <w:rPr>
                <w:rFonts w:ascii="Arial" w:cs="Arial" w:eastAsia="Arial" w:hAnsi="Arial"/>
                <w:sz w:val="14"/>
                <w:szCs w:val="14"/>
                <w:b w:val="1"/>
                <w:bCs w:val="1"/>
                <w:color w:val="auto"/>
              </w:rPr>
              <w:t>Fiscal Year Ended</w:t>
            </w:r>
          </w:p>
        </w:tc>
        <w:tc>
          <w:tcPr>
            <w:tcW w:w="3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Variance</w:t>
            </w:r>
          </w:p>
        </w:tc>
        <w:tc>
          <w:tcPr>
            <w:tcW w:w="1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December 31, 2023</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2,191</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966</w:t>
            </w:r>
          </w:p>
        </w:tc>
        <w:tc>
          <w:tcPr>
            <w:tcW w:w="300" w:type="dxa"/>
            <w:vAlign w:val="bottom"/>
          </w:tcPr>
          <w:p>
            <w:pPr>
              <w:spacing w:after="0"/>
              <w:rPr>
                <w:sz w:val="19"/>
                <w:szCs w:val="19"/>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126.8 %</w:t>
            </w:r>
          </w:p>
        </w:tc>
        <w:tc>
          <w:tcPr>
            <w:tcW w:w="0" w:type="dxa"/>
            <w:vAlign w:val="bottom"/>
          </w:tcPr>
          <w:p>
            <w:pPr>
              <w:spacing w:after="0"/>
              <w:rPr>
                <w:sz w:val="1"/>
                <w:szCs w:val="1"/>
                <w:color w:val="auto"/>
              </w:rPr>
            </w:pPr>
          </w:p>
        </w:tc>
      </w:tr>
      <w:tr>
        <w:trPr>
          <w:trHeight w:val="229"/>
        </w:trPr>
        <w:tc>
          <w:tcPr>
            <w:tcW w:w="34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(31,497 )</w:t>
            </w:r>
          </w:p>
        </w:tc>
        <w:tc>
          <w:tcPr>
            <w:tcW w:w="16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(23,185 )</w:t>
            </w:r>
          </w:p>
        </w:tc>
        <w:tc>
          <w:tcPr>
            <w:tcW w:w="1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(8,312 )</w:t>
            </w:r>
          </w:p>
        </w:tc>
        <w:tc>
          <w:tcPr>
            <w:tcW w:w="4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r>
        <w:trPr>
          <w:trHeight w:val="229"/>
        </w:trPr>
        <w:tc>
          <w:tcPr>
            <w:tcW w:w="344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2,775</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80.2 %</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280"/>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(24,305 )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(19,444 )</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(4,861 )</w:t>
            </w:r>
          </w:p>
        </w:tc>
        <w:tc>
          <w:tcPr>
            <w:tcW w:w="4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3"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Interest income increased for the year ended December 31, 2023 compared to the corresponding period last year primarily due to an increase in interest rates compared to the prior year on investments in government money funds.</w:t>
      </w:r>
    </w:p>
    <w:p>
      <w:pPr>
        <w:spacing w:after="0" w:line="153"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Interest expense increased for the year ended December 31, 2023 compared to the corresponding period last year primarily due to higher interest rates on borrowings.</w:t>
      </w:r>
    </w:p>
    <w:p>
      <w:pPr>
        <w:spacing w:after="0" w:line="153"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The amounts in other income (expense), net, are primarily related to transaction gains and losses on foreign currency transactions, sublease income, and contingent consideration.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4"/>
          </w:tcPr>
          <w:p>
            <w:pPr>
              <w:jc w:val="right"/>
              <w:ind w:right="1299"/>
              <w:spacing w:after="0"/>
              <w:rPr>
                <w:sz w:val="20"/>
                <w:szCs w:val="20"/>
                <w:color w:val="auto"/>
              </w:rPr>
            </w:pPr>
            <w:r>
              <w:rPr>
                <w:rFonts w:ascii="Arial" w:cs="Arial" w:eastAsia="Arial" w:hAnsi="Arial"/>
                <w:sz w:val="14"/>
                <w:szCs w:val="14"/>
                <w:b w:val="1"/>
                <w:bCs w:val="1"/>
                <w:color w:val="auto"/>
              </w:rPr>
              <w:t>Fiscal Year Ended</w:t>
            </w:r>
          </w:p>
        </w:tc>
        <w:tc>
          <w:tcPr>
            <w:tcW w:w="3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Variance</w:t>
            </w:r>
          </w:p>
        </w:tc>
        <w:tc>
          <w:tcPr>
            <w:tcW w:w="1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December 31, 2023</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56,138</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39,657</w:t>
            </w:r>
          </w:p>
        </w:tc>
        <w:tc>
          <w:tcPr>
            <w:tcW w:w="1480" w:type="dxa"/>
            <w:vAlign w:val="bottom"/>
            <w:gridSpan w:val="2"/>
          </w:tcPr>
          <w:p>
            <w:pPr>
              <w:jc w:val="right"/>
              <w:ind w:right="98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16,481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7" w:lineRule="exact"/>
        <w:rPr>
          <w:sz w:val="20"/>
          <w:szCs w:val="20"/>
          <w:color w:val="auto"/>
        </w:rPr>
      </w:pPr>
    </w:p>
    <w:p>
      <w:pPr>
        <w:ind w:right="460" w:firstLine="509"/>
        <w:spacing w:after="0" w:line="301" w:lineRule="auto"/>
        <w:rPr>
          <w:sz w:val="20"/>
          <w:szCs w:val="20"/>
          <w:color w:val="auto"/>
        </w:rPr>
      </w:pPr>
      <w:r>
        <w:rPr>
          <w:rFonts w:ascii="Arial" w:cs="Arial" w:eastAsia="Arial" w:hAnsi="Arial"/>
          <w:sz w:val="17"/>
          <w:szCs w:val="17"/>
          <w:color w:val="auto"/>
        </w:rPr>
        <w:t>Income tax expense increased in fiscal 2023 primarily due to an increase in overall earnings and an increase in foreign withholding taxes partially offset by increases in the foreign-derived intangible income (FDII) deduction and earnings in lower tax jurisdictions.</w:t>
      </w: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9" w:name="page70"/>
    <w:bookmarkEnd w:id="69"/>
    <w:p>
      <w:pPr>
        <w:spacing w:after="0" w:line="191" w:lineRule="exact"/>
        <w:rPr>
          <w:sz w:val="20"/>
          <w:szCs w:val="20"/>
          <w:color w:val="auto"/>
        </w:rPr>
      </w:pPr>
    </w:p>
    <w:p>
      <w:pPr>
        <w:ind w:right="220" w:firstLine="509"/>
        <w:spacing w:after="0" w:line="266" w:lineRule="auto"/>
        <w:rPr>
          <w:sz w:val="20"/>
          <w:szCs w:val="20"/>
          <w:color w:val="auto"/>
        </w:rPr>
      </w:pPr>
      <w:r>
        <w:rPr>
          <w:rFonts w:ascii="Arial" w:cs="Arial" w:eastAsia="Arial" w:hAnsi="Arial"/>
          <w:sz w:val="17"/>
          <w:szCs w:val="17"/>
          <w:color w:val="auto"/>
        </w:rPr>
        <w:t>Our effective tax rate was 21.3% and 23.9% for the years ended December 31, 2023 and 2022, respectively. The difference between the statutory U.S. federal income tax rate of 21% and the effective tax rate for the year ended December 31, 2023 primarily relates to state income taxes, valuation allowance on foreign tax credit carryovers originating from foreign withholding taxes offset in part by benefits related to income attributable to noncontrolling interests, earnings in lower tax jurisdictions, the FDII deduction, and federal business tax credits.</w:t>
      </w:r>
    </w:p>
    <w:p>
      <w:pPr>
        <w:spacing w:after="0" w:line="158"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Effective for tax year 2022, the Tax Cuts and Jobs Act of 2017 eliminated the option to currently deduct research and development expenditures in the year incurred and requires taxpayers to amortize such expenditures over five years for tax purposes (15 years for foreign research and development expenditures). This provision resulted in additional cash tax liability for the 2023 tax year of approximately $12 million. On January 31, 2024, the House of Representatives passed a tax relief package (the Tax Relief for American Families and Workers Act of 2024). The key tax proposal that would impact our tax position is a deferral of the mandatory capitalization of research expenditures for domestic expenditures, retroactive to expenses paid or incurred after December 31, 2021 and before January 1, 2026. If this tax proposal is enacted, we would expect a $15 million and a $12 million decrease to our cash tax liabilities for tax years 2022 and 2023, respectively. We would recognize any changes in our financial results in the period of enactment.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fiscal 2022 and fiscal 2021 as a percentage of revenue.</w:t>
      </w:r>
    </w:p>
    <w:p>
      <w:pPr>
        <w:spacing w:after="0" w:line="221"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4842510</wp:posOffset>
            </wp:positionH>
            <wp:positionV relativeFrom="paragraph">
              <wp:posOffset>15240</wp:posOffset>
            </wp:positionV>
            <wp:extent cx="22263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26310" cy="8255"/>
                    </a:xfrm>
                    <a:prstGeom prst="rect">
                      <a:avLst/>
                    </a:prstGeom>
                    <a:noFill/>
                  </pic:spPr>
                </pic:pic>
              </a:graphicData>
            </a:graphic>
          </wp:anchor>
        </w:drawing>
      </w:r>
    </w:p>
    <w:p>
      <w:pPr>
        <w:spacing w:after="0" w:line="21" w:lineRule="exact"/>
        <w:rPr>
          <w:sz w:val="20"/>
          <w:szCs w:val="20"/>
          <w:color w:val="auto"/>
        </w:rPr>
      </w:pPr>
    </w:p>
    <w:p>
      <w:pPr>
        <w:ind w:left="7780"/>
        <w:spacing w:after="0"/>
        <w:tabs>
          <w:tab w:leader="none" w:pos="9660" w:val="left"/>
        </w:tabs>
        <w:rPr>
          <w:sz w:val="20"/>
          <w:szCs w:val="20"/>
          <w:color w:val="auto"/>
        </w:rPr>
      </w:pPr>
      <w:r>
        <w:rPr>
          <w:rFonts w:ascii="Arial" w:cs="Arial" w:eastAsia="Arial" w:hAnsi="Arial"/>
          <w:sz w:val="14"/>
          <w:szCs w:val="14"/>
          <w:b w:val="1"/>
          <w:bCs w:val="1"/>
          <w:color w:val="auto"/>
        </w:rPr>
        <w:t>December 31, 2022</w:t>
      </w:r>
      <w:r>
        <w:rPr>
          <w:sz w:val="20"/>
          <w:szCs w:val="20"/>
          <w:color w:val="auto"/>
        </w:rPr>
        <w:tab/>
      </w: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4842510</wp:posOffset>
            </wp:positionH>
            <wp:positionV relativeFrom="paragraph">
              <wp:posOffset>15240</wp:posOffset>
            </wp:positionV>
            <wp:extent cx="22263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26310"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 costs of contracts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in earnings of unconsolidated joint ventures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Selling, general and administrative expenses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income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net</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other income benefit (expense)</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Income before income tax expense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expense</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income including noncontrolling interests</w:t>
      </w:r>
    </w:p>
    <w:p>
      <w:pPr>
        <w:spacing w:after="0" w:line="32" w:lineRule="exact"/>
        <w:rPr>
          <w:sz w:val="20"/>
          <w:szCs w:val="20"/>
          <w:color w:val="auto"/>
        </w:rPr>
      </w:pPr>
    </w:p>
    <w:p>
      <w:pPr>
        <w:jc w:val="right"/>
        <w:ind w:left="20" w:right="440"/>
        <w:spacing w:after="0" w:line="307" w:lineRule="auto"/>
        <w:rPr>
          <w:sz w:val="20"/>
          <w:szCs w:val="20"/>
          <w:color w:val="auto"/>
        </w:rPr>
      </w:pPr>
      <w:r>
        <w:rPr>
          <w:rFonts w:ascii="Arial" w:cs="Arial" w:eastAsia="Arial" w:hAnsi="Arial"/>
          <w:sz w:val="18"/>
          <w:szCs w:val="18"/>
          <w:color w:val="auto"/>
        </w:rPr>
        <w:t>Net income attributable to noncontrolling interests Net income attributable to Parsons Corporation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dollars in thousands)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3600"/>
        <w:spacing w:after="0"/>
        <w:tabs>
          <w:tab w:leader="none" w:pos="5460" w:val="left"/>
        </w:tabs>
        <w:rPr>
          <w:sz w:val="20"/>
          <w:szCs w:val="20"/>
          <w:color w:val="auto"/>
        </w:rPr>
      </w:pPr>
      <w:r>
        <w:rPr>
          <w:rFonts w:ascii="Arial" w:cs="Arial" w:eastAsia="Arial" w:hAnsi="Arial"/>
          <w:sz w:val="18"/>
          <w:szCs w:val="18"/>
          <w:color w:val="auto"/>
        </w:rPr>
        <w:t>100.0 %</w:t>
      </w:r>
      <w:r>
        <w:rPr>
          <w:sz w:val="20"/>
          <w:szCs w:val="20"/>
          <w:color w:val="auto"/>
        </w:rPr>
        <w:tab/>
      </w:r>
      <w:r>
        <w:rPr>
          <w:rFonts w:ascii="Arial" w:cs="Arial" w:eastAsia="Arial" w:hAnsi="Arial"/>
          <w:sz w:val="17"/>
          <w:szCs w:val="17"/>
          <w:color w:val="auto"/>
        </w:rPr>
        <w:t>100.0 %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-129540</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 w:lineRule="exact"/>
        <w:rPr>
          <w:sz w:val="20"/>
          <w:szCs w:val="20"/>
          <w:color w:val="auto"/>
        </w:rPr>
      </w:pPr>
    </w:p>
    <w:p>
      <w:pPr>
        <w:ind w:left="3700"/>
        <w:spacing w:after="0"/>
        <w:tabs>
          <w:tab w:leader="none" w:pos="5560" w:val="left"/>
        </w:tabs>
        <w:rPr>
          <w:sz w:val="20"/>
          <w:szCs w:val="20"/>
          <w:color w:val="auto"/>
        </w:rPr>
      </w:pPr>
      <w:r>
        <w:rPr>
          <w:rFonts w:ascii="Arial" w:cs="Arial" w:eastAsia="Arial" w:hAnsi="Arial"/>
          <w:sz w:val="18"/>
          <w:szCs w:val="18"/>
          <w:color w:val="auto"/>
        </w:rPr>
        <w:t>77.4 %</w:t>
      </w:r>
      <w:r>
        <w:rPr>
          <w:sz w:val="20"/>
          <w:szCs w:val="20"/>
          <w:color w:val="auto"/>
        </w:rPr>
        <w:tab/>
      </w:r>
      <w:r>
        <w:rPr>
          <w:rFonts w:ascii="Arial" w:cs="Arial" w:eastAsia="Arial" w:hAnsi="Arial"/>
          <w:sz w:val="17"/>
          <w:szCs w:val="17"/>
          <w:color w:val="auto"/>
        </w:rPr>
        <w:t>76.7 %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11430</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3800"/>
        <w:spacing w:after="0"/>
        <w:tabs>
          <w:tab w:leader="none" w:pos="5660" w:val="left"/>
        </w:tabs>
        <w:rPr>
          <w:sz w:val="20"/>
          <w:szCs w:val="20"/>
          <w:color w:val="auto"/>
        </w:rPr>
      </w:pPr>
      <w:r>
        <w:rPr>
          <w:rFonts w:ascii="Arial" w:cs="Arial" w:eastAsia="Arial" w:hAnsi="Arial"/>
          <w:sz w:val="18"/>
          <w:szCs w:val="18"/>
          <w:color w:val="auto"/>
        </w:rPr>
        <w:t>0.4 %</w:t>
      </w:r>
      <w:r>
        <w:rPr>
          <w:sz w:val="20"/>
          <w:szCs w:val="20"/>
          <w:color w:val="auto"/>
        </w:rPr>
        <w:tab/>
      </w:r>
      <w:r>
        <w:rPr>
          <w:rFonts w:ascii="Arial" w:cs="Arial" w:eastAsia="Arial" w:hAnsi="Arial"/>
          <w:sz w:val="17"/>
          <w:szCs w:val="17"/>
          <w:color w:val="auto"/>
        </w:rPr>
        <w:t>1.0 %</w:t>
      </w:r>
    </w:p>
    <w:p>
      <w:pPr>
        <w:spacing w:after="0" w:line="22" w:lineRule="exact"/>
        <w:rPr>
          <w:sz w:val="20"/>
          <w:szCs w:val="20"/>
          <w:color w:val="auto"/>
        </w:rPr>
      </w:pPr>
    </w:p>
    <w:p>
      <w:pPr>
        <w:ind w:left="3700"/>
        <w:spacing w:after="0"/>
        <w:tabs>
          <w:tab w:leader="none" w:pos="5560" w:val="left"/>
        </w:tabs>
        <w:rPr>
          <w:sz w:val="20"/>
          <w:szCs w:val="20"/>
          <w:color w:val="auto"/>
        </w:rPr>
      </w:pPr>
      <w:r>
        <w:rPr>
          <w:rFonts w:ascii="Arial" w:cs="Arial" w:eastAsia="Arial" w:hAnsi="Arial"/>
          <w:sz w:val="18"/>
          <w:szCs w:val="18"/>
          <w:color w:val="auto"/>
        </w:rPr>
        <w:t>18.5 %</w:t>
      </w:r>
      <w:r>
        <w:rPr>
          <w:sz w:val="20"/>
          <w:szCs w:val="20"/>
          <w:color w:val="auto"/>
        </w:rPr>
        <w:tab/>
      </w:r>
      <w:r>
        <w:rPr>
          <w:rFonts w:ascii="Arial" w:cs="Arial" w:eastAsia="Arial" w:hAnsi="Arial"/>
          <w:sz w:val="17"/>
          <w:szCs w:val="17"/>
          <w:color w:val="auto"/>
        </w:rPr>
        <w:t>20.7 %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1553210</wp:posOffset>
            </wp:positionH>
            <wp:positionV relativeFrom="paragraph">
              <wp:posOffset>11430</wp:posOffset>
            </wp:positionV>
            <wp:extent cx="22263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26310" cy="8255"/>
                    </a:xfrm>
                    <a:prstGeom prst="rect">
                      <a:avLst/>
                    </a:prstGeom>
                    <a:noFill/>
                  </pic:spPr>
                </pic:pic>
              </a:graphicData>
            </a:graphic>
          </wp:anchor>
        </w:drawing>
      </w:r>
    </w:p>
    <w:p>
      <w:pPr>
        <w:spacing w:after="0" w:line="6" w:lineRule="exact"/>
        <w:rPr>
          <w:sz w:val="20"/>
          <w:szCs w:val="20"/>
          <w:color w:val="auto"/>
        </w:rPr>
      </w:pPr>
    </w:p>
    <w:p>
      <w:pPr>
        <w:ind w:left="3800"/>
        <w:spacing w:after="0"/>
        <w:tabs>
          <w:tab w:leader="none" w:pos="5660" w:val="left"/>
        </w:tabs>
        <w:rPr>
          <w:sz w:val="20"/>
          <w:szCs w:val="20"/>
          <w:color w:val="auto"/>
        </w:rPr>
      </w:pPr>
      <w:r>
        <w:rPr>
          <w:rFonts w:ascii="Arial" w:cs="Arial" w:eastAsia="Arial" w:hAnsi="Arial"/>
          <w:sz w:val="18"/>
          <w:szCs w:val="18"/>
          <w:color w:val="auto"/>
        </w:rPr>
        <w:t>4.4 %</w:t>
      </w:r>
      <w:r>
        <w:rPr>
          <w:sz w:val="20"/>
          <w:szCs w:val="20"/>
          <w:color w:val="auto"/>
        </w:rPr>
        <w:tab/>
      </w:r>
      <w:r>
        <w:rPr>
          <w:rFonts w:ascii="Arial" w:cs="Arial" w:eastAsia="Arial" w:hAnsi="Arial"/>
          <w:sz w:val="17"/>
          <w:szCs w:val="17"/>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-127635</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800"/>
        <w:spacing w:after="0"/>
        <w:tabs>
          <w:tab w:leader="none" w:pos="5660" w:val="left"/>
        </w:tabs>
        <w:rPr>
          <w:sz w:val="20"/>
          <w:szCs w:val="20"/>
          <w:color w:val="auto"/>
        </w:rPr>
      </w:pPr>
      <w:r>
        <w:rPr>
          <w:rFonts w:ascii="Arial" w:cs="Arial" w:eastAsia="Arial" w:hAnsi="Arial"/>
          <w:sz w:val="18"/>
          <w:szCs w:val="18"/>
          <w:color w:val="auto"/>
        </w:rPr>
        <w:t>0.0 %</w:t>
      </w:r>
      <w:r>
        <w:rPr>
          <w:sz w:val="20"/>
          <w:szCs w:val="20"/>
          <w:color w:val="auto"/>
        </w:rPr>
        <w:tab/>
      </w:r>
      <w:r>
        <w:rPr>
          <w:rFonts w:ascii="Arial" w:cs="Arial" w:eastAsia="Arial" w:hAnsi="Arial"/>
          <w:sz w:val="17"/>
          <w:szCs w:val="17"/>
          <w:color w:val="auto"/>
        </w:rPr>
        <w:t>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17780</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3740"/>
        <w:spacing w:after="0"/>
        <w:tabs>
          <w:tab w:leader="none" w:pos="5600" w:val="left"/>
        </w:tabs>
        <w:rPr>
          <w:sz w:val="20"/>
          <w:szCs w:val="20"/>
          <w:color w:val="auto"/>
        </w:rPr>
      </w:pPr>
      <w:r>
        <w:rPr>
          <w:rFonts w:ascii="Arial" w:cs="Arial" w:eastAsia="Arial" w:hAnsi="Arial"/>
          <w:sz w:val="18"/>
          <w:szCs w:val="18"/>
          <w:color w:val="auto"/>
        </w:rPr>
        <w:t>(0.6 )%</w:t>
      </w:r>
      <w:r>
        <w:rPr>
          <w:sz w:val="20"/>
          <w:szCs w:val="20"/>
          <w:color w:val="auto"/>
        </w:rPr>
        <w:tab/>
      </w:r>
      <w:r>
        <w:rPr>
          <w:rFonts w:ascii="Arial" w:cs="Arial" w:eastAsia="Arial" w:hAnsi="Arial"/>
          <w:sz w:val="16"/>
          <w:szCs w:val="16"/>
          <w:color w:val="auto"/>
        </w:rPr>
        <w:t>(0.5 )%</w:t>
      </w:r>
    </w:p>
    <w:p>
      <w:pPr>
        <w:spacing w:after="0" w:line="22" w:lineRule="exact"/>
        <w:rPr>
          <w:sz w:val="20"/>
          <w:szCs w:val="20"/>
          <w:color w:val="auto"/>
        </w:rPr>
      </w:pPr>
    </w:p>
    <w:p>
      <w:pPr>
        <w:ind w:left="3800"/>
        <w:spacing w:after="0"/>
        <w:tabs>
          <w:tab w:leader="none" w:pos="5600" w:val="left"/>
        </w:tabs>
        <w:rPr>
          <w:sz w:val="20"/>
          <w:szCs w:val="20"/>
          <w:color w:val="auto"/>
        </w:rPr>
      </w:pPr>
      <w:r>
        <w:rPr>
          <w:rFonts w:ascii="Arial" w:cs="Arial" w:eastAsia="Arial" w:hAnsi="Arial"/>
          <w:sz w:val="18"/>
          <w:szCs w:val="18"/>
          <w:color w:val="auto"/>
        </w:rPr>
        <w:t>0.1 %</w:t>
      </w:r>
      <w:r>
        <w:rPr>
          <w:sz w:val="20"/>
          <w:szCs w:val="20"/>
          <w:color w:val="auto"/>
        </w:rPr>
        <w:tab/>
      </w:r>
      <w:r>
        <w:rPr>
          <w:rFonts w:ascii="Arial" w:cs="Arial" w:eastAsia="Arial" w:hAnsi="Arial"/>
          <w:sz w:val="16"/>
          <w:szCs w:val="16"/>
          <w:color w:val="auto"/>
        </w:rPr>
        <w:t>(0.1 )%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1553210</wp:posOffset>
            </wp:positionH>
            <wp:positionV relativeFrom="paragraph">
              <wp:posOffset>11430</wp:posOffset>
            </wp:positionV>
            <wp:extent cx="22263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26310" cy="8255"/>
                    </a:xfrm>
                    <a:prstGeom prst="rect">
                      <a:avLst/>
                    </a:prstGeom>
                    <a:noFill/>
                  </pic:spPr>
                </pic:pic>
              </a:graphicData>
            </a:graphic>
          </wp:anchor>
        </w:drawing>
      </w:r>
    </w:p>
    <w:p>
      <w:pPr>
        <w:spacing w:after="0" w:line="6" w:lineRule="exact"/>
        <w:rPr>
          <w:sz w:val="20"/>
          <w:szCs w:val="20"/>
          <w:color w:val="auto"/>
        </w:rPr>
      </w:pPr>
    </w:p>
    <w:p>
      <w:pPr>
        <w:ind w:left="3740"/>
        <w:spacing w:after="0"/>
        <w:tabs>
          <w:tab w:leader="none" w:pos="5600" w:val="left"/>
        </w:tabs>
        <w:rPr>
          <w:sz w:val="20"/>
          <w:szCs w:val="20"/>
          <w:color w:val="auto"/>
        </w:rPr>
      </w:pPr>
      <w:r>
        <w:rPr>
          <w:rFonts w:ascii="Arial" w:cs="Arial" w:eastAsia="Arial" w:hAnsi="Arial"/>
          <w:sz w:val="18"/>
          <w:szCs w:val="18"/>
          <w:color w:val="auto"/>
        </w:rPr>
        <w:t>(0.5 )%</w:t>
      </w:r>
      <w:r>
        <w:rPr>
          <w:sz w:val="20"/>
          <w:szCs w:val="20"/>
          <w:color w:val="auto"/>
        </w:rPr>
        <w:tab/>
      </w:r>
      <w:r>
        <w:rPr>
          <w:rFonts w:ascii="Arial" w:cs="Arial" w:eastAsia="Arial" w:hAnsi="Arial"/>
          <w:sz w:val="16"/>
          <w:szCs w:val="16"/>
          <w:color w:val="auto"/>
        </w:rPr>
        <w:t>(0.5 )%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-127635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800"/>
        <w:spacing w:after="0"/>
        <w:tabs>
          <w:tab w:leader="none" w:pos="5660" w:val="left"/>
        </w:tabs>
        <w:rPr>
          <w:sz w:val="20"/>
          <w:szCs w:val="20"/>
          <w:color w:val="auto"/>
        </w:rPr>
      </w:pPr>
      <w:r>
        <w:rPr>
          <w:rFonts w:ascii="Arial" w:cs="Arial" w:eastAsia="Arial" w:hAnsi="Arial"/>
          <w:sz w:val="18"/>
          <w:szCs w:val="18"/>
          <w:color w:val="auto"/>
        </w:rPr>
        <w:t>4.0 %</w:t>
      </w:r>
      <w:r>
        <w:rPr>
          <w:sz w:val="20"/>
          <w:szCs w:val="20"/>
          <w:color w:val="auto"/>
        </w:rPr>
        <w:tab/>
      </w:r>
      <w:r>
        <w:rPr>
          <w:rFonts w:ascii="Arial" w:cs="Arial" w:eastAsia="Arial" w:hAnsi="Arial"/>
          <w:sz w:val="17"/>
          <w:szCs w:val="17"/>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17780</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3740"/>
        <w:spacing w:after="0"/>
        <w:tabs>
          <w:tab w:leader="none" w:pos="5600" w:val="left"/>
        </w:tabs>
        <w:rPr>
          <w:sz w:val="20"/>
          <w:szCs w:val="20"/>
          <w:color w:val="auto"/>
        </w:rPr>
      </w:pPr>
      <w:r>
        <w:rPr>
          <w:rFonts w:ascii="Arial" w:cs="Arial" w:eastAsia="Arial" w:hAnsi="Arial"/>
          <w:sz w:val="18"/>
          <w:szCs w:val="18"/>
          <w:color w:val="auto"/>
        </w:rPr>
        <w:t>(0.9 )%</w:t>
      </w:r>
      <w:r>
        <w:rPr>
          <w:sz w:val="20"/>
          <w:szCs w:val="20"/>
          <w:color w:val="auto"/>
        </w:rPr>
        <w:tab/>
      </w:r>
      <w:r>
        <w:rPr>
          <w:rFonts w:ascii="Arial" w:cs="Arial" w:eastAsia="Arial" w:hAnsi="Arial"/>
          <w:sz w:val="16"/>
          <w:szCs w:val="16"/>
          <w:color w:val="auto"/>
        </w:rPr>
        <w:t>(0.6 )%</w:t>
      </w:r>
    </w:p>
    <w:p>
      <w:pPr>
        <w:spacing w:after="0" w:line="26" w:lineRule="exact"/>
        <w:rPr>
          <w:sz w:val="20"/>
          <w:szCs w:val="20"/>
          <w:color w:val="auto"/>
        </w:rPr>
      </w:pPr>
    </w:p>
    <w:p>
      <w:pPr>
        <w:ind w:left="3800"/>
        <w:spacing w:after="0"/>
        <w:tabs>
          <w:tab w:leader="none" w:pos="5660" w:val="left"/>
        </w:tabs>
        <w:rPr>
          <w:sz w:val="20"/>
          <w:szCs w:val="20"/>
          <w:color w:val="auto"/>
        </w:rPr>
      </w:pPr>
      <w:r>
        <w:rPr>
          <w:rFonts w:ascii="Arial" w:cs="Arial" w:eastAsia="Arial" w:hAnsi="Arial"/>
          <w:sz w:val="18"/>
          <w:szCs w:val="18"/>
          <w:color w:val="auto"/>
        </w:rPr>
        <w:t>3.0 %</w:t>
      </w:r>
      <w:r>
        <w:rPr>
          <w:sz w:val="20"/>
          <w:szCs w:val="20"/>
          <w:color w:val="auto"/>
        </w:rPr>
        <w:tab/>
      </w:r>
      <w:r>
        <w:rPr>
          <w:rFonts w:ascii="Arial" w:cs="Arial" w:eastAsia="Arial" w:hAnsi="Arial"/>
          <w:sz w:val="17"/>
          <w:szCs w:val="17"/>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17780</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3740"/>
        <w:spacing w:after="0"/>
        <w:tabs>
          <w:tab w:leader="none" w:pos="5600" w:val="left"/>
        </w:tabs>
        <w:rPr>
          <w:sz w:val="20"/>
          <w:szCs w:val="20"/>
          <w:color w:val="auto"/>
        </w:rPr>
      </w:pPr>
      <w:r>
        <w:rPr>
          <w:rFonts w:ascii="Arial" w:cs="Arial" w:eastAsia="Arial" w:hAnsi="Arial"/>
          <w:sz w:val="18"/>
          <w:szCs w:val="18"/>
          <w:color w:val="auto"/>
        </w:rPr>
        <w:t>(0.7 )%</w:t>
      </w:r>
      <w:r>
        <w:rPr>
          <w:sz w:val="20"/>
          <w:szCs w:val="20"/>
          <w:color w:val="auto"/>
        </w:rPr>
        <w:tab/>
      </w:r>
      <w:r>
        <w:rPr>
          <w:rFonts w:ascii="Arial" w:cs="Arial" w:eastAsia="Arial" w:hAnsi="Arial"/>
          <w:sz w:val="16"/>
          <w:szCs w:val="16"/>
          <w:color w:val="auto"/>
        </w:rPr>
        <w:t>(0.7 )%</w:t>
      </w:r>
    </w:p>
    <w:p>
      <w:pPr>
        <w:spacing w:after="0" w:line="26" w:lineRule="exact"/>
        <w:rPr>
          <w:sz w:val="20"/>
          <w:szCs w:val="20"/>
          <w:color w:val="auto"/>
        </w:rPr>
      </w:pPr>
    </w:p>
    <w:p>
      <w:pPr>
        <w:ind w:left="3800"/>
        <w:spacing w:after="0"/>
        <w:tabs>
          <w:tab w:leader="none" w:pos="5660" w:val="left"/>
        </w:tabs>
        <w:rPr>
          <w:sz w:val="20"/>
          <w:szCs w:val="20"/>
          <w:color w:val="auto"/>
        </w:rPr>
      </w:pPr>
      <w:r>
        <w:rPr>
          <w:rFonts w:ascii="Arial" w:cs="Arial" w:eastAsia="Arial" w:hAnsi="Arial"/>
          <w:sz w:val="18"/>
          <w:szCs w:val="18"/>
          <w:color w:val="auto"/>
        </w:rPr>
        <w:t>2.3 %</w:t>
      </w:r>
      <w:r>
        <w:rPr>
          <w:sz w:val="20"/>
          <w:szCs w:val="20"/>
          <w:color w:val="auto"/>
        </w:rPr>
        <w:tab/>
      </w:r>
      <w:r>
        <w:rPr>
          <w:rFonts w:ascii="Arial" w:cs="Arial" w:eastAsia="Arial" w:hAnsi="Arial"/>
          <w:sz w:val="17"/>
          <w:szCs w:val="17"/>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1553210</wp:posOffset>
            </wp:positionH>
            <wp:positionV relativeFrom="paragraph">
              <wp:posOffset>17780</wp:posOffset>
            </wp:positionV>
            <wp:extent cx="22263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2631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Variance</w:t>
            </w:r>
          </w:p>
        </w:tc>
      </w:tr>
      <w:tr>
        <w:trPr>
          <w:trHeight w:val="160"/>
        </w:trPr>
        <w:tc>
          <w:tcPr>
            <w:tcW w:w="1420" w:type="dxa"/>
            <w:vAlign w:val="bottom"/>
          </w:tcPr>
          <w:p>
            <w:pPr>
              <w:jc w:val="center"/>
              <w:ind w:right="88"/>
              <w:spacing w:after="0" w:line="159" w:lineRule="exact"/>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center"/>
              <w:ind w:left="68"/>
              <w:spacing w:after="0" w:line="15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96"/>
        </w:trPr>
        <w:tc>
          <w:tcPr>
            <w:tcW w:w="14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4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980" w:type="dxa"/>
            <w:vAlign w:val="bottom"/>
          </w:tcPr>
          <w:p>
            <w:pPr>
              <w:ind w:left="440"/>
              <w:spacing w:after="0"/>
              <w:rPr>
                <w:sz w:val="20"/>
                <w:szCs w:val="20"/>
                <w:color w:val="auto"/>
              </w:rPr>
            </w:pPr>
            <w:r>
              <w:rPr>
                <w:rFonts w:ascii="Arial" w:cs="Arial" w:eastAsia="Arial" w:hAnsi="Arial"/>
                <w:sz w:val="14"/>
                <w:szCs w:val="14"/>
                <w:b w:val="1"/>
                <w:bCs w:val="1"/>
                <w:color w:val="auto"/>
              </w:rPr>
              <w:t>Dollar</w:t>
            </w:r>
          </w:p>
        </w:tc>
        <w:tc>
          <w:tcPr>
            <w:tcW w:w="1860" w:type="dxa"/>
            <w:vAlign w:val="bottom"/>
          </w:tcPr>
          <w:p>
            <w:pPr>
              <w:ind w:left="920"/>
              <w:spacing w:after="0"/>
              <w:rPr>
                <w:sz w:val="20"/>
                <w:szCs w:val="20"/>
                <w:color w:val="auto"/>
              </w:rPr>
            </w:pPr>
            <w:r>
              <w:rPr>
                <w:rFonts w:ascii="Arial" w:cs="Arial" w:eastAsia="Arial" w:hAnsi="Arial"/>
                <w:sz w:val="14"/>
                <w:szCs w:val="14"/>
                <w:b w:val="1"/>
                <w:bCs w:val="1"/>
                <w:color w:val="auto"/>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-6985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4460" w:space="720"/>
            <w:col w:w="6160"/>
          </w:cols>
          <w:pgMar w:left="320" w:top="1440" w:right="239" w:bottom="1440" w:gutter="0" w:footer="0" w:header="0"/>
          <w:type w:val="continuous"/>
        </w:sectPr>
      </w:pPr>
    </w:p>
    <w:p>
      <w:pPr>
        <w:ind w:left="20"/>
        <w:spacing w:after="0"/>
        <w:tabs>
          <w:tab w:leader="none" w:pos="5160" w:val="left"/>
          <w:tab w:leader="none" w:pos="5640" w:val="left"/>
          <w:tab w:leader="none" w:pos="6760" w:val="left"/>
          <w:tab w:leader="none" w:pos="7220" w:val="left"/>
          <w:tab w:leader="none" w:pos="8300" w:val="left"/>
          <w:tab w:leader="none" w:pos="8900" w:val="left"/>
          <w:tab w:leader="none" w:pos="1074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4,195,272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3,660,771</w:t>
        <w:tab/>
        <w:t>$</w:t>
      </w:r>
      <w:r>
        <w:rPr>
          <w:sz w:val="20"/>
          <w:szCs w:val="20"/>
          <w:color w:val="auto"/>
        </w:rPr>
        <w:tab/>
      </w:r>
      <w:r>
        <w:rPr>
          <w:rFonts w:ascii="Arial" w:cs="Arial" w:eastAsia="Arial" w:hAnsi="Arial"/>
          <w:sz w:val="18"/>
          <w:szCs w:val="18"/>
          <w:color w:val="auto"/>
        </w:rPr>
        <w:t>534,501</w:t>
      </w:r>
      <w:r>
        <w:rPr>
          <w:sz w:val="20"/>
          <w:szCs w:val="20"/>
          <w:color w:val="auto"/>
        </w:rPr>
        <w:tab/>
      </w:r>
      <w:r>
        <w:rPr>
          <w:rFonts w:ascii="Arial" w:cs="Arial" w:eastAsia="Arial" w:hAnsi="Arial"/>
          <w:sz w:val="17"/>
          <w:szCs w:val="17"/>
          <w:color w:val="auto"/>
        </w:rPr>
        <w:t>14.6 %</w:t>
      </w:r>
    </w:p>
    <w:p>
      <w:pPr>
        <w:spacing w:after="0" w:line="221" w:lineRule="exact"/>
        <w:rPr>
          <w:sz w:val="20"/>
          <w:szCs w:val="20"/>
          <w:color w:val="auto"/>
        </w:rPr>
      </w:pPr>
    </w:p>
    <w:p>
      <w:pPr>
        <w:jc w:val="both"/>
        <w:ind w:right="200" w:firstLine="509"/>
        <w:spacing w:after="0" w:line="252" w:lineRule="auto"/>
        <w:rPr>
          <w:sz w:val="20"/>
          <w:szCs w:val="20"/>
          <w:color w:val="auto"/>
        </w:rPr>
      </w:pPr>
      <w:r>
        <w:rPr>
          <w:rFonts w:ascii="Arial" w:cs="Arial" w:eastAsia="Arial" w:hAnsi="Arial"/>
          <w:sz w:val="18"/>
          <w:szCs w:val="18"/>
          <w:color w:val="auto"/>
        </w:rPr>
        <w:t>Revenue for the year ended December 31, 2022 compared to the prior year increased $534.5 million. This increase was primarily due to an increase in revenue in our Federal Solutions segment of $324.9 million and an increase in our Critical Infrastructure segment of $209.6 million. See “—Segment Results” below for further discussion.</w:t>
      </w: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70" w:name="page71"/>
    <w:bookmarkEnd w:id="70"/>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Fiscal Year Ended</w:t>
            </w: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Direct cost of contracts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3,248,550</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2,807,950</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440,600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7"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Direct cost of contracts for the year ended December 31, 2022 compared to the prior year increased $440.6 million. This increase was primarily due to an increase in direct cost of contracts in our Federal Solutions segment of $ 272.6 million and an increase in our Critical Infrastructure segment of $168.0 million. The increases were primarily due to an increase in business volume from recent contract awards and business acquisitions.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Fiscal Year Ended</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5"/>
                <w:szCs w:val="15"/>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5"/>
                <w:szCs w:val="15"/>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Equity in earnings of unconsolidated joint ventures</w:t>
            </w:r>
          </w:p>
        </w:tc>
        <w:tc>
          <w:tcPr>
            <w:tcW w:w="500" w:type="dxa"/>
            <w:vAlign w:val="bottom"/>
          </w:tcPr>
          <w:p>
            <w:pPr>
              <w:jc w:val="right"/>
              <w:ind w:right="299"/>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16,347</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36,862</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(20,515 )</w:t>
            </w: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7"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Equity in earnings of unconsolidated joint ventures for the year ended December 31, 2022 decreased by $20.5 million compared to the prior year. The decrease was primarily related to change orders which delayed joint venture profits to future periods and a reduction in activity.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Fiscal Year Ended</w:t>
            </w:r>
          </w:p>
        </w:tc>
        <w:tc>
          <w:tcPr>
            <w:tcW w:w="7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777,403</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757,237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20,166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7"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SG&amp;A expenses for the year ended December 31, 2022 increased by $20.2 million compared to the prior year. The increase in SG&amp;A was primarily due to a $17.2 million increase from business acquisitions, a $ 12.6 million increase related to investments in future growth and general increases in operating costs, a $9.0 million increase in incentives, a $6.2 million increase in transaction related costs primarily related to business acquisition activity, and a $4.8 million increase in compensation costs related to equity-based awards. These increases were partially offset by a $ 25.0 million decrease in intangible asset amortization primarily related to the drop-off in intangible asset amortization from the Company’s older acquisitions offset by intangible amortization from the Company’s more recent acquisitions and a reduction in the Company’s liability insurance costs of $4.6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(expense) income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Fiscal Year Ended</w:t>
            </w:r>
          </w:p>
        </w:tc>
        <w:tc>
          <w:tcPr>
            <w:tcW w:w="7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966</w:t>
            </w:r>
          </w:p>
        </w:tc>
        <w:tc>
          <w:tcPr>
            <w:tcW w:w="28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143.9 %</w:t>
            </w: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(23,185 )</w:t>
            </w:r>
          </w:p>
        </w:tc>
        <w:tc>
          <w:tcPr>
            <w:tcW w:w="6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(17,697 )</w:t>
            </w:r>
          </w:p>
        </w:tc>
        <w:tc>
          <w:tcPr>
            <w:tcW w:w="2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(5,488 )</w:t>
            </w:r>
          </w:p>
        </w:tc>
        <w:tc>
          <w:tcPr>
            <w:tcW w:w="3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2,775</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(2,557 )</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(208.5 )%</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80"/>
              <w:spacing w:after="0"/>
              <w:rPr>
                <w:sz w:val="20"/>
                <w:szCs w:val="20"/>
                <w:color w:val="auto"/>
              </w:rPr>
            </w:pPr>
            <w:r>
              <w:rPr>
                <w:rFonts w:ascii="Arial" w:cs="Arial" w:eastAsia="Arial" w:hAnsi="Arial"/>
                <w:sz w:val="18"/>
                <w:szCs w:val="18"/>
                <w:color w:val="auto"/>
              </w:rPr>
              <w:t>Total other income (expense)</w:t>
            </w: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(19,444 )</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(19,858 )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7"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Interest expense increased for the year ended December 31, 2022 compared to the corresponding period last year primarily due to interest expense from borrowings under the Credit Agreement and</w:t>
      </w: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71" w:name="page72"/>
    <w:bookmarkEnd w:id="71"/>
    <w:p>
      <w:pPr>
        <w:spacing w:after="0" w:line="19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Delayed Draw Term Loan, neither of which had outstanding balances during the year ended December 31, 2021. Interest expense for the year ended December 31, 2022 included $2.1 million associated with a make-whole payment and remaining unamortized debt issuance costs resulting from the repayment of all outstanding Senior Notes under the Company’s Private Placement. The amounts in other income (expense), net, are primarily related to transaction gains and losses on foreign currency transactions and sublease income.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Fiscal Year Ended</w:t>
            </w:r>
          </w:p>
        </w:tc>
        <w:tc>
          <w:tcPr>
            <w:tcW w:w="7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39,657</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23,636</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16,021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0"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Income tax expense increased in fiscal 2022 primarily due to an increase in earnings and a decrease in foreign tax credits, partially offset by a change in jurisdictional mix of earnings and nonrecurring write down of a foreign tax receivable included in 2021.</w:t>
      </w:r>
    </w:p>
    <w:p>
      <w:pPr>
        <w:spacing w:after="0" w:line="153" w:lineRule="exact"/>
        <w:rPr>
          <w:sz w:val="20"/>
          <w:szCs w:val="20"/>
          <w:color w:val="auto"/>
        </w:rPr>
      </w:pPr>
    </w:p>
    <w:p>
      <w:pPr>
        <w:ind w:right="240" w:firstLine="509"/>
        <w:spacing w:after="0" w:line="257" w:lineRule="auto"/>
        <w:rPr>
          <w:sz w:val="20"/>
          <w:szCs w:val="20"/>
          <w:color w:val="auto"/>
        </w:rPr>
      </w:pPr>
      <w:r>
        <w:rPr>
          <w:rFonts w:ascii="Arial" w:cs="Arial" w:eastAsia="Arial" w:hAnsi="Arial"/>
          <w:sz w:val="17"/>
          <w:szCs w:val="17"/>
          <w:color w:val="auto"/>
        </w:rPr>
        <w:t>Our effective tax rate was 23.9% and 21.0% for the years ended December 31, 2022 and 2021, respectively. The difference between the statutory U.S. federal income tax rate of 21% and the effective tax rate for the year ended December 31, 2022 primarily relates to state income taxes and a recorded valuation allowance on foreign tax credit carryovers, offset in part by benefits related to income attributable to noncontrolling interest, earnings in lower tax jurisdictions and federal research tax credits. For the year ended December 31, 2021, the difference primarily relates to state income taxes and a recorded valuation allowance on foreign tax credit carryovers, a write down of a foreign tax receivable and an increase in executive compensation subject to IRC Section 162(m) limitations, offset by benefits related to income attributable to noncontrolling interest, release of uncertain tax positions, and federal research tax credits.</w:t>
      </w:r>
    </w:p>
    <w:p>
      <w:pPr>
        <w:spacing w:after="0" w:line="166"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Effective for tax year 2022, the Tax Cuts and Jobs Act of 2017 eliminated the option to currently deduct research and development expenditures in the year incurred and requires taxpayers to amortize such expenditures over five years for tax purposes (15 years for foreign research and development expenditures). This provision resulted in additional cash tax liability and additional net deferred tax assets for the 2022 tax year of approximately $16 million. This 2022 additional cash tax liability was offset by other carryforward tax attributes. While the largest impact of this provision was to our 2022 cash tax liability, the impact will decline over the five-year amortization period and is expected to have an immaterial impact beginning in year six. Congress is considering legislation that would defer the amortization requirement to later years, possibly with retroactive effect.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2023</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December 31, 2021</w:t>
            </w: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Other Information:</w:t>
            </w:r>
          </w:p>
        </w:tc>
        <w:tc>
          <w:tcPr>
            <w:tcW w:w="4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Adjusted EBITDA (1)</w:t>
            </w:r>
          </w:p>
        </w:tc>
        <w:tc>
          <w:tcPr>
            <w:tcW w:w="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464,673</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352,782</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309,720</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620" w:type="dxa"/>
            <w:vAlign w:val="bottom"/>
          </w:tcPr>
          <w:p>
            <w:pPr>
              <w:ind w:left="20"/>
              <w:spacing w:after="0"/>
              <w:rPr>
                <w:sz w:val="20"/>
                <w:szCs w:val="20"/>
                <w:color w:val="auto"/>
              </w:rPr>
            </w:pPr>
            <w:r>
              <w:rPr>
                <w:rFonts w:ascii="Arial" w:cs="Arial" w:eastAsia="Arial" w:hAnsi="Arial"/>
                <w:sz w:val="14"/>
                <w:szCs w:val="14"/>
                <w:color w:val="auto"/>
              </w:rPr>
              <w:t>Net Income Margin (2)</w:t>
            </w:r>
          </w:p>
        </w:tc>
        <w:tc>
          <w:tcPr>
            <w:tcW w:w="4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3.8 %</w:t>
            </w:r>
          </w:p>
        </w:tc>
        <w:tc>
          <w:tcPr>
            <w:tcW w:w="4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3.0 %</w:t>
            </w:r>
          </w:p>
        </w:tc>
        <w:tc>
          <w:tcPr>
            <w:tcW w:w="44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2.4 %</w:t>
            </w:r>
          </w:p>
        </w:tc>
      </w:tr>
      <w:tr>
        <w:trPr>
          <w:trHeight w:val="189"/>
        </w:trPr>
        <w:tc>
          <w:tcPr>
            <w:tcW w:w="6620" w:type="dxa"/>
            <w:vAlign w:val="bottom"/>
          </w:tcPr>
          <w:p>
            <w:pPr>
              <w:ind w:left="20"/>
              <w:spacing w:after="0"/>
              <w:rPr>
                <w:sz w:val="20"/>
                <w:szCs w:val="20"/>
                <w:color w:val="auto"/>
              </w:rPr>
            </w:pPr>
            <w:r>
              <w:rPr>
                <w:rFonts w:ascii="Arial" w:cs="Arial" w:eastAsia="Arial" w:hAnsi="Arial"/>
                <w:sz w:val="14"/>
                <w:szCs w:val="14"/>
                <w:color w:val="auto"/>
              </w:rPr>
              <w:t>Adjusted EBITDA Margin (3)</w:t>
            </w:r>
          </w:p>
        </w:tc>
        <w:tc>
          <w:tcPr>
            <w:tcW w:w="4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8.5 %</w:t>
            </w:r>
          </w:p>
        </w:tc>
        <w:tc>
          <w:tcPr>
            <w:tcW w:w="4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8.4 %</w:t>
            </w:r>
          </w:p>
        </w:tc>
        <w:tc>
          <w:tcPr>
            <w:tcW w:w="44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13"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 reconciliation of net income attributable to Parsons Corporation to Adjusted EBITDA is set forth below (in thousands).</w:t>
      </w:r>
    </w:p>
    <w:p>
      <w:pPr>
        <w:spacing w:after="0" w:line="14" w:lineRule="exact"/>
        <w:rPr>
          <w:rFonts w:ascii="Arial" w:cs="Arial" w:eastAsia="Arial" w:hAnsi="Arial"/>
          <w:sz w:val="14"/>
          <w:szCs w:val="14"/>
          <w:color w:val="auto"/>
        </w:rPr>
      </w:pPr>
    </w:p>
    <w:p>
      <w:pPr>
        <w:ind w:left="520" w:hanging="512"/>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Net Income Margin is calculated as net income including noncontrolling interest divided by revenue in the applicable period.</w:t>
      </w:r>
    </w:p>
    <w:p>
      <w:pPr>
        <w:ind w:left="520" w:hanging="512"/>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Adjusted EBITDA Margin is calculated as Adjusted EBITDA divided by revenue in the applicable period.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r>
      <w:tr>
        <w:trPr>
          <w:trHeight w:val="182"/>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Parsons Corporation</w:t>
            </w:r>
          </w:p>
        </w:tc>
        <w:tc>
          <w:tcPr>
            <w:tcW w:w="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161,149</w:t>
            </w:r>
          </w:p>
        </w:tc>
        <w:tc>
          <w:tcPr>
            <w:tcW w:w="7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96,664</w:t>
            </w:r>
          </w:p>
        </w:tc>
        <w:tc>
          <w:tcPr>
            <w:tcW w:w="70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64,072</w:t>
            </w:r>
          </w:p>
        </w:tc>
        <w:tc>
          <w:tcPr>
            <w:tcW w:w="100" w:type="dxa"/>
            <w:vAlign w:val="bottom"/>
            <w:shd w:val="clear" w:color="auto" w:fill="CFF0FC"/>
          </w:tcPr>
          <w:p>
            <w:pPr>
              <w:spacing w:after="0"/>
              <w:rPr>
                <w:sz w:val="15"/>
                <w:szCs w:val="15"/>
                <w:color w:val="auto"/>
              </w:rPr>
            </w:pPr>
          </w:p>
        </w:tc>
      </w:tr>
      <w:tr>
        <w:trPr>
          <w:trHeight w:val="189"/>
        </w:trPr>
        <w:tc>
          <w:tcPr>
            <w:tcW w:w="662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29,306</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22,219</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17,301</w:t>
            </w:r>
          </w:p>
        </w:tc>
        <w:tc>
          <w:tcPr>
            <w:tcW w:w="100" w:type="dxa"/>
            <w:vAlign w:val="bottom"/>
          </w:tcPr>
          <w:p>
            <w:pPr>
              <w:spacing w:after="0"/>
              <w:rPr>
                <w:sz w:val="16"/>
                <w:szCs w:val="16"/>
                <w:color w:val="auto"/>
              </w:rPr>
            </w:pPr>
          </w:p>
        </w:tc>
      </w:tr>
      <w:tr>
        <w:trPr>
          <w:trHeight w:val="189"/>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tax expense (benefit)</w:t>
            </w: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56,138</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39,657</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23,636</w:t>
            </w:r>
          </w:p>
        </w:tc>
        <w:tc>
          <w:tcPr>
            <w:tcW w:w="100" w:type="dxa"/>
            <w:vAlign w:val="bottom"/>
            <w:shd w:val="clear" w:color="auto" w:fill="CFF0FC"/>
          </w:tcPr>
          <w:p>
            <w:pPr>
              <w:spacing w:after="0"/>
              <w:rPr>
                <w:sz w:val="16"/>
                <w:szCs w:val="16"/>
                <w:color w:val="auto"/>
              </w:rPr>
            </w:pPr>
          </w:p>
        </w:tc>
      </w:tr>
      <w:tr>
        <w:trPr>
          <w:trHeight w:val="189"/>
        </w:trPr>
        <w:tc>
          <w:tcPr>
            <w:tcW w:w="66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119,973</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120,501</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144,209</w:t>
            </w:r>
          </w:p>
        </w:tc>
        <w:tc>
          <w:tcPr>
            <w:tcW w:w="100" w:type="dxa"/>
            <w:vAlign w:val="bottom"/>
          </w:tcPr>
          <w:p>
            <w:pPr>
              <w:spacing w:after="0"/>
              <w:rPr>
                <w:sz w:val="16"/>
                <w:szCs w:val="16"/>
                <w:color w:val="auto"/>
              </w:rPr>
            </w:pPr>
          </w:p>
        </w:tc>
      </w:tr>
      <w:tr>
        <w:trPr>
          <w:trHeight w:val="189"/>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46,766</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29,901</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24,880</w:t>
            </w:r>
          </w:p>
        </w:tc>
        <w:tc>
          <w:tcPr>
            <w:tcW w:w="100" w:type="dxa"/>
            <w:vAlign w:val="bottom"/>
            <w:shd w:val="clear" w:color="auto" w:fill="CFF0FC"/>
          </w:tcPr>
          <w:p>
            <w:pPr>
              <w:spacing w:after="0"/>
              <w:rPr>
                <w:sz w:val="16"/>
                <w:szCs w:val="16"/>
                <w:color w:val="auto"/>
              </w:rPr>
            </w:pPr>
          </w:p>
        </w:tc>
      </w:tr>
      <w:tr>
        <w:trPr>
          <w:trHeight w:val="189"/>
        </w:trPr>
        <w:tc>
          <w:tcPr>
            <w:tcW w:w="662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36,151</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24,354</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19,601</w:t>
            </w:r>
          </w:p>
        </w:tc>
        <w:tc>
          <w:tcPr>
            <w:tcW w:w="100" w:type="dxa"/>
            <w:vAlign w:val="bottom"/>
          </w:tcPr>
          <w:p>
            <w:pPr>
              <w:spacing w:after="0"/>
              <w:rPr>
                <w:sz w:val="16"/>
                <w:szCs w:val="16"/>
                <w:color w:val="auto"/>
              </w:rPr>
            </w:pPr>
          </w:p>
        </w:tc>
      </w:tr>
      <w:tr>
        <w:trPr>
          <w:trHeight w:val="189"/>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Transaction-related costs (a)</w:t>
            </w:r>
          </w:p>
        </w:tc>
        <w:tc>
          <w:tcPr>
            <w:tcW w:w="4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12,013</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16,270</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11,965</w:t>
            </w:r>
          </w:p>
        </w:tc>
        <w:tc>
          <w:tcPr>
            <w:tcW w:w="100" w:type="dxa"/>
            <w:vAlign w:val="bottom"/>
            <w:shd w:val="clear" w:color="auto" w:fill="CFF0FC"/>
          </w:tcPr>
          <w:p>
            <w:pPr>
              <w:spacing w:after="0"/>
              <w:rPr>
                <w:sz w:val="16"/>
                <w:szCs w:val="16"/>
                <w:color w:val="auto"/>
              </w:rPr>
            </w:pPr>
          </w:p>
        </w:tc>
      </w:tr>
      <w:tr>
        <w:trPr>
          <w:trHeight w:val="189"/>
        </w:trPr>
        <w:tc>
          <w:tcPr>
            <w:tcW w:w="6620" w:type="dxa"/>
            <w:vAlign w:val="bottom"/>
          </w:tcPr>
          <w:p>
            <w:pPr>
              <w:ind w:left="20"/>
              <w:spacing w:after="0"/>
              <w:rPr>
                <w:sz w:val="20"/>
                <w:szCs w:val="20"/>
                <w:color w:val="auto"/>
              </w:rPr>
            </w:pPr>
            <w:r>
              <w:rPr>
                <w:rFonts w:ascii="Arial" w:cs="Arial" w:eastAsia="Arial" w:hAnsi="Arial"/>
                <w:sz w:val="14"/>
                <w:szCs w:val="14"/>
                <w:color w:val="auto"/>
              </w:rPr>
              <w:t>Restructuring (b)</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1,244</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213</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16"/>
                <w:szCs w:val="16"/>
                <w:color w:val="auto"/>
              </w:rPr>
            </w:pPr>
          </w:p>
        </w:tc>
      </w:tr>
      <w:tr>
        <w:trPr>
          <w:trHeight w:val="18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(c)</w:t>
            </w:r>
          </w:p>
        </w:tc>
        <w:tc>
          <w:tcPr>
            <w:tcW w:w="4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1,933</w:t>
            </w:r>
          </w:p>
        </w:tc>
        <w:tc>
          <w:tcPr>
            <w:tcW w:w="2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3,003</w:t>
            </w:r>
          </w:p>
        </w:tc>
        <w:tc>
          <w:tcPr>
            <w:tcW w:w="2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662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4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464,673</w:t>
            </w: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352,782</w:t>
            </w: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309,720</w:t>
            </w:r>
          </w:p>
        </w:tc>
        <w:tc>
          <w:tcPr>
            <w:tcW w:w="100" w:type="dxa"/>
            <w:vAlign w:val="bottom"/>
          </w:tcPr>
          <w:p>
            <w:pPr>
              <w:spacing w:after="0"/>
              <w:rPr>
                <w:sz w:val="15"/>
                <w:szCs w:val="15"/>
                <w:color w:val="auto"/>
              </w:rPr>
            </w:pPr>
          </w:p>
        </w:tc>
      </w:tr>
      <w:tr>
        <w:trPr>
          <w:trHeight w:val="20"/>
        </w:trPr>
        <w:tc>
          <w:tcPr>
            <w:tcW w:w="6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-153670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-153670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3"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Reflects costs incurred in connection with acquisitions, and other non-recurring transaction costs, primarily fees paid for professional services and employee retention.</w:t>
      </w:r>
    </w:p>
    <w:p>
      <w:pPr>
        <w:spacing w:after="0" w:line="14" w:lineRule="exact"/>
        <w:rPr>
          <w:rFonts w:ascii="Arial" w:cs="Arial" w:eastAsia="Arial" w:hAnsi="Arial"/>
          <w:sz w:val="14"/>
          <w:szCs w:val="14"/>
          <w:color w:val="auto"/>
        </w:rPr>
      </w:pPr>
    </w:p>
    <w:p>
      <w:pPr>
        <w:ind w:left="520" w:hanging="512"/>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Reflects costs associated with and related to our corporate restructuring initiatives.</w:t>
      </w:r>
    </w:p>
    <w:p>
      <w:pPr>
        <w:ind w:left="520" w:right="400" w:hanging="512"/>
        <w:spacing w:after="0" w:line="263"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a combination of gain/loss related to sale of fixed assets, software implementation costs, and other individually insignificant items that are non-recurring in nature.</w:t>
      </w:r>
    </w:p>
    <w:p>
      <w:pPr>
        <w:spacing w:after="0" w:line="16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Adjusted EBITDA is a supplemental measure of our operating performance included in this Annual Report on Form 10-K because it is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to measure the performance of the business generally. Adjusted EBITDA is frequently used by analysts, investors and other interested parties to evaluate companies in our industry.</w:t>
      </w:r>
    </w:p>
    <w:p>
      <w:pPr>
        <w:spacing w:after="0" w:line="17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Adjusted EBITDA is not a U.S. GAAP measure of our financial performance or liquidity and should not be considered as an alternative to net income as a measure of financial performance or cash flows from operations as measures of liquidity, or any other performance measure derived in accordance with U.S. GAAP. We define Adjusted EBITDA as net income attributable to Parsons Corporation, adjusted to include net income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equity-based compensation,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U.S. GAAP results in addition to using Adjusted EBITDA supplementally. Our measure of Adjusted EBITDA is not necessarily comparable to similarly titled captions of other companies due to different methods of calculation.</w:t>
      </w:r>
    </w:p>
    <w:p>
      <w:pPr>
        <w:spacing w:after="0" w:line="186" w:lineRule="exact"/>
        <w:rPr>
          <w:sz w:val="20"/>
          <w:szCs w:val="20"/>
          <w:color w:val="auto"/>
        </w:rPr>
      </w:pPr>
    </w:p>
    <w:p>
      <w:pPr>
        <w:ind w:right="340" w:firstLine="509"/>
        <w:spacing w:after="0" w:line="252" w:lineRule="auto"/>
        <w:rPr>
          <w:sz w:val="20"/>
          <w:szCs w:val="20"/>
          <w:color w:val="auto"/>
        </w:rPr>
      </w:pPr>
      <w:r>
        <w:rPr>
          <w:rFonts w:ascii="Arial" w:cs="Arial" w:eastAsia="Arial" w:hAnsi="Arial"/>
          <w:sz w:val="18"/>
          <w:szCs w:val="18"/>
          <w:color w:val="auto"/>
        </w:rPr>
        <w:t>See “Segment Results” below and "Note 20—</w:t>
      </w:r>
      <w:r>
        <w:rPr>
          <w:rFonts w:ascii="Arial" w:cs="Arial" w:eastAsia="Arial" w:hAnsi="Arial"/>
          <w:sz w:val="18"/>
          <w:szCs w:val="18"/>
          <w:i w:val="1"/>
          <w:iCs w:val="1"/>
          <w:color w:val="auto"/>
        </w:rPr>
        <w:t>Segments Information</w:t>
      </w:r>
      <w:r>
        <w:rPr>
          <w:rFonts w:ascii="Arial" w:cs="Arial" w:eastAsia="Arial" w:hAnsi="Arial"/>
          <w:sz w:val="18"/>
          <w:szCs w:val="18"/>
          <w:color w:val="auto"/>
        </w:rPr>
        <w:t>” in the notes to our consolidated financial statements included elsewhere in this Annual Report on Form 10-K for further discussion regarding our segment Adjusted EBITDA attributable to Parsons Corporation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Segment Results</w:t>
      </w:r>
    </w:p>
    <w:p>
      <w:pPr>
        <w:spacing w:after="0" w:line="211" w:lineRule="exact"/>
        <w:rPr>
          <w:sz w:val="20"/>
          <w:szCs w:val="20"/>
          <w:color w:val="auto"/>
        </w:rPr>
      </w:pPr>
    </w:p>
    <w:p>
      <w:pPr>
        <w:ind w:right="820" w:firstLine="509"/>
        <w:spacing w:after="0" w:line="252"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 noncontrolling interests.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73" w:name="page74"/>
    <w:bookmarkEnd w:id="73"/>
    <w:p>
      <w:pPr>
        <w:spacing w:after="0" w:line="191"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jc w:val="center"/>
              <w:ind w:right="360"/>
              <w:spacing w:after="0" w:line="15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2023</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Federal Solutions Adjusted EBITDA attributable to Parsons Corporation</w:t>
            </w: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289,250</w:t>
            </w:r>
          </w:p>
        </w:tc>
        <w:tc>
          <w:tcPr>
            <w:tcW w:w="54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199,004</w:t>
            </w:r>
          </w:p>
        </w:tc>
        <w:tc>
          <w:tcPr>
            <w:tcW w:w="4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162,733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gridSpan w:val="4"/>
          </w:tcPr>
          <w:p>
            <w:pPr>
              <w:ind w:left="20"/>
              <w:spacing w:after="0"/>
              <w:rPr>
                <w:sz w:val="20"/>
                <w:szCs w:val="20"/>
                <w:color w:val="auto"/>
              </w:rPr>
            </w:pPr>
            <w:r>
              <w:rPr>
                <w:rFonts w:ascii="Arial" w:cs="Arial" w:eastAsia="Arial" w:hAnsi="Arial"/>
                <w:sz w:val="18"/>
                <w:szCs w:val="18"/>
                <w:color w:val="auto"/>
              </w:rPr>
              <w:t>Critical Infrastructure Adjusted EBITDA attributable to Parsons Corporation</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127,785</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123,385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121,700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3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47,638</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30,393</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25,287</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80"/>
              <w:spacing w:after="0"/>
              <w:rPr>
                <w:sz w:val="20"/>
                <w:szCs w:val="20"/>
                <w:color w:val="auto"/>
              </w:rPr>
            </w:pPr>
            <w:r>
              <w:rPr>
                <w:rFonts w:ascii="Arial" w:cs="Arial" w:eastAsia="Arial" w:hAnsi="Arial"/>
                <w:sz w:val="18"/>
                <w:szCs w:val="18"/>
                <w:color w:val="auto"/>
              </w:rPr>
              <w:t>Total Adjusted EBITDA</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464,673</w:t>
            </w:r>
          </w:p>
        </w:tc>
        <w:tc>
          <w:tcPr>
            <w:tcW w:w="5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352,782</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309,720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Year ended December 31, 2023 compared to year ended December 31, 2022</w:t>
            </w: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656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920" w:type="dxa"/>
            <w:vAlign w:val="bottom"/>
          </w:tcPr>
          <w:p>
            <w:pPr>
              <w:spacing w:after="0"/>
              <w:rPr>
                <w:sz w:val="20"/>
                <w:szCs w:val="20"/>
                <w:color w:val="auto"/>
              </w:rPr>
            </w:pPr>
            <w:r>
              <w:rPr>
                <w:rFonts w:ascii="Arial" w:cs="Arial" w:eastAsia="Arial" w:hAnsi="Arial"/>
                <w:sz w:val="18"/>
                <w:szCs w:val="18"/>
                <w:i w:val="1"/>
                <w:iCs w:val="1"/>
                <w:color w:val="auto"/>
              </w:rPr>
              <w:t>Federal Solutions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9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The Year Ended</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Variance</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Pr>
          <w:p>
            <w:pPr>
              <w:spacing w:after="0"/>
              <w:rPr>
                <w:sz w:val="15"/>
                <w:szCs w:val="15"/>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Dollar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Percent</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3,020,701</w:t>
            </w:r>
          </w:p>
        </w:tc>
        <w:tc>
          <w:tcPr>
            <w:tcW w:w="280" w:type="dxa"/>
            <w:vAlign w:val="bottom"/>
          </w:tcPr>
          <w:p>
            <w:pPr>
              <w:spacing w:after="0"/>
              <w:rPr>
                <w:sz w:val="19"/>
                <w:szCs w:val="19"/>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2,212,987</w:t>
            </w:r>
          </w:p>
        </w:tc>
        <w:tc>
          <w:tcPr>
            <w:tcW w:w="40" w:type="dxa"/>
            <w:vAlign w:val="bottom"/>
          </w:tcPr>
          <w:p>
            <w:pPr>
              <w:spacing w:after="0"/>
              <w:rPr>
                <w:sz w:val="19"/>
                <w:szCs w:val="19"/>
                <w:color w:val="auto"/>
              </w:rPr>
            </w:pPr>
          </w:p>
        </w:tc>
        <w:tc>
          <w:tcPr>
            <w:tcW w:w="54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807,714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39"/>
        </w:trPr>
        <w:tc>
          <w:tcPr>
            <w:tcW w:w="492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289,250</w:t>
            </w:r>
          </w:p>
        </w:tc>
        <w:tc>
          <w:tcPr>
            <w:tcW w:w="280" w:type="dxa"/>
            <w:vAlign w:val="bottom"/>
          </w:tcPr>
          <w:p>
            <w:pPr>
              <w:spacing w:after="0"/>
              <w:rPr>
                <w:sz w:val="20"/>
                <w:szCs w:val="20"/>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199,004</w:t>
            </w:r>
          </w:p>
        </w:tc>
        <w:tc>
          <w:tcPr>
            <w:tcW w:w="40" w:type="dxa"/>
            <w:vAlign w:val="bottom"/>
          </w:tcPr>
          <w:p>
            <w:pPr>
              <w:spacing w:after="0"/>
              <w:rPr>
                <w:sz w:val="20"/>
                <w:szCs w:val="20"/>
                <w:color w:val="auto"/>
              </w:rPr>
            </w:pPr>
          </w:p>
        </w:tc>
        <w:tc>
          <w:tcPr>
            <w:tcW w:w="54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90,246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45.3 %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-1409700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-1409700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-1409700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7"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increase in Federal Solutions revenue for the year ended December 31, 2023 compared to the corresponding period last year was primarily due to organic growth of 25% and increases from business acquisitions of $264.1 million.</w:t>
      </w:r>
    </w:p>
    <w:p>
      <w:pPr>
        <w:spacing w:after="0" w:line="15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increase in Federal Solutions Adjusted EBITDA attributable to Parsons Corporation for the year ended December 31, 2023 compared to the prior year was primarily due to the factors impacting revenue discussed above and non-recurring incentive fees of approximately $20 million. These increases were offset by higher selling general and administrative costs from business acquisitions, business development and sales activities, and incentive compensation costs as a result of the company's strong operating performance and growing employee base.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The Year Ended</w:t>
            </w:r>
          </w:p>
        </w:tc>
        <w:tc>
          <w:tcPr>
            <w:tcW w:w="8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2,422,048</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1,982,285</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439,763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22.2 %</w:t>
            </w:r>
          </w:p>
        </w:tc>
      </w:tr>
      <w:tr>
        <w:trPr>
          <w:trHeight w:val="239"/>
        </w:trPr>
        <w:tc>
          <w:tcPr>
            <w:tcW w:w="492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127,785</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123,385</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increase in Critical Infrastructure revenue for the year ended December 31, 2023 compared to the corresponding period last year was substantially due to organic growth.</w:t>
      </w:r>
    </w:p>
    <w:p>
      <w:pPr>
        <w:spacing w:after="0" w:line="15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increase in Critical Infrastructure Adjusted EBITDA attributable to Parsons for the year ended December 31, 2023 compared to the corresponding period last year was primarily due to increases in business volume and a decrease in direct cost of contracts of $38 million related to a legal matter on a previously completed contract, offset by write-downs on joint ventures discussed above and higher selling general and administrative costs from business development and sales activities and higher incentive compensation costs as a result of the company's strong operating performance and growing employee base.</w:t>
      </w: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74" w:name="page75"/>
    <w:bookmarkEnd w:id="74"/>
    <w:p>
      <w:pPr>
        <w:spacing w:after="0" w:line="301" w:lineRule="exact"/>
        <w:rPr>
          <w:sz w:val="20"/>
          <w:szCs w:val="20"/>
          <w:color w:val="auto"/>
        </w:rPr>
      </w:pPr>
    </w:p>
    <w:p>
      <w:pPr>
        <w:ind w:right="4860"/>
        <w:spacing w:after="0" w:line="394" w:lineRule="auto"/>
        <w:rPr>
          <w:sz w:val="20"/>
          <w:szCs w:val="20"/>
          <w:color w:val="auto"/>
        </w:rPr>
      </w:pPr>
      <w:r>
        <w:rPr>
          <w:rFonts w:ascii="Arial" w:cs="Arial" w:eastAsia="Arial" w:hAnsi="Arial"/>
          <w:sz w:val="18"/>
          <w:szCs w:val="18"/>
          <w:b w:val="1"/>
          <w:bCs w:val="1"/>
          <w:i w:val="1"/>
          <w:iCs w:val="1"/>
          <w:color w:val="auto"/>
        </w:rPr>
        <w:t xml:space="preserve">Year ended December 31, 2022 compared to year ended December 31, 2021 </w:t>
      </w:r>
      <w:r>
        <w:rPr>
          <w:rFonts w:ascii="Arial" w:cs="Arial" w:eastAsia="Arial" w:hAnsi="Arial"/>
          <w:sz w:val="18"/>
          <w:szCs w:val="18"/>
          <w:i w:val="1"/>
          <w:iCs w:val="1"/>
          <w:color w:val="auto"/>
        </w:rPr>
        <w:t>Federal Solutions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The Year Ended</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Variance</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2,212,987</w:t>
            </w:r>
          </w:p>
        </w:tc>
        <w:tc>
          <w:tcPr>
            <w:tcW w:w="78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1,888,050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324,937</w:t>
            </w: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17.2 %</w:t>
            </w:r>
          </w:p>
        </w:tc>
      </w:tr>
      <w:tr>
        <w:trPr>
          <w:trHeight w:val="239"/>
        </w:trPr>
        <w:tc>
          <w:tcPr>
            <w:tcW w:w="552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199,004</w:t>
            </w:r>
          </w:p>
        </w:tc>
        <w:tc>
          <w:tcPr>
            <w:tcW w:w="78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162,733</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36,271</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4"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The increase in Federal Solutions revenue for the year ended December 31, 2022 compared to the corresponding period last year was primarily due to increases from business acquisitions of $205 million, and increases in business volume from recent contract awards and increased activity on existing contracts.</w:t>
      </w:r>
    </w:p>
    <w:p>
      <w:pPr>
        <w:spacing w:after="0" w:line="171" w:lineRule="exact"/>
        <w:rPr>
          <w:sz w:val="20"/>
          <w:szCs w:val="20"/>
          <w:color w:val="auto"/>
        </w:rPr>
      </w:pPr>
    </w:p>
    <w:p>
      <w:pPr>
        <w:jc w:val="both"/>
        <w:ind w:right="620" w:firstLine="509"/>
        <w:spacing w:after="0" w:line="252" w:lineRule="auto"/>
        <w:rPr>
          <w:sz w:val="20"/>
          <w:szCs w:val="20"/>
          <w:color w:val="auto"/>
        </w:rPr>
      </w:pPr>
      <w:r>
        <w:rPr>
          <w:rFonts w:ascii="Arial" w:cs="Arial" w:eastAsia="Arial" w:hAnsi="Arial"/>
          <w:sz w:val="18"/>
          <w:szCs w:val="18"/>
          <w:color w:val="auto"/>
        </w:rPr>
        <w:t>The increase in Federal Solutions Adjusted EBITDA attributable to Parsons Corporation for the year ended December 31, 2022 compared to the prior year was primarily due to increases in business volume, increases related to acquisitions, and a write down on a project in the corresponding period last year.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The Year Ended</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Variance</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1,982,285</w:t>
            </w:r>
          </w:p>
        </w:tc>
        <w:tc>
          <w:tcPr>
            <w:tcW w:w="7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1,772,721</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209,564</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11.8 %</w:t>
            </w:r>
          </w:p>
        </w:tc>
      </w:tr>
      <w:tr>
        <w:trPr>
          <w:trHeight w:val="239"/>
        </w:trPr>
        <w:tc>
          <w:tcPr>
            <w:tcW w:w="550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123,385</w:t>
            </w:r>
          </w:p>
        </w:tc>
        <w:tc>
          <w:tcPr>
            <w:tcW w:w="7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121,700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1" w:lineRule="exact"/>
        <w:rPr>
          <w:sz w:val="20"/>
          <w:szCs w:val="20"/>
          <w:color w:val="auto"/>
        </w:rPr>
      </w:pPr>
    </w:p>
    <w:p>
      <w:pPr>
        <w:ind w:right="260" w:firstLine="509"/>
        <w:spacing w:after="0" w:line="252" w:lineRule="auto"/>
        <w:rPr>
          <w:sz w:val="20"/>
          <w:szCs w:val="20"/>
          <w:color w:val="auto"/>
        </w:rPr>
      </w:pPr>
      <w:r>
        <w:rPr>
          <w:rFonts w:ascii="Arial" w:cs="Arial" w:eastAsia="Arial" w:hAnsi="Arial"/>
          <w:sz w:val="18"/>
          <w:szCs w:val="18"/>
          <w:color w:val="auto"/>
        </w:rPr>
        <w:t>The increase in revenue for the year ended December 31, 2022 compared to the corresponding period last year was primarily due to an increase in business volume from recent contract awards, increased activity on existing contracts, increased hiring activity, and write downs on projects in the corresponding period last year.</w:t>
      </w:r>
    </w:p>
    <w:p>
      <w:pPr>
        <w:spacing w:after="0" w:line="171"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The increase in Critical Infrastructure Adjusted EBITDA attributable to Parsons for the year ended December 31, 2022 compared to the corresponding period last year was primarily due to increases in business volume, partially offset by reduced equity in earnings of $21.9 million and increased SG&amp;A.</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Liquidity and Capital Resources</w:t>
      </w:r>
    </w:p>
    <w:p>
      <w:pPr>
        <w:spacing w:after="0" w:line="21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We currently finance our operations and capital expenditures through a combination of internally generated cash from operations, our Convertible Senior Notes, Delayed Draw Term Loan and periodic borrowings under our Revolving Credit Facility.</w:t>
      </w:r>
    </w:p>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75" w:name="page76"/>
    <w:bookmarkEnd w:id="75"/>
    <w:p>
      <w:pPr>
        <w:spacing w:after="0" w:line="19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 and Delayed Draw Term Loan.</w:t>
      </w:r>
    </w:p>
    <w:p>
      <w:pPr>
        <w:spacing w:after="0" w:line="179" w:lineRule="exact"/>
        <w:rPr>
          <w:sz w:val="20"/>
          <w:szCs w:val="20"/>
          <w:color w:val="auto"/>
        </w:rPr>
      </w:pPr>
    </w:p>
    <w:p>
      <w:pPr>
        <w:ind w:right="420" w:firstLine="509"/>
        <w:spacing w:after="0" w:line="243" w:lineRule="auto"/>
        <w:rPr>
          <w:sz w:val="20"/>
          <w:szCs w:val="20"/>
          <w:color w:val="auto"/>
        </w:rPr>
      </w:pPr>
      <w:r>
        <w:rPr>
          <w:rFonts w:ascii="Arial" w:cs="Arial" w:eastAsia="Arial" w:hAnsi="Arial"/>
          <w:sz w:val="18"/>
          <w:szCs w:val="18"/>
          <w:color w:val="auto"/>
        </w:rPr>
        <w:t>As of December 31, 2023,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Management continually monitors debt maturities to strategically execute optimal terms and ensure appropriate levels of working capital liquidity are maintained for the company.</w:t>
      </w:r>
    </w:p>
    <w:p>
      <w:pPr>
        <w:spacing w:after="0" w:line="179"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During October 2022, we prepaid private placement debt of $200.0 million with borrowings under the revolving credit facility and subsequently borrowed $350.0 million on the 2022 Delayed Draw Term Loan. Proceeds from the Delayed Draw Term Loan were used to pay down the borrowings under the revolving credit facility. See “Note 11 – Debt and Credit Facilities” in the notes to the consolidated financial statements in this Form 10-K for further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183"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7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(net of project accruals, billings in excess of revenue and accounts payable) by (ii) average revenue per day (calculated by dividing trailing twelve months revenue by the number of days in that period). We focus on collecting outstanding receivables to reduce net DSO and improve working capital. Net DSO was 59 days at December 31, 2023, down from 69 days at December 31, 2022. and 68 days at December 31, 2021. Our working capital (current assets less current liabilities)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was $726.6 million at December 31, 2023, $611.7 million at December 31, 2022 and $601.6 million at December 31, 2021.</w:t>
      </w:r>
    </w:p>
    <w:p>
      <w:pPr>
        <w:spacing w:after="0" w:line="215" w:lineRule="exact"/>
        <w:rPr>
          <w:sz w:val="20"/>
          <w:szCs w:val="20"/>
          <w:color w:val="auto"/>
        </w:rPr>
      </w:pPr>
    </w:p>
    <w:p>
      <w:pPr>
        <w:jc w:val="both"/>
        <w:ind w:right="280" w:firstLine="509"/>
        <w:spacing w:after="0" w:line="252" w:lineRule="auto"/>
        <w:rPr>
          <w:sz w:val="20"/>
          <w:szCs w:val="20"/>
          <w:color w:val="auto"/>
        </w:rPr>
      </w:pPr>
      <w:r>
        <w:rPr>
          <w:rFonts w:ascii="Arial" w:cs="Arial" w:eastAsia="Arial" w:hAnsi="Arial"/>
          <w:sz w:val="18"/>
          <w:szCs w:val="18"/>
          <w:color w:val="auto"/>
        </w:rPr>
        <w:t>Our cash and cash equivalents increased by $10.4 million to $272.9 million at December 31, 2023 from $262.5 million at December 31, 2022. This compares to a decrease in cash and cash equivalents of $81.3 million to $262.5 million at December 31, 2022 from $343.9 million at December 31, 2021.</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 Ended</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320"/>
              <w:spacing w:after="0" w:line="159"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662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2023</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407,699</w:t>
            </w:r>
          </w:p>
        </w:tc>
        <w:tc>
          <w:tcPr>
            <w:tcW w:w="28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237,526</w:t>
            </w: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205,574</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(375,970 )</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(417,468 )</w:t>
            </w: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(240,907 )</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(21,871 )</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100,368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(106,503 )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Effect of exchange rate changes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(1,770 )</w:t>
            </w: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(1,496 )</w:t>
            </w:r>
          </w:p>
        </w:tc>
      </w:tr>
      <w:tr>
        <w:trPr>
          <w:trHeight w:val="20"/>
        </w:trPr>
        <w:tc>
          <w:tcPr>
            <w:tcW w:w="6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(81,344 )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(143,332 )</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1"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(losses) earnings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18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Net cash provided by operating activities increased $170.2 million to $407.7 million during 2023 compared to $237.5 million during 2022. The increase in net cash provided by operating activities is primarily due to a $170.1 million change in net income after adjusting for non-cash items and the 10-day improvement in DSO. This increase was offset, in part, from changes in our working capital accounts of $6.3 million. The changes in the Company's various working capital accounts were driven primarily by the significant increase in business volume during the year ended December 31, 2023 compared to the corresponding period last year.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Net cash provided by operating activities increased $32.0 million to $237.5 million during 2022 compared to $205.6 million during</w:t>
      </w:r>
    </w:p>
    <w:p>
      <w:pPr>
        <w:spacing w:after="0" w:line="1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2021. The increase in net cash provided by operating activities is primarily due to a $40.4 million change in net income after adjusting for non-cash items and a change in the use of cash related to other long-term liabilities of $50.1 million. The long-term liabilities change was primarily driven by CARES Act deferrals from 2020 being reclassed from long-term to short-term at the end of 2021 and long-term portion of insurance reserve reduction during 2021. These increases were offset primarily from changes in our working capital accounts of $58.5 million (primarily from accounts receivable and contract assets, offset by accrued expenses, contract liabilities, accounts payable and prepaid expenses). Net DSO increased one day to 69 days as of December 31, 2022, compared to 68 as of December 31,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used in investing activities consists primarily of cash flows associated with capital expenditures and business acquisitions.</w:t>
      </w:r>
    </w:p>
    <w:p>
      <w:pPr>
        <w:spacing w:after="0" w:line="211"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Net cash used in investing activities decreased $41.5 million to $376.0 million during 2023 compared to $417.5 million during 2022. The change was primarily driven by a $157.5 million reduction in payments for acquisitions offset in part by a $102.0 million increase in investments in unconsolidated joint ventures, a $9.8 million increase in capital expenditures (primarily from computer systems and equipment) and a change from return of investments in unconsolidated joint ventures of $4.4 million.</w:t>
      </w:r>
    </w:p>
    <w:p>
      <w:pPr>
        <w:spacing w:after="0" w:line="176"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Net cash used in investing activities increased $176.6 million to $417.5 million during 2022 compared to $240.9 million during 2021, primarily due to the use of $379.5 million, net of cash acquired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during 2022 for the acquisition of Xator compared to the use of cash of $189.6 million, net of cash acquired, for the acquisition of BlackHorse and the use of $8.7 million, net of cash acquired, for the acquisition of Echo Ridge, both in 2021. Also impacting the increase in cash used in investing activities was a decrease in proceeds from sale of investments in unconsolidated joint ventures to zero during 2022 compared to $14.8 million during 2021. These increases in cash used in investment activities were offset in part by a $20.8 million decrease in investments in unconsolidated joint ventures.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Net cash provided by (used in) financing activities is primarily associated with proceeds from debt, the repayment thereof, transactions related to the Company’s common stock, and contributions by and distributions to noncontrolling interests.</w:t>
      </w:r>
    </w:p>
    <w:p>
      <w:pPr>
        <w:spacing w:after="0" w:line="153"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Net cash (used in) provided by financing activities changed by $122.2 million to $(21.9) million in 2023 compared to $ 100.4 million in 2022. This change was primarily due to a decrease of $150.0 million from net borrowing related activities and a $7.4 million change in contributions by noncontrolling interests offset by a decrease in distributions to noncontrolling interests of $11.6 billion, a decrease in cash used to repurchase common stock of $11.0 million and from $11.2 million of payments in warrants for the year ended December 31, 2022 that did not reoccur in 2023.</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provided by (used in) financing activities increased $206.9 million to $100.4 million in 2022</w:t>
      </w:r>
    </w:p>
    <w:p>
      <w:pPr>
        <w:spacing w:after="0" w:line="1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compared to $(106.5) million in 2021. Cash provided by financing activities in 2022 included $916.0 million in proceeds from borrowings under our credit agreement and $350 million in proceeds from the Delayed Draw Term Loan. These increases in cash provided by financing activities were offset in part by a change in repayments borrowings under our credit agreement of $866.0 million and a $200 million repayment under our private placement debt.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1"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We also have in place several secondary bank credit lines for issuing letters of credit, principally for foreign contracts, to support performance and completion guarantees. Letters of credit commitments outstanding under these bank lines aggregated $320.7 million as of December 31, 2023. Letters of credit outstanding under the Credit Agreement total $43.8 million.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significant accounting policies are described in “Note 2—</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notes to our consolidated financial statements included elsewhere in this Annual Report on Form 10-K. Management makes estimates and judgments in preparing our consolidated financial statements. These estimates and judgments affect the reported amounts of certain assets and liabilities and the revenues and expenses reported for the periods presented in the consolidated financial statements. Although such estimates and assumptions are based on information available through the date of the issuance of our consolidated financial statements, actual results could differ significantly from those estimates and assumptions. Our estimates, judgments and assumptions are evaluated periodically and adjusted accordingly.</w:t>
      </w:r>
    </w:p>
    <w:p>
      <w:pPr>
        <w:spacing w:after="0" w:line="183"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We believe that the following items are the most critical accounting policies and estimates that involved significant judgment as we prepared our financial statements. We consider an accounting policy or estimate to be critical if the policy or estimate requires assumptions to be made that were uncertain at the time they were made and if changes in these assumptions could have a material impact on our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Cost Estimation</w:t>
      </w:r>
    </w:p>
    <w:p>
      <w:pPr>
        <w:spacing w:after="0" w:line="10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In our industry, recognition of revenue and profit on long-term contracts requires the use of assumptions and estimates related to total contract revenue, total cost at completion, and the</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8" w:name="page79"/>
    <w:bookmarkEnd w:id="78"/>
    <w:p>
      <w:pPr>
        <w:spacing w:after="0" w:line="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measurement of progress towards completion. Estimates are continually evaluated as work progresses and are revised when necessary. When a change in estimate is determined to have an impact on contract revenue or profit, we record a positive or negative adjustment to the consolidated statements of income.</w:t>
      </w:r>
    </w:p>
    <w:p>
      <w:pPr>
        <w:spacing w:after="0" w:line="171"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The transaction price of a contract is allocated to each distinct performance obligation and recognized as revenue when, or as, the performance obligation is satisfied. To the extent a contract is deemed to have multiple performance obligations, we allocate the transaction price of the contract to each performance obligation using our best estimate of the standalone selling price of each distinct good or service in the contract. We determine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we provide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we are not liable for the construction of the asset, but have an overall responsibility to oversee, coordinate, measure, and evaluate the quality of construction work and the performance of the construction contractor on behalf of the customer. Customers are generally billed as we satisfy our performance obligations and payment terms typically range from 30 to 120 days from the invoice date. Billings under certain fixed-price contracts may be based upon the achievement of specified milestones, while some arrangements may require advance customer payment. Our contracts generally do not include a significant financing component.</w:t>
      </w:r>
    </w:p>
    <w:p>
      <w:pPr>
        <w:spacing w:after="0" w:line="18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transaction price for our contracts may include variable consideration, which includes award and incentive fees, increases to the transaction price for approved and unpriced change orders, claims, and reductions to transaction price for liquidated damages. We recognize adjustments in estimated profit on contracts under the cumulative catch-up method. Under this method, the impact of the adjustment on profit recorded to-date is recognized in the period the adjustment is identified. If at any time the estimate of contract profitability indicates an anticipated loss on the contract, we recognize the total loss in the quarter it is identified.</w:t>
      </w:r>
    </w:p>
    <w:p>
      <w:pPr>
        <w:spacing w:after="0" w:line="17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Claims revenue is related to amounts in excess of agreed contract price that we seek to collect from clients or others for customer-caused delays, errors in specifications and designs, contract terminations, change orders that are either in dispute or are unapproved as to both price and scope, or other causes of unanticipated additional contract costs, including factors outside of our control, where we therefore believe we are entitled to additional compensation. Claims revenue, when recorded, is only recorded to the extent it is probable that a significant reversal of cumulative revenue recognized will not occur. We include certain unapproved claims in the transaction price when the claims are legally enforceable, we consider collection to be probable and believe we can reliably estimate the ultimate value. We continue to engage in negotiations with our customers on our outstanding claims. However, these claims may be resolved at amounts that differ from our current estimates, which could result in increases or decreases in future estimated contract profits or losses. Costs related to claims are recognized when they are incurred.</w:t>
      </w:r>
    </w:p>
    <w:p>
      <w:pPr>
        <w:spacing w:after="0" w:line="18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Change orders, which are a normal and recurring part of our business, are generally not distinct and are accounted for as part of the existing contract. The effect of a change order that is not distinct on the transaction price and our measure of progress for the performance obligation to which it relates is recognized on a cumulative catch-up basis. To the extent change orders included in the transaction price are not resolved in our favor, there could be reductions in, or reversals of previously reported amounts of, revenues and profits, and charges against current earnings. Costs relating to change orders are recognized when they are incurred.</w:t>
      </w:r>
    </w:p>
    <w:p>
      <w:pPr>
        <w:spacing w:after="0" w:line="17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recognize revenue for most of our contracts over time as performance obligations are satisfied, as we are continuously transferring control to the customer. Typically, revenue is recognized over time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9" w:name="page80"/>
    <w:bookmarkEnd w:id="79"/>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using an input measure (i.e., costs incurred to date relative to total estimated costs at completion) to measure progress.</w:t>
      </w:r>
    </w:p>
    <w:p>
      <w:pPr>
        <w:spacing w:after="0" w:line="211"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We often enter into contracts in which the amount billed to the customer corresponds directly with the amount of work performed. These contract types qualify for the “right to invoice” practical expedient method of measuring progress, in which the right to consideration corresponds directly with the value to the customer of our performance to date. For these contracts, revenue is recognized in the amount that we have the right to invoice.</w:t>
      </w:r>
    </w:p>
    <w:p>
      <w:pPr>
        <w:spacing w:after="0" w:line="176"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Provisions for anticipated losses on contracts, including those arising from disputes and other contingencies, are recorded in the period such loss becomes known; provisions not ultimately required are released as disputes or contingencies are resolved.</w:t>
      </w:r>
    </w:p>
    <w:p>
      <w:pPr>
        <w:spacing w:after="0" w:line="153"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Contract costs include labor and materials, amounts payable to subcontractors, direct overhead costs and 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1" w:lineRule="exact"/>
        <w:rPr>
          <w:sz w:val="20"/>
          <w:szCs w:val="20"/>
          <w:color w:val="auto"/>
        </w:rPr>
      </w:pPr>
    </w:p>
    <w:p>
      <w:pPr>
        <w:ind w:right="320" w:firstLine="509"/>
        <w:spacing w:after="0" w:line="252"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17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interest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83" w:lineRule="exact"/>
        <w:rPr>
          <w:sz w:val="20"/>
          <w:szCs w:val="20"/>
          <w:color w:val="auto"/>
        </w:rPr>
      </w:pPr>
    </w:p>
    <w:p>
      <w:pPr>
        <w:ind w:right="500" w:firstLine="509"/>
        <w:spacing w:after="0" w:line="252"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71" w:lineRule="exact"/>
        <w:rPr>
          <w:sz w:val="20"/>
          <w:szCs w:val="20"/>
          <w:color w:val="auto"/>
        </w:rPr>
      </w:pPr>
    </w:p>
    <w:p>
      <w:pPr>
        <w:jc w:val="both"/>
        <w:ind w:right="240" w:firstLine="509"/>
        <w:spacing w:after="0" w:line="252" w:lineRule="auto"/>
        <w:rPr>
          <w:sz w:val="20"/>
          <w:szCs w:val="20"/>
          <w:color w:val="auto"/>
        </w:rPr>
      </w:pPr>
      <w:r>
        <w:rPr>
          <w:rFonts w:ascii="Arial" w:cs="Arial" w:eastAsia="Arial" w:hAnsi="Arial"/>
          <w:sz w:val="18"/>
          <w:szCs w:val="18"/>
          <w:color w:val="auto"/>
        </w:rPr>
        <w:t>We have operating and finance leases for corporate and project office spaces, vehicles, heavy machinery and office equipment. Our leases have remaining lease terms of one year to eight years, some of which may include options to extend the leases for up to five years, and some of which may include options to terminate the leases up to the third year.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1"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cost of an acquired company is assigned to the tangible and intangible assets purchased and the liabilities assumed on the basis of their fair values at the date of acquisition. The determination of fair values of assets acquired and liabilities assumed requires us to make estimates and use valuation techniques when a market value is not readily available. Any excess of purchase price over the fair value of tangible and intangible assets acquired and obligations assumed is allocated to goodwill. Goodwill typically represents the value paid for the assembled workforce and enhancement of our service offerings. Transaction costs associated with business combinations are expensed as incurred. The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determination of fair values of assets acquired and liabilities assumed requires the Company to make estimates and use valuation techniques when a market value is not readily available. The Company adjusts the preliminary purchase prices allocation, as necessary, during the measurement period of up to one year after the acquisition closing date as the Company obtains more information as to facts and circumstances existing at the acquisition date.</w:t>
      </w:r>
    </w:p>
    <w:p>
      <w:pPr>
        <w:spacing w:after="0" w:line="68"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Certain business acquisitions include contingent earn-out arrangements, which are generally based on meeting a revenue target. The fair value of this contingent consideration is included as part of the purchase price of the acquired company on the acquisition date and recorded in at its fair value within other liabilities or other long-term liabilities, as appropriate on the consolidated balance sheets.</w:t>
      </w:r>
    </w:p>
    <w:p>
      <w:pPr>
        <w:spacing w:after="0" w:line="6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measure our contingent consideration at fair value on a recurring basis using significant unobservable inputs classified within Level 3 of the fair value hierarchy.The fair value of contingent consideration is determined using the option pricing method prescribed in the earnout valuation guide published by The Appraisal Foundation. We consider three major risks associated with earnout, i.e. risk in the underlying metric, risk in the earnout structure, and counterparty credit risk. Our valuation model is based on the Black Scholes option pricing formula and major assumptions including projected revenue, the revenue discount rate, the revenue volatility, and the Company's credit adjusted discount rate. Subsequent adjustments to these assumptions can cause changes to the measure of contingent consideration.</w:t>
      </w:r>
    </w:p>
    <w:p>
      <w:pPr>
        <w:spacing w:after="0" w:line="7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The Company reassess the estimated fair value of contingent consideration on a quarterly basis with any change in the fair value recorded to selling, general and administrative expense in the current quarter. The updated fair value could differ materially from the acquisition date fair value. The amount of contingent consideration ultimately paid that is less than or equal to the liability on the acquisition date is reflected as cash used in financing activities in our consolidated statements of cash flows. Any amounts paid in excess of the liability on the acquisition date is reflected as cash used in operating activities in our consolidated statements of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Goodwill is not amortized but is subject to an annual impairment test. Interim testing for impairment is performed if indicators of potential impairment exist. For purposes of impairment testing, goodwill is allocated to the applicable reporting units based on the current reporting structure. When evaluating goodwill for impairment, we may decide to first perform a qualitative assessment, or “step zero” impairment test, to determine whether it is more likely than not that impairment has occurred. If we do not perform a qualitative assessment, or if we determine that it is not more likely than not that the fair value of our reporting units exceeds their carrying amounts, we perform a quantitative assessment and calculate the estimated fair value of the respective reporting unit. If the carrying amount of a reporting unit’s goodwill exceeds the fair value of that goodwill, an impairment loss is recognized.</w:t>
      </w:r>
    </w:p>
    <w:p>
      <w:pPr>
        <w:spacing w:after="0" w:line="183" w:lineRule="exact"/>
        <w:rPr>
          <w:sz w:val="20"/>
          <w:szCs w:val="20"/>
          <w:color w:val="auto"/>
        </w:rPr>
      </w:pPr>
    </w:p>
    <w:p>
      <w:pPr>
        <w:ind w:right="520" w:firstLine="509"/>
        <w:spacing w:after="0" w:line="252" w:lineRule="auto"/>
        <w:rPr>
          <w:sz w:val="20"/>
          <w:szCs w:val="20"/>
          <w:color w:val="auto"/>
        </w:rPr>
      </w:pPr>
      <w:r>
        <w:rPr>
          <w:rFonts w:ascii="Arial" w:cs="Arial" w:eastAsia="Arial" w:hAnsi="Arial"/>
          <w:sz w:val="18"/>
          <w:szCs w:val="18"/>
          <w:color w:val="auto"/>
        </w:rPr>
        <w:t>Our decision to perform a qualitative impairment assessment in a given year is influenced by a number of factors, including the significance of the excess of our estimated fair value over carrying value at the last quantitative assessment date, the amount of time in between quantitative fair value assessments, and the date of the applicable acquisitions, if any.</w:t>
      </w:r>
    </w:p>
    <w:p>
      <w:pPr>
        <w:spacing w:after="0" w:line="176" w:lineRule="exact"/>
        <w:rPr>
          <w:sz w:val="20"/>
          <w:szCs w:val="20"/>
          <w:color w:val="auto"/>
        </w:rPr>
      </w:pPr>
    </w:p>
    <w:p>
      <w:pPr>
        <w:jc w:val="both"/>
        <w:ind w:right="60" w:firstLine="509"/>
        <w:spacing w:after="0"/>
        <w:rPr>
          <w:sz w:val="20"/>
          <w:szCs w:val="20"/>
          <w:color w:val="auto"/>
        </w:rPr>
      </w:pPr>
      <w:r>
        <w:rPr>
          <w:rFonts w:ascii="Arial" w:cs="Arial" w:eastAsia="Arial" w:hAnsi="Arial"/>
          <w:sz w:val="17"/>
          <w:szCs w:val="17"/>
          <w:color w:val="auto"/>
        </w:rPr>
        <w:t>We perform a goodwill impairment test annually, on October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of each year, for each reporting unit that requires certain assumptions and estimates be made regarding industry economic factors and future profitability. For the years ended December 31, 2023, December 31, 2022 and December 31, 2021, we performed a quantitative analysis for all of our reporting units. It was determined that the fair value of each of our reporting units substantially exceeded their carrying values. As a result, no goodwill impairments were identified for those periods.</w:t>
      </w:r>
    </w:p>
    <w:p>
      <w:pPr>
        <w:spacing w:after="0" w:line="182" w:lineRule="exact"/>
        <w:rPr>
          <w:sz w:val="20"/>
          <w:szCs w:val="20"/>
          <w:color w:val="auto"/>
        </w:rPr>
      </w:pPr>
    </w:p>
    <w:p>
      <w:pPr>
        <w:ind w:right="80" w:firstLine="509"/>
        <w:spacing w:after="0" w:line="274" w:lineRule="auto"/>
        <w:rPr>
          <w:sz w:val="20"/>
          <w:szCs w:val="20"/>
          <w:color w:val="auto"/>
        </w:rPr>
      </w:pPr>
      <w:r>
        <w:rPr>
          <w:rFonts w:ascii="Arial" w:cs="Arial" w:eastAsia="Arial" w:hAnsi="Arial"/>
          <w:sz w:val="17"/>
          <w:szCs w:val="17"/>
          <w:color w:val="auto"/>
        </w:rPr>
        <w:t>The goodwill impairment test involves determination of the fair value of our reporting units. This process requires significant judgments and estimates, including assumptions about our strategic plans for operations as well as the interpretation of current economic indicators. Development of the present value of future cash flow projections includes assumptions and estimates derived from a review of our expected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revenue growth rates, profit margins, business plans, cost of capital and tax rates. We also make certain assumptions about future market conditions, market prices, interest rates and changes in business strategies. Changes in assumptions or estimates could materially affect the determination of the fair value of a reporting unit. This could eliminate the excess of fair value over carrying value of a reporting unit entirely and, in some cases, result in impairment. Such changes in assumptions could be caused by a loss of one or more significant contracts, reductions in government or commercial client spending, or a decline in the demand for our services due to changing economic conditions. In the event that we determine that our goodwill is impaired, we would be required to record a non-cash charge that could result in a material adverse effect on our results of operations or financial position.</w:t>
      </w:r>
    </w:p>
    <w:p>
      <w:pPr>
        <w:spacing w:after="0" w:line="18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use the Income Approach and Market Approach (Guideline Transaction and Guideline Company Method) to determine the fair value of reporting units. The Income Approach utilizes the discounted cash flow method, which focuses on the expected cash flow of the reporting unit. In applying this approach, the cash flow is calculated for a finite period of years. Beyond the finite period, a terminal value is developed using a sustainable long-term annual growth rate estimate. Then the finite period cash flows and the terminal value are discounted to present value to arrive at an indication of fair value. We utilized internal financial projections through fiscal 2028. The Market Approach utilizes market comparable transactions and comparable companies to calculate the estimated fair value. The guideline company approach focuses on comparing the reporting unit to select reasonably similar (or ”guideline”) publicly traded companies. Under this method, valuation multiples are derived from the median of the operating data of selected guideline companies and applied to the operating data of the reporting unit to arrive at an indicative value. In the similar transactions approach, consideration is given to prices paid in recent transactions that have occurred in the reporting unit's industry or in related industries. For the Federal Solutions reporting unit, only the Guideline Company Method is used as the Federal Solutions reporting unit has gone through multiple acquisitions during the past two years, thus making Guideline Transaction Method difficult to apply. For the Critical Infrastructure reporting unit, both the Guideline Transaction Method and Guideline Company Method are utilized to calculate the estimated fair value. Equal weighing is given to each of the methods used to estimate the fair value of reporting units. Our last review at October 1, 2023 (i.e., the first day of our fourth quarter in fiscal 2023), indicated that we had no impairment of goodwill, and all of our reporting units had estimated fair values that were in excess of their carrying values, including goodwill.</w:t>
      </w:r>
    </w:p>
    <w:p>
      <w:pPr>
        <w:spacing w:after="0" w:line="18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ten years. These primarily consist of customer relationships, backlog, and covenants not to compete. We assess the recoverability of the unamortized balance of our intangible assets when indicators of impairment are present based on expected future profitability and undiscounted expected cash flows and their contribution to overall operations. Should the review indicate that the carrying value is not fully recoverable, the excess of the carrying value over the fair value of the intangible assets would be recognized as an impairment loss.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Joint Ventures and Variable Interest Entities</w:t>
      </w:r>
    </w:p>
    <w:p>
      <w:pPr>
        <w:spacing w:after="0" w:line="101"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We participate in joint ventures, which include partnerships and partially owned limited liability corporations, to bid, negotiate and complete specific projects. We are required to consolidate these joint ventures if we hold the majority voting interest or if we meet the criteria under the consolidation model as described below.</w:t>
      </w:r>
    </w:p>
    <w:p>
      <w:pPr>
        <w:spacing w:after="0" w:line="17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A variable interest entity, or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Our VIEs may be funded through contributions, loans and/or advances from the joint venture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9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71" w:lineRule="exact"/>
        <w:rPr>
          <w:sz w:val="20"/>
          <w:szCs w:val="20"/>
          <w:color w:val="auto"/>
        </w:rPr>
      </w:pPr>
    </w:p>
    <w:p>
      <w:pPr>
        <w:ind w:right="360" w:firstLine="509"/>
        <w:spacing w:after="0" w:line="274" w:lineRule="auto"/>
        <w:rPr>
          <w:sz w:val="20"/>
          <w:szCs w:val="20"/>
          <w:color w:val="auto"/>
        </w:rPr>
      </w:pPr>
      <w:r>
        <w:rPr>
          <w:rFonts w:ascii="Arial" w:cs="Arial" w:eastAsia="Arial" w:hAnsi="Arial"/>
          <w:sz w:val="17"/>
          <w:szCs w:val="17"/>
          <w:color w:val="auto"/>
        </w:rPr>
        <w:t>We are required to perform an analysis to determine whether we are the primary beneficiary of our VIEs. We are deemed to be the primary beneficiary of a VIE if we have (i) the power to direct the activities of the VIE that most significantly impact the VIE’s economic performance; and (ii) the obligation to absorb losses or the right to receive benefits that could potentially be significant to the VIE.</w:t>
      </w:r>
    </w:p>
    <w:p>
      <w:pPr>
        <w:spacing w:after="0" w:line="15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Many of the joint ventures we enter into are deemed to be VIEs because they lack sufficient equity to finance the activities of the joint venture. We use a qualitative approach to determine if we are the primary beneficiary of the VIE, which considers factors that indicate a party has the power to direct the activities that most significantly impact the joint venture’s economic performance. In determining whether we are the primary beneficiary of the VIE,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including which joint venture partner provides the project manager; and (6) reviewing the funding and operating agreements. We analyze each joint venture initially to determine if it should be consolidated or unconsolidated into our financial statements:</w:t>
      </w:r>
    </w:p>
    <w:p>
      <w:pPr>
        <w:spacing w:after="0" w:line="77" w:lineRule="exact"/>
        <w:rPr>
          <w:sz w:val="20"/>
          <w:szCs w:val="20"/>
          <w:color w:val="auto"/>
        </w:rPr>
      </w:pPr>
    </w:p>
    <w:p>
      <w:pPr>
        <w:ind w:left="1020" w:right="480" w:hanging="504"/>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A joint venture is consolidated into our financial statements if we are the primary beneficiary of a VIE or hold the majority of voting interests of a non-VIE (and no significant participative rights are available to the other partners).</w:t>
      </w:r>
    </w:p>
    <w:p>
      <w:pPr>
        <w:spacing w:after="0" w:line="45" w:lineRule="exact"/>
        <w:rPr>
          <w:rFonts w:ascii="Times New Roman" w:cs="Times New Roman" w:eastAsia="Times New Roman" w:hAnsi="Times New Roman"/>
          <w:sz w:val="18"/>
          <w:szCs w:val="18"/>
          <w:color w:val="auto"/>
        </w:rPr>
      </w:pPr>
    </w:p>
    <w:p>
      <w:pPr>
        <w:ind w:left="1020" w:right="160" w:hanging="504"/>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A joint venture is not consolidated into our financial statements if we are not the primary beneficiary of a VIE, or do not hold the majority of voting interest of a non-VIE.</w:t>
      </w:r>
    </w:p>
    <w:p>
      <w:pPr>
        <w:spacing w:after="0" w:line="154"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We account for our unconsolidated joint ventures using the equity method of accounting. Under this method, we recognize our proportionate share of the net earnings of these joint ventures as “Equity in earnings (loss) of unconsolidated joint ventures”. Our maximum exposure to loss as a result of our investments in unconsolidated variable interest entities is typically limited to the aggregate of the carrying value of the investment and future funding commitments in these entities.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ESOP</w:t>
      </w:r>
    </w:p>
    <w:p>
      <w:pPr>
        <w:spacing w:after="0" w:line="101" w:lineRule="exact"/>
        <w:rPr>
          <w:sz w:val="20"/>
          <w:szCs w:val="20"/>
          <w:color w:val="auto"/>
        </w:rPr>
      </w:pPr>
    </w:p>
    <w:p>
      <w:pPr>
        <w:jc w:val="both"/>
        <w:ind w:right="100" w:firstLine="509"/>
        <w:spacing w:after="0" w:line="246" w:lineRule="auto"/>
        <w:rPr>
          <w:sz w:val="20"/>
          <w:szCs w:val="20"/>
          <w:color w:val="auto"/>
        </w:rPr>
      </w:pPr>
      <w:r>
        <w:rPr>
          <w:rFonts w:ascii="Arial" w:cs="Arial" w:eastAsia="Arial" w:hAnsi="Arial"/>
          <w:sz w:val="18"/>
          <w:szCs w:val="18"/>
          <w:color w:val="auto"/>
        </w:rPr>
        <w:t>Throughout the year, as employee services are rendered, we record compensation expense based on salaries of eligible employees. Contributions of our common stock to the ESOP are made annually in amounts determined by our board of directors and are held in trust for the sole benefit of the participants. Shares allocated to a participant’s account are fully vested after three years of credited service, or in the event(s) of reaching age 65, death or disability while an active employee, whichever occurs first.</w:t>
      </w:r>
    </w:p>
    <w:p>
      <w:pPr>
        <w:spacing w:after="0" w:line="176"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our common stock based on quoted prices of a share of our common stock on the NYSE. A participant will be able to sell such shares of common stock in the market, subject to any requirements of the federal securities laws.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03"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measure the value of services received from employees and directors in exchange for an equity-based award based on the grant date fair value. We issue equity-based awards that settle in shares of our common stock. Awards containing performance measures are adjusted at each reporting period for the number of shares expected to be earned. Compensation cost for performance awards are trued-up at each reporting period for changes in expected shares pro-rated for the portion of the requisite service period rendered. We recognize compensation costs for these awards on either a straight-line or accelerated basis over the vesting period of the award in “Selling, general and administrative expenses” in the consolidated statements of income. For awards that include market conditions, the grant date fair value is determined using a Monte Carlo simulation.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01"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We are self-insured for a portion of our losses and liabilities primarily associated with workers’ compensation, general, professional, automobile, employee matters, certain medical plans, and project specific liability claims. Losses are accrued based upon our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 Actual losses and related expenses may deviate, perhaps substantially, from the self-insurance liability estimates reflected in our financial statements.</w:t>
      </w: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Recent Accounting Pronouncements</w:t>
      </w:r>
    </w:p>
    <w:p>
      <w:pPr>
        <w:spacing w:after="0" w:line="211" w:lineRule="exact"/>
        <w:rPr>
          <w:sz w:val="20"/>
          <w:szCs w:val="20"/>
          <w:color w:val="auto"/>
        </w:rPr>
      </w:pPr>
    </w:p>
    <w:p>
      <w:pPr>
        <w:ind w:right="1100" w:firstLine="509"/>
        <w:spacing w:after="0" w:line="301" w:lineRule="auto"/>
        <w:rPr>
          <w:sz w:val="20"/>
          <w:szCs w:val="20"/>
          <w:color w:val="auto"/>
        </w:rPr>
      </w:pPr>
      <w:r>
        <w:rPr>
          <w:rFonts w:ascii="Arial" w:cs="Arial" w:eastAsia="Arial" w:hAnsi="Arial"/>
          <w:sz w:val="17"/>
          <w:szCs w:val="17"/>
          <w:color w:val="auto"/>
        </w:rPr>
        <w:t>See the information set forth in “Note 2—</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—Recently Adopted Accounting Pronouncements” in the notes to our consolidated financial statements included elsewhere in this Annual Report on Form 10-K.</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Off-Balance Sheet Arrangements</w:t>
      </w:r>
    </w:p>
    <w:p>
      <w:pPr>
        <w:spacing w:after="0" w:line="211"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As of December 31, 2023,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Commitments and Contingencies</w:t>
      </w:r>
    </w:p>
    <w:p>
      <w:pPr>
        <w:spacing w:after="0" w:line="211"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We are subject to certain claims and assessments that arise in the ordinary course of business. Additionally, Parsons has been named as a defendant in lawsuits alleging personal injuries as a result of contact with asbestos products at various project sites. We believe that any significant costs relating to these claims will be reimbursed by applicable insurance and do not expect any of these claims to have a material adverse effect on our financial condition or results of operations. We record a liability when we believe that it is both probable that a loss has been incurred and the amount can be reasonably estimated. Management judgment is required to determine the outcome and the estimated amount of a loss related to such matters. Management believes that there are no claims or assessments outstanding which would materially affect our consolidated results of operations or our financial position.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Qualitative and Quantitative Disclosure About Market Risk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interest rate risks related to the Company’s Revolving Credit Facility and Delayed Draw Term Loan.</w:t>
      </w:r>
    </w:p>
    <w:p>
      <w:pPr>
        <w:spacing w:after="0" w:line="21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December 31, 2023 and December 31, 2022, there were no amounts outstanding under the Revolving Credit Facility. Borrowings under the Revolving Credit Facility effective June 2021 bear interest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19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at either an adjusted Term SOFR rate plus a margin between 1.0% and 1.625%, or a base rate (as defined in the Credit Agreement) plus a margin of between 0% and 0.625%, both based on the leverage ratio of the Company at the end of each quarter.</w:t>
      </w:r>
    </w:p>
    <w:p>
      <w:pPr>
        <w:spacing w:after="0" w:line="15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As of December 31, 2023, there was $350.0 million outstanding under the 2022 Delayed Draw Term Loan.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The interest rate at December 31, 2023 and December 31, 2022 was 6.6% and 5.6%,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1"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3"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information required by this item 8 is submitted as a separate section beginning on page F-1 of this Annual Report on Form 10-K and is incorporated by reference.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3"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Our management carried out, as of December 31, 2023,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December 31, 2023, our disclosure controls and procedures were effective to provide reasonable assurance that information required to be disclosed by us in reports we file or submit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Management is responsible for establishing and maintaining for the Company adequate internal control over financial reporting, as defined in Rule 13a-15(f) under the Exchange Act. Management, with the participation of its Chair and Chief Executive Officer (principal executive officer) and Chief Financial Officer (principal financial officer), has assessed the effectiveness of the Company’s internal control over financial reporting as of December 31, 2023 based on the framework established in “Internal Control—Integrated Framework,” issued by the Committee of Sponsoring Organizations of the Treadway Commission (2013 framework). Based on this assessment, management has concluded that the Company’s internal control over financial reporting was effective as of December 31, 2023.</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191" w:lineRule="exact"/>
        <w:rPr>
          <w:sz w:val="20"/>
          <w:szCs w:val="20"/>
          <w:color w:val="auto"/>
        </w:rPr>
      </w:pPr>
    </w:p>
    <w:p>
      <w:pPr>
        <w:ind w:right="360" w:firstLine="509"/>
        <w:spacing w:after="0" w:line="252" w:lineRule="auto"/>
        <w:rPr>
          <w:sz w:val="20"/>
          <w:szCs w:val="20"/>
          <w:color w:val="auto"/>
        </w:rPr>
      </w:pPr>
      <w:r>
        <w:rPr>
          <w:rFonts w:ascii="Arial" w:cs="Arial" w:eastAsia="Arial" w:hAnsi="Arial"/>
          <w:sz w:val="18"/>
          <w:szCs w:val="18"/>
          <w:color w:val="auto"/>
        </w:rPr>
        <w:t>The Company’s independent registered public accounting firm, PricewaterhouseCoopers LLP, which audited the Company’s consolidated financial statements included in this Annual Report on Form 10-K, also audited the effectiveness of our internal control over financial reporting as of December 31, 2023, as stated in their audit report included in this Annual Report on Form 10-K.</w:t>
      </w:r>
    </w:p>
    <w:p>
      <w:pPr>
        <w:spacing w:after="0" w:line="17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Consistent with the guidance issued by the Securities and Exchange Commission Staff, management has excluded IPKeys, which we acquired on April 13, 2023, SealingTech which we acquired on August 23, 2023, and I.S. Engineers, which we acquired on October 31, 2023 from its assessment of internal controls over financial reporting as of December 31, 2023. The total assets and revenue related to SealingTech and I.S. Engineers, both wholly owned subsidiaries, are both less than 1% of the related consolidated financial statement amounts as of and for the year ended December 31, 2023. The total assets and revenue related to IPKeys, a wholly owned subsidiary, are both 1.1% of the related consolidated financial statement amounts as of and for the year ended December 31, 2023.</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3"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of the Securities Exchange Act of 1934, that occurred during the quarter ended December 31, 2023 that materially affected, or are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Insider Trading Relationships and Policies</w:t>
      </w:r>
    </w:p>
    <w:p>
      <w:pPr>
        <w:spacing w:after="0" w:line="103" w:lineRule="exact"/>
        <w:rPr>
          <w:sz w:val="20"/>
          <w:szCs w:val="20"/>
          <w:color w:val="auto"/>
        </w:rPr>
      </w:pPr>
    </w:p>
    <w:p>
      <w:pPr>
        <w:jc w:val="both"/>
        <w:ind w:right="40" w:firstLine="509"/>
        <w:spacing w:after="0" w:line="252" w:lineRule="auto"/>
        <w:rPr>
          <w:sz w:val="20"/>
          <w:szCs w:val="20"/>
          <w:color w:val="auto"/>
        </w:rPr>
      </w:pPr>
      <w:r>
        <w:rPr>
          <w:rFonts w:ascii="Arial" w:cs="Arial" w:eastAsia="Arial" w:hAnsi="Arial"/>
          <w:sz w:val="18"/>
          <w:szCs w:val="18"/>
          <w:color w:val="auto"/>
        </w:rPr>
        <w:t>In conformance with updated SEC regulations, the Company has adopted amended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New York Stock Exchange standards.</w:t>
      </w:r>
    </w:p>
    <w:p>
      <w:pPr>
        <w:spacing w:after="0" w:line="63" w:lineRule="exact"/>
        <w:rPr>
          <w:sz w:val="20"/>
          <w:szCs w:val="20"/>
          <w:color w:val="auto"/>
        </w:rPr>
      </w:pPr>
    </w:p>
    <w:p>
      <w:pPr>
        <w:ind w:right="220" w:firstLine="509"/>
        <w:spacing w:after="0" w:line="301" w:lineRule="auto"/>
        <w:rPr>
          <w:sz w:val="20"/>
          <w:szCs w:val="20"/>
          <w:color w:val="auto"/>
        </w:rPr>
      </w:pPr>
      <w:r>
        <w:rPr>
          <w:rFonts w:ascii="Arial" w:cs="Arial" w:eastAsia="Arial" w:hAnsi="Arial"/>
          <w:sz w:val="17"/>
          <w:szCs w:val="17"/>
          <w:color w:val="auto"/>
        </w:rPr>
        <w:t>During the fiscal quarter ended December 31, 2023, no director or named executive officer of the Company adopted or terminated a "Rule 10b5-1 trading arrangement" or a "non-Rule 10b5-1 trading arrangement" (in each case, as defined in Item 408 of Regulation S-K).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6" w:name="page87"/>
    <w:bookmarkEnd w:id="86"/>
    <w:p>
      <w:pPr>
        <w:ind w:left="5260"/>
        <w:spacing w:after="0"/>
        <w:rPr>
          <w:sz w:val="20"/>
          <w:szCs w:val="20"/>
          <w:color w:val="auto"/>
        </w:rPr>
      </w:pPr>
      <w:r>
        <w:rPr>
          <w:rFonts w:ascii="Arial" w:cs="Arial" w:eastAsia="Arial" w:hAnsi="Arial"/>
          <w:sz w:val="18"/>
          <w:szCs w:val="18"/>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3"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Information related to our directors will be set forth under the caption “Proposal 1: Election of Directors” of our Proxy Statement for our Annual Meeting of Stockholders in 2024 (the “2024 Proxy Statement”). Such information is incorporated herein by reference.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relating to our Executive Officers is included in Part I of this Annual Report under the caption “Executive Officers.”</w:t>
      </w:r>
    </w:p>
    <w:p>
      <w:pPr>
        <w:spacing w:after="0" w:line="21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Information relating to compliance with Section 16(a) of the Exchange Act will be set forth under the caption “Section 16(a) Beneficial Ownership Reporting Compliance” of our 2024 Proxy Statement. Such information is incorporated herein by reference.</w:t>
      </w:r>
    </w:p>
    <w:p>
      <w:pPr>
        <w:spacing w:after="0" w:line="153" w:lineRule="exact"/>
        <w:rPr>
          <w:sz w:val="20"/>
          <w:szCs w:val="20"/>
          <w:color w:val="auto"/>
        </w:rPr>
      </w:pPr>
    </w:p>
    <w:p>
      <w:pPr>
        <w:ind w:right="140" w:firstLine="509"/>
        <w:spacing w:after="0" w:line="301" w:lineRule="auto"/>
        <w:rPr>
          <w:sz w:val="20"/>
          <w:szCs w:val="20"/>
          <w:color w:val="auto"/>
        </w:rPr>
      </w:pPr>
      <w:r>
        <w:rPr>
          <w:rFonts w:ascii="Arial" w:cs="Arial" w:eastAsia="Arial" w:hAnsi="Arial"/>
          <w:sz w:val="17"/>
          <w:szCs w:val="17"/>
          <w:color w:val="auto"/>
        </w:rPr>
        <w:t>Information related to our code of ethics will be set forth under the caption “Corporate Governance and General Information Concerning the Board of Directors and its Committees” of our 2024 Proxy Statement. Such information is incorporated herein by reference.</w:t>
      </w:r>
    </w:p>
    <w:p>
      <w:pPr>
        <w:spacing w:after="0" w:line="130"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Information relating to the Audit Committee and Board of Directors determinations concerning whether a member of the Audit Committee is a “financial expert” as that term is defined under Item 407(d)(5) of Regulation S-K will be set forth under the caption “Corporate Governance and General Information Concerning the Board of Directors and its Committees” of our 2024 Proxy Statement. Such information is incorporated herein by reference.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3"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Information relating to this item will be set forth under the captions “Compensation Discussion and Analysis,” “Director Compensation,” “Compensation Committee Interlocks and Insider Participation” and “Compensation Committee Report on Executive Compensation” of our 2024 Proxy Statement. Such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relating to the security ownership of certain beneficial owners and management will be included in our 2024 Proxy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Statement under the caption “Security Ownership of Certain Beneficial Owners and Management” and is incorporated herein by reference.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3"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Information relating to this item will be set forth under the captions “Certain Relationships and Related Party Transactions” and “Corporate Governance and General Information Concerning the Board of Directors and its Committees” of our 2024 Proxy Statement. Such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3"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Information relating to this item will be set forth under the caption “Independent Registered Public Accounting Firm Fees” of our 2024 Proxy Statement. Such information is incorporated herein by reference.</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5" w:right="399" w:bottom="1440" w:gutter="0" w:footer="0" w:header="0"/>
        </w:sectPr>
      </w:pPr>
    </w:p>
    <w:bookmarkStart w:id="87" w:name="page88"/>
    <w:bookmarkEnd w:id="87"/>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3" w:lineRule="exact"/>
        <w:rPr>
          <w:sz w:val="20"/>
          <w:szCs w:val="20"/>
          <w:color w:val="auto"/>
        </w:rPr>
      </w:pPr>
    </w:p>
    <w:p>
      <w:pPr>
        <w:ind w:left="1020" w:hanging="504"/>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List the following documents filed as a part of the report:</w:t>
      </w:r>
    </w:p>
    <w:p>
      <w:pPr>
        <w:spacing w:after="0" w:line="103" w:lineRule="exact"/>
        <w:rPr>
          <w:rFonts w:ascii="Arial" w:cs="Arial" w:eastAsia="Arial" w:hAnsi="Arial"/>
          <w:sz w:val="18"/>
          <w:szCs w:val="18"/>
          <w:color w:val="auto"/>
        </w:rPr>
      </w:pPr>
    </w:p>
    <w:p>
      <w:pPr>
        <w:jc w:val="both"/>
        <w:ind w:left="1540" w:hanging="514"/>
        <w:spacing w:after="0" w:line="274" w:lineRule="auto"/>
        <w:tabs>
          <w:tab w:leader="none" w:pos="15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The Company’s Consolidated Financial Statements at December 31, 2023 and December 31, 2022 and for each of the three years in the period ended December 31, 2023, and the notes thereto, together with the report of the independent auditors on those Consolidated Financial Statements, are hereby filed as part of this report, beginning on page F-1.</w:t>
      </w:r>
    </w:p>
    <w:p>
      <w:pPr>
        <w:spacing w:after="0" w:line="45" w:lineRule="exact"/>
        <w:rPr>
          <w:rFonts w:ascii="Arial" w:cs="Arial" w:eastAsia="Arial" w:hAnsi="Arial"/>
          <w:sz w:val="17"/>
          <w:szCs w:val="17"/>
          <w:color w:val="auto"/>
        </w:rPr>
      </w:pPr>
    </w:p>
    <w:p>
      <w:pPr>
        <w:ind w:left="1540" w:hanging="514"/>
        <w:spacing w:after="0" w:line="271" w:lineRule="auto"/>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Valuation &amp; Qualifying Accounts for each of the three years in the period ended December 31, 2023 are hereby filed as part of this report on page F-54.</w:t>
      </w:r>
    </w:p>
    <w:p>
      <w:pPr>
        <w:spacing w:after="0" w:line="44" w:lineRule="exact"/>
        <w:rPr>
          <w:rFonts w:ascii="Arial" w:cs="Arial" w:eastAsia="Arial" w:hAnsi="Arial"/>
          <w:sz w:val="18"/>
          <w:szCs w:val="18"/>
          <w:color w:val="auto"/>
        </w:rPr>
      </w:pPr>
    </w:p>
    <w:p>
      <w:pPr>
        <w:ind w:left="1540" w:hanging="514"/>
        <w:spacing w:after="0"/>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See Exhibit Index below.</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5" w:right="5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47"/>
        </w:trPr>
        <w:tc>
          <w:tcPr>
            <w:tcW w:w="10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60" w:type="dxa"/>
            <w:vAlign w:val="bottom"/>
            <w:gridSpan w:val="26"/>
          </w:tcPr>
          <w:p>
            <w:pPr>
              <w:ind w:left="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41"/>
        </w:trPr>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10040" w:type="dxa"/>
            <w:vAlign w:val="bottom"/>
            <w:tcBorders>
              <w:bottom w:val="single" w:sz="8" w:color="auto"/>
            </w:tcBorders>
            <w:gridSpan w:val="35"/>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411"/>
        </w:trPr>
        <w:tc>
          <w:tcPr>
            <w:tcW w:w="1060" w:type="dxa"/>
            <w:vAlign w:val="bottom"/>
          </w:tcPr>
          <w:p>
            <w:pPr>
              <w:ind w:left="2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81">
              <w:r>
                <w:rPr>
                  <w:rFonts w:ascii="Arial" w:cs="Arial" w:eastAsia="Arial" w:hAnsi="Arial"/>
                  <w:sz w:val="18"/>
                  <w:szCs w:val="18"/>
                  <w:color w:val="0000FF"/>
                </w:rPr>
                <w:t>Amended and Restated Certificate of Incorporation of Parsons Corporation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17"/>
        </w:trPr>
        <w:tc>
          <w:tcPr>
            <w:tcW w:w="1060" w:type="dxa"/>
            <w:vAlign w:val="bottom"/>
          </w:tcPr>
          <w:p>
            <w:pPr>
              <w:ind w:left="2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940" w:type="dxa"/>
            <w:vAlign w:val="bottom"/>
            <w:tcBorders>
              <w:top w:val="single" w:sz="8" w:color="0000FF"/>
            </w:tcBorders>
            <w:gridSpan w:val="20"/>
          </w:tcPr>
          <w:p>
            <w:pPr>
              <w:spacing w:after="0"/>
              <w:rPr>
                <w:rFonts w:ascii="Arial" w:cs="Arial" w:eastAsia="Arial" w:hAnsi="Arial"/>
                <w:sz w:val="18"/>
                <w:szCs w:val="18"/>
                <w:color w:val="0000FF"/>
              </w:rPr>
            </w:pPr>
            <w:hyperlink r:id="rId182">
              <w:r>
                <w:rPr>
                  <w:rFonts w:ascii="Arial" w:cs="Arial" w:eastAsia="Arial" w:hAnsi="Arial"/>
                  <w:sz w:val="18"/>
                  <w:szCs w:val="18"/>
                  <w:color w:val="0000FF"/>
                </w:rPr>
                <w:t>Amended and Restated Bylaws of Parsons Corporation</w:t>
              </w:r>
            </w:hyperlink>
            <w:r>
              <w:rPr>
                <w:rFonts w:ascii="Arial" w:cs="Arial" w:eastAsia="Arial" w:hAnsi="Arial"/>
                <w:sz w:val="18"/>
                <w:szCs w:val="18"/>
                <w:color w:val="000000"/>
              </w:rPr>
              <w:t>.</w:t>
            </w:r>
          </w:p>
        </w:tc>
        <w:tc>
          <w:tcPr>
            <w:tcW w:w="41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ind w:left="2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5120" w:type="dxa"/>
            <w:vAlign w:val="bottom"/>
            <w:tcBorders>
              <w:bottom w:val="single" w:sz="8" w:color="0000FF"/>
            </w:tcBorders>
            <w:gridSpan w:val="17"/>
          </w:tcPr>
          <w:p>
            <w:pPr>
              <w:spacing w:after="0"/>
              <w:rPr>
                <w:rFonts w:ascii="Arial" w:cs="Arial" w:eastAsia="Arial" w:hAnsi="Arial"/>
                <w:sz w:val="18"/>
                <w:szCs w:val="18"/>
                <w:color w:val="0000FF"/>
                <w:w w:val="99"/>
              </w:rPr>
            </w:pPr>
            <w:hyperlink r:id="rId183">
              <w:r>
                <w:rPr>
                  <w:rFonts w:ascii="Arial" w:cs="Arial" w:eastAsia="Arial" w:hAnsi="Arial"/>
                  <w:sz w:val="18"/>
                  <w:szCs w:val="18"/>
                  <w:color w:val="0000FF"/>
                  <w:w w:val="99"/>
                </w:rPr>
                <w:t>Second Amended and Restated Bylaws of Parsons Corporation.</w:t>
              </w:r>
            </w:hyperlink>
          </w:p>
        </w:tc>
        <w:tc>
          <w:tcPr>
            <w:tcW w:w="49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60" w:type="dxa"/>
            <w:vAlign w:val="bottom"/>
          </w:tcPr>
          <w:p>
            <w:pPr>
              <w:ind w:left="2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84">
              <w:r>
                <w:rPr>
                  <w:rFonts w:ascii="Arial" w:cs="Arial" w:eastAsia="Arial" w:hAnsi="Arial"/>
                  <w:sz w:val="18"/>
                  <w:szCs w:val="18"/>
                  <w:color w:val="0000FF"/>
                </w:rPr>
                <w:t>Description of Capital Stock of Parsons Corporation.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ind w:left="2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8520" w:type="dxa"/>
            <w:vAlign w:val="bottom"/>
            <w:tcBorders>
              <w:bottom w:val="single" w:sz="8" w:color="0000FF"/>
            </w:tcBorders>
            <w:gridSpan w:val="29"/>
          </w:tcPr>
          <w:p>
            <w:pPr>
              <w:spacing w:after="0"/>
              <w:rPr>
                <w:rFonts w:ascii="Arial" w:cs="Arial" w:eastAsia="Arial" w:hAnsi="Arial"/>
                <w:sz w:val="18"/>
                <w:szCs w:val="18"/>
                <w:color w:val="0000FF"/>
                <w:w w:val="99"/>
              </w:rPr>
            </w:pPr>
            <w:hyperlink r:id="rId185">
              <w:r>
                <w:rPr>
                  <w:rFonts w:ascii="Arial" w:cs="Arial" w:eastAsia="Arial" w:hAnsi="Arial"/>
                  <w:sz w:val="18"/>
                  <w:szCs w:val="18"/>
                  <w:color w:val="0000FF"/>
                  <w:w w:val="99"/>
                </w:rPr>
                <w:t>Indenture, dated as of August 20, 2020, between Parsons Corporation and U.S. Bank National Association.</w:t>
              </w:r>
            </w:hyperlink>
          </w:p>
        </w:tc>
        <w:tc>
          <w:tcPr>
            <w:tcW w:w="20" w:type="dxa"/>
            <w:vAlign w:val="bottom"/>
            <w:tcBorders>
              <w:bottom w:val="single" w:sz="8" w:color="0000EE"/>
            </w:tcBorders>
          </w:tcPr>
          <w:p>
            <w:pPr>
              <w:spacing w:after="0"/>
              <w:rPr>
                <w:sz w:val="24"/>
                <w:szCs w:val="24"/>
                <w:color w:val="auto"/>
              </w:rPr>
            </w:pPr>
          </w:p>
        </w:tc>
        <w:tc>
          <w:tcPr>
            <w:tcW w:w="1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86">
              <w:r>
                <w:rPr>
                  <w:rFonts w:ascii="Arial" w:cs="Arial" w:eastAsia="Arial" w:hAnsi="Arial"/>
                  <w:sz w:val="18"/>
                  <w:szCs w:val="18"/>
                  <w:color w:val="0000FF"/>
                </w:rPr>
                <w:t>2012 Amendment and Restatement of Parsons Employee Stock Ownership Plan (including all amendments to date), currently</w:t>
              </w:r>
            </w:hyperlink>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20" w:type="dxa"/>
            <w:vAlign w:val="bottom"/>
            <w:tcBorders>
              <w:top w:val="single" w:sz="8" w:color="0000FF"/>
            </w:tcBorders>
            <w:gridSpan w:val="34"/>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in effect</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87">
              <w:r>
                <w:rPr>
                  <w:rFonts w:ascii="Arial" w:cs="Arial" w:eastAsia="Arial" w:hAnsi="Arial"/>
                  <w:sz w:val="18"/>
                  <w:szCs w:val="18"/>
                  <w:color w:val="0000FF"/>
                </w:rPr>
                <w:t>2019 Amendment and Restatement of Parsons Employee Stock Ownership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020" w:type="dxa"/>
            <w:vAlign w:val="bottom"/>
            <w:tcBorders>
              <w:bottom w:val="single" w:sz="8" w:color="0000FF"/>
            </w:tcBorders>
            <w:gridSpan w:val="34"/>
          </w:tcPr>
          <w:p>
            <w:pPr>
              <w:spacing w:after="0"/>
              <w:rPr>
                <w:rFonts w:ascii="Arial" w:cs="Arial" w:eastAsia="Arial" w:hAnsi="Arial"/>
                <w:sz w:val="18"/>
                <w:szCs w:val="18"/>
                <w:color w:val="0000FF"/>
                <w:w w:val="99"/>
              </w:rPr>
            </w:pPr>
            <w:hyperlink r:id="rId188">
              <w:r>
                <w:rPr>
                  <w:rFonts w:ascii="Arial" w:cs="Arial" w:eastAsia="Arial" w:hAnsi="Arial"/>
                  <w:sz w:val="18"/>
                  <w:szCs w:val="18"/>
                  <w:color w:val="0000FF"/>
                  <w:w w:val="99"/>
                </w:rPr>
                <w:t>First Amendment to the 2019 Amendment and Restatement of Parsons Employee Stock Ownership Plan, effective January 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60" w:type="dxa"/>
            <w:vAlign w:val="bottom"/>
            <w:vMerge w:val="continue"/>
          </w:tcPr>
          <w:p>
            <w:pPr>
              <w:spacing w:after="0"/>
              <w:rPr>
                <w:sz w:val="10"/>
                <w:szCs w:val="10"/>
                <w:color w:val="auto"/>
              </w:rPr>
            </w:pPr>
          </w:p>
        </w:tc>
        <w:tc>
          <w:tcPr>
            <w:tcW w:w="140" w:type="dxa"/>
            <w:vAlign w:val="bottom"/>
            <w:vMerge w:val="restart"/>
          </w:tcPr>
          <w:p>
            <w:pPr>
              <w:spacing w:after="0"/>
              <w:rPr>
                <w:sz w:val="10"/>
                <w:szCs w:val="10"/>
                <w:color w:val="auto"/>
              </w:rPr>
            </w:pPr>
          </w:p>
        </w:tc>
        <w:tc>
          <w:tcPr>
            <w:tcW w:w="420" w:type="dxa"/>
            <w:vAlign w:val="bottom"/>
            <w:vMerge w:val="restart"/>
          </w:tcPr>
          <w:p>
            <w:pPr>
              <w:spacing w:after="0" w:line="182" w:lineRule="exact"/>
              <w:rPr>
                <w:rFonts w:ascii="Arial" w:cs="Arial" w:eastAsia="Arial" w:hAnsi="Arial"/>
                <w:sz w:val="18"/>
                <w:szCs w:val="18"/>
                <w:color w:val="0000FF"/>
                <w:w w:val="94"/>
              </w:rPr>
            </w:pPr>
            <w:hyperlink r:id="rId188">
              <w:r>
                <w:rPr>
                  <w:rFonts w:ascii="Arial" w:cs="Arial" w:eastAsia="Arial" w:hAnsi="Arial"/>
                  <w:sz w:val="18"/>
                  <w:szCs w:val="18"/>
                  <w:color w:val="0000FF"/>
                  <w:w w:val="94"/>
                </w:rPr>
                <w:t>2020</w:t>
              </w:r>
            </w:hyperlink>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000" w:type="dxa"/>
            <w:vAlign w:val="bottom"/>
            <w:tcBorders>
              <w:bottom w:val="single" w:sz="8" w:color="0000FF"/>
            </w:tcBorders>
            <w:gridSpan w:val="33"/>
          </w:tcPr>
          <w:p>
            <w:pPr>
              <w:spacing w:after="0"/>
              <w:rPr>
                <w:rFonts w:ascii="Arial" w:cs="Arial" w:eastAsia="Arial" w:hAnsi="Arial"/>
                <w:sz w:val="18"/>
                <w:szCs w:val="18"/>
                <w:color w:val="0000FF"/>
              </w:rPr>
            </w:pPr>
            <w:hyperlink r:id="rId189">
              <w:r>
                <w:rPr>
                  <w:rFonts w:ascii="Arial" w:cs="Arial" w:eastAsia="Arial" w:hAnsi="Arial"/>
                  <w:sz w:val="18"/>
                  <w:szCs w:val="18"/>
                  <w:color w:val="0000FF"/>
                </w:rPr>
                <w:t>Second Amendment to the 2019 Amendment and Restatement of Parsons Employee Stock Ownership Plan, effective May 8,</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60" w:type="dxa"/>
            <w:vAlign w:val="bottom"/>
            <w:vMerge w:val="continue"/>
          </w:tcPr>
          <w:p>
            <w:pPr>
              <w:spacing w:after="0"/>
              <w:rPr>
                <w:sz w:val="10"/>
                <w:szCs w:val="10"/>
                <w:color w:val="auto"/>
              </w:rPr>
            </w:pPr>
          </w:p>
        </w:tc>
        <w:tc>
          <w:tcPr>
            <w:tcW w:w="140" w:type="dxa"/>
            <w:vAlign w:val="bottom"/>
            <w:vMerge w:val="restart"/>
          </w:tcPr>
          <w:p>
            <w:pPr>
              <w:spacing w:after="0"/>
              <w:rPr>
                <w:sz w:val="10"/>
                <w:szCs w:val="10"/>
                <w:color w:val="auto"/>
              </w:rPr>
            </w:pPr>
          </w:p>
        </w:tc>
        <w:tc>
          <w:tcPr>
            <w:tcW w:w="460" w:type="dxa"/>
            <w:vAlign w:val="bottom"/>
            <w:gridSpan w:val="2"/>
            <w:vMerge w:val="restart"/>
          </w:tcPr>
          <w:p>
            <w:pPr>
              <w:spacing w:after="0" w:line="182" w:lineRule="exact"/>
              <w:rPr>
                <w:rFonts w:ascii="Arial" w:cs="Arial" w:eastAsia="Arial" w:hAnsi="Arial"/>
                <w:sz w:val="18"/>
                <w:szCs w:val="18"/>
                <w:color w:val="0000FF"/>
                <w:w w:val="93"/>
              </w:rPr>
            </w:pPr>
            <w:hyperlink r:id="rId189">
              <w:r>
                <w:rPr>
                  <w:rFonts w:ascii="Arial" w:cs="Arial" w:eastAsia="Arial" w:hAnsi="Arial"/>
                  <w:sz w:val="18"/>
                  <w:szCs w:val="18"/>
                  <w:color w:val="0000FF"/>
                  <w:w w:val="93"/>
                </w:rPr>
                <w:t>2019.</w:t>
              </w:r>
            </w:hyperlink>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90">
              <w:r>
                <w:rPr>
                  <w:rFonts w:ascii="Arial" w:cs="Arial" w:eastAsia="Arial" w:hAnsi="Arial"/>
                  <w:sz w:val="18"/>
                  <w:szCs w:val="18"/>
                  <w:color w:val="0000FF"/>
                </w:rPr>
                <w:t>Parsons Corporation Employee Stock Ownership Trust Agreement, effective as of December 31, 2005</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8120" w:type="dxa"/>
            <w:vAlign w:val="bottom"/>
            <w:tcBorders>
              <w:top w:val="single" w:sz="8" w:color="0000FF"/>
            </w:tcBorders>
            <w:gridSpan w:val="27"/>
          </w:tcPr>
          <w:p>
            <w:pPr>
              <w:spacing w:after="0"/>
              <w:rPr>
                <w:rFonts w:ascii="Arial" w:cs="Arial" w:eastAsia="Arial" w:hAnsi="Arial"/>
                <w:sz w:val="18"/>
                <w:szCs w:val="18"/>
                <w:color w:val="0000FF"/>
              </w:rPr>
            </w:pPr>
            <w:hyperlink r:id="rId191">
              <w:r>
                <w:rPr>
                  <w:rFonts w:ascii="Arial" w:cs="Arial" w:eastAsia="Arial" w:hAnsi="Arial"/>
                  <w:sz w:val="18"/>
                  <w:szCs w:val="18"/>
                  <w:color w:val="0000FF"/>
                </w:rPr>
                <w:t>Parsons Corporation Restricted Award Plan</w:t>
              </w:r>
            </w:hyperlink>
            <w:r>
              <w:rPr>
                <w:rFonts w:ascii="Arial" w:cs="Arial" w:eastAsia="Arial" w:hAnsi="Arial"/>
                <w:sz w:val="18"/>
                <w:szCs w:val="18"/>
                <w:color w:val="000000"/>
              </w:rPr>
              <w:t>.</w:t>
            </w:r>
          </w:p>
        </w:tc>
        <w:tc>
          <w:tcPr>
            <w:tcW w:w="19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92">
              <w:r>
                <w:rPr>
                  <w:rFonts w:ascii="Arial" w:cs="Arial" w:eastAsia="Arial" w:hAnsi="Arial"/>
                  <w:sz w:val="18"/>
                  <w:szCs w:val="18"/>
                  <w:color w:val="0000FF"/>
                </w:rPr>
                <w:t>Form of Restricted Award Units agreement under the Parsons Corporation Restricted Award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7720" w:type="dxa"/>
            <w:vAlign w:val="bottom"/>
            <w:tcBorders>
              <w:top w:val="single" w:sz="8" w:color="0000FF"/>
            </w:tcBorders>
            <w:gridSpan w:val="26"/>
          </w:tcPr>
          <w:p>
            <w:pPr>
              <w:spacing w:after="0"/>
              <w:rPr>
                <w:rFonts w:ascii="Arial" w:cs="Arial" w:eastAsia="Arial" w:hAnsi="Arial"/>
                <w:sz w:val="18"/>
                <w:szCs w:val="18"/>
                <w:color w:val="0000FF"/>
              </w:rPr>
            </w:pPr>
            <w:hyperlink r:id="rId193">
              <w:r>
                <w:rPr>
                  <w:rFonts w:ascii="Arial" w:cs="Arial" w:eastAsia="Arial" w:hAnsi="Arial"/>
                  <w:sz w:val="18"/>
                  <w:szCs w:val="18"/>
                  <w:color w:val="0000FF"/>
                </w:rPr>
                <w:t>Parsons Corporation Annual Incentive Plan dated January 1, 2020</w:t>
              </w:r>
            </w:hyperlink>
            <w:r>
              <w:rPr>
                <w:rFonts w:ascii="Arial" w:cs="Arial" w:eastAsia="Arial" w:hAnsi="Arial"/>
                <w:sz w:val="18"/>
                <w:szCs w:val="18"/>
                <w:color w:val="000000"/>
              </w:rPr>
              <w:t>.</w:t>
            </w:r>
          </w:p>
        </w:tc>
        <w:tc>
          <w:tcPr>
            <w:tcW w:w="2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6180" w:type="dxa"/>
            <w:vAlign w:val="bottom"/>
            <w:tcBorders>
              <w:bottom w:val="single" w:sz="8" w:color="0000FF"/>
            </w:tcBorders>
            <w:gridSpan w:val="21"/>
          </w:tcPr>
          <w:p>
            <w:pPr>
              <w:spacing w:after="0"/>
              <w:rPr>
                <w:rFonts w:ascii="Arial" w:cs="Arial" w:eastAsia="Arial" w:hAnsi="Arial"/>
                <w:sz w:val="18"/>
                <w:szCs w:val="18"/>
                <w:color w:val="0000FF"/>
                <w:w w:val="99"/>
              </w:rPr>
            </w:pPr>
            <w:hyperlink r:id="rId194">
              <w:r>
                <w:rPr>
                  <w:rFonts w:ascii="Arial" w:cs="Arial" w:eastAsia="Arial" w:hAnsi="Arial"/>
                  <w:sz w:val="18"/>
                  <w:szCs w:val="18"/>
                  <w:color w:val="0000FF"/>
                  <w:w w:val="99"/>
                </w:rPr>
                <w:t>Parsons Corporation Annual Incentive Plan Amended as of October 19, 2020.</w:t>
              </w:r>
            </w:hyperlink>
          </w:p>
        </w:tc>
        <w:tc>
          <w:tcPr>
            <w:tcW w:w="20" w:type="dxa"/>
            <w:vAlign w:val="bottom"/>
            <w:tcBorders>
              <w:bottom w:val="single" w:sz="8" w:color="0000EE"/>
            </w:tcBorders>
          </w:tcPr>
          <w:p>
            <w:pPr>
              <w:spacing w:after="0"/>
              <w:rPr>
                <w:sz w:val="24"/>
                <w:szCs w:val="24"/>
                <w:color w:val="auto"/>
              </w:rPr>
            </w:pPr>
          </w:p>
        </w:tc>
        <w:tc>
          <w:tcPr>
            <w:tcW w:w="38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6400" w:type="dxa"/>
            <w:vAlign w:val="bottom"/>
            <w:tcBorders>
              <w:bottom w:val="single" w:sz="8" w:color="0000FF"/>
            </w:tcBorders>
            <w:gridSpan w:val="23"/>
          </w:tcPr>
          <w:p>
            <w:pPr>
              <w:spacing w:after="0"/>
              <w:rPr>
                <w:rFonts w:ascii="Arial" w:cs="Arial" w:eastAsia="Arial" w:hAnsi="Arial"/>
                <w:sz w:val="18"/>
                <w:szCs w:val="18"/>
                <w:color w:val="0000FF"/>
              </w:rPr>
            </w:pPr>
            <w:hyperlink r:id="rId195">
              <w:r>
                <w:rPr>
                  <w:rFonts w:ascii="Arial" w:cs="Arial" w:eastAsia="Arial" w:hAnsi="Arial"/>
                  <w:sz w:val="18"/>
                  <w:szCs w:val="18"/>
                  <w:color w:val="0000FF"/>
                </w:rPr>
                <w:t>Parsons Corporation Annual Incentive Plan Amendment dated January 1, 2021.</w:t>
              </w:r>
            </w:hyperlink>
          </w:p>
        </w:tc>
        <w:tc>
          <w:tcPr>
            <w:tcW w:w="36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60" w:type="dxa"/>
            <w:vAlign w:val="bottom"/>
          </w:tcPr>
          <w:p>
            <w:pPr>
              <w:ind w:left="1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96">
              <w:r>
                <w:rPr>
                  <w:rFonts w:ascii="Arial" w:cs="Arial" w:eastAsia="Arial" w:hAnsi="Arial"/>
                  <w:sz w:val="18"/>
                  <w:szCs w:val="18"/>
                  <w:color w:val="0000FF"/>
                </w:rPr>
                <w:t>Parsons Corporation Shareholder Value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97">
              <w:r>
                <w:rPr>
                  <w:rFonts w:ascii="Arial" w:cs="Arial" w:eastAsia="Arial" w:hAnsi="Arial"/>
                  <w:sz w:val="18"/>
                  <w:szCs w:val="18"/>
                  <w:color w:val="0000FF"/>
                </w:rPr>
                <w:t>Parsons Corporation Long Term Growth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198">
              <w:r>
                <w:rPr>
                  <w:rFonts w:ascii="Arial" w:cs="Arial" w:eastAsia="Arial" w:hAnsi="Arial"/>
                  <w:sz w:val="18"/>
                  <w:szCs w:val="18"/>
                  <w:color w:val="0000FF"/>
                </w:rPr>
                <w:t>Parsons Corporation Share Value Retirement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4000" w:type="dxa"/>
            <w:vAlign w:val="bottom"/>
            <w:tcBorders>
              <w:top w:val="single" w:sz="8" w:color="0000FF"/>
            </w:tcBorders>
            <w:gridSpan w:val="10"/>
          </w:tcPr>
          <w:p>
            <w:pPr>
              <w:spacing w:after="0"/>
              <w:rPr>
                <w:rFonts w:ascii="Arial" w:cs="Arial" w:eastAsia="Arial" w:hAnsi="Arial"/>
                <w:sz w:val="18"/>
                <w:szCs w:val="18"/>
                <w:color w:val="0000FF"/>
              </w:rPr>
            </w:pPr>
            <w:hyperlink r:id="rId199">
              <w:r>
                <w:rPr>
                  <w:rFonts w:ascii="Arial" w:cs="Arial" w:eastAsia="Arial" w:hAnsi="Arial"/>
                  <w:sz w:val="18"/>
                  <w:szCs w:val="18"/>
                  <w:color w:val="0000FF"/>
                </w:rPr>
                <w:t>Parsons Corporation Incentive Award Plan</w:t>
              </w:r>
            </w:hyperlink>
            <w:r>
              <w:rPr>
                <w:rFonts w:ascii="Arial" w:cs="Arial" w:eastAsia="Arial" w:hAnsi="Arial"/>
                <w:sz w:val="18"/>
                <w:szCs w:val="18"/>
                <w:color w:val="000000"/>
              </w:rPr>
              <w:t>.</w:t>
            </w:r>
          </w:p>
        </w:tc>
        <w:tc>
          <w:tcPr>
            <w:tcW w:w="604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0">
              <w:r>
                <w:rPr>
                  <w:rFonts w:ascii="Arial" w:cs="Arial" w:eastAsia="Arial" w:hAnsi="Arial"/>
                  <w:sz w:val="18"/>
                  <w:szCs w:val="18"/>
                  <w:color w:val="0000FF"/>
                </w:rPr>
                <w:t>Form of Restricted Stock Unit Agreement under the Parsons Corporation Incentive Award Plan.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1">
              <w:r>
                <w:rPr>
                  <w:rFonts w:ascii="Arial" w:cs="Arial" w:eastAsia="Arial" w:hAnsi="Arial"/>
                  <w:sz w:val="18"/>
                  <w:szCs w:val="18"/>
                  <w:color w:val="0000FF"/>
                </w:rPr>
                <w:t>Third Amendment to the 2019 Amendment and Restatement of Parsons Employee Stock Ownership Plan, effective January</w:t>
              </w:r>
            </w:hyperlink>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r:id="rId201">
              <w:r>
                <w:rPr>
                  <w:rFonts w:ascii="Arial" w:cs="Arial" w:eastAsia="Arial" w:hAnsi="Arial"/>
                  <w:sz w:val="18"/>
                  <w:szCs w:val="18"/>
                  <w:color w:val="0000FF"/>
                </w:rPr>
                <w:t>1, 2021.</w:t>
              </w:r>
            </w:hyperlink>
          </w:p>
        </w:tc>
        <w:tc>
          <w:tcPr>
            <w:tcW w:w="2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60" w:type="dxa"/>
            <w:vAlign w:val="bottom"/>
          </w:tcPr>
          <w:p>
            <w:pPr>
              <w:ind w:left="12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2">
              <w:r>
                <w:rPr>
                  <w:rFonts w:ascii="Arial" w:cs="Arial" w:eastAsia="Arial" w:hAnsi="Arial"/>
                  <w:sz w:val="18"/>
                  <w:szCs w:val="18"/>
                  <w:color w:val="0000FF"/>
                </w:rPr>
                <w:t>Form of Restricted Stock Unit Agreement under the Parsons Corporation Incentive Award Plan (for Non-Employee Director</w:t>
              </w:r>
            </w:hyperlink>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202">
              <w:r>
                <w:rPr>
                  <w:rFonts w:ascii="Arial" w:cs="Arial" w:eastAsia="Arial" w:hAnsi="Arial"/>
                  <w:sz w:val="18"/>
                  <w:szCs w:val="18"/>
                  <w:color w:val="0000FF"/>
                </w:rPr>
                <w:t>Awards commencing in 2020).</w:t>
              </w:r>
            </w:hyperlink>
          </w:p>
        </w:tc>
        <w:tc>
          <w:tcPr>
            <w:tcW w:w="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Form of Restricted Stock Unit Agreement under the Parsons Corporation Incentive Award Plan (for Non-Employee Director</w:t>
              </w:r>
            </w:hyperlink>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203">
              <w:r>
                <w:rPr>
                  <w:rFonts w:ascii="Arial" w:cs="Arial" w:eastAsia="Arial" w:hAnsi="Arial"/>
                  <w:sz w:val="18"/>
                  <w:szCs w:val="18"/>
                  <w:color w:val="0000FF"/>
                </w:rPr>
                <w:t>Fee Deferral Awards commencing in 2020)</w:t>
              </w:r>
              <w:r>
                <w:rPr>
                  <w:rFonts w:ascii="Arial" w:cs="Arial" w:eastAsia="Arial" w:hAnsi="Arial"/>
                  <w:sz w:val="18"/>
                  <w:szCs w:val="18"/>
                  <w:color w:val="000000"/>
                </w:rPr>
                <w:t>.</w:t>
              </w:r>
            </w:hyperlink>
          </w:p>
        </w:tc>
        <w:tc>
          <w:tcPr>
            <w:tcW w:w="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60" w:type="dxa"/>
            <w:vAlign w:val="bottom"/>
          </w:tcPr>
          <w:p>
            <w:pPr>
              <w:ind w:left="12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4">
              <w:r>
                <w:rPr>
                  <w:rFonts w:ascii="Arial" w:cs="Arial" w:eastAsia="Arial" w:hAnsi="Arial"/>
                  <w:sz w:val="18"/>
                  <w:szCs w:val="18"/>
                  <w:color w:val="0000FF"/>
                </w:rPr>
                <w:t>Form of Restricted Stock Unit Agreement under the Parsons Corporation Incentive Award Plan (for Non-Employee Director</w:t>
              </w:r>
            </w:hyperlink>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7"/>
              </w:rPr>
            </w:pPr>
            <w:hyperlink r:id="rId204">
              <w:r>
                <w:rPr>
                  <w:rFonts w:ascii="Arial" w:cs="Arial" w:eastAsia="Arial" w:hAnsi="Arial"/>
                  <w:sz w:val="18"/>
                  <w:szCs w:val="18"/>
                  <w:color w:val="0000FF"/>
                  <w:w w:val="97"/>
                </w:rPr>
                <w:t>Awards in 2019).</w:t>
              </w:r>
            </w:hyperlink>
          </w:p>
        </w:tc>
        <w:tc>
          <w:tcPr>
            <w:tcW w:w="20" w:type="dxa"/>
            <w:vAlign w:val="bottom"/>
            <w:tcBorders>
              <w:top w:val="single" w:sz="8" w:color="0000FF"/>
              <w:bottom w:val="single" w:sz="8" w:color="0000EE"/>
            </w:tcBorders>
          </w:tcPr>
          <w:p>
            <w:pPr>
              <w:spacing w:after="0"/>
              <w:rPr>
                <w:sz w:val="15"/>
                <w:szCs w:val="15"/>
                <w:color w:val="auto"/>
              </w:rPr>
            </w:pPr>
          </w:p>
        </w:tc>
        <w:tc>
          <w:tcPr>
            <w:tcW w:w="8440" w:type="dxa"/>
            <w:vAlign w:val="bottom"/>
            <w:tcBorders>
              <w:top w:val="single" w:sz="8" w:color="0000FF"/>
            </w:tcBorders>
            <w:gridSpan w:val="26"/>
          </w:tcPr>
          <w:p>
            <w:pPr>
              <w:spacing w:after="0"/>
              <w:rPr>
                <w:sz w:val="15"/>
                <w:szCs w:val="15"/>
                <w:color w:val="auto"/>
              </w:rPr>
            </w:pPr>
          </w:p>
        </w:tc>
        <w:tc>
          <w:tcPr>
            <w:tcW w:w="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5">
              <w:r>
                <w:rPr>
                  <w:rFonts w:ascii="Arial" w:cs="Arial" w:eastAsia="Arial" w:hAnsi="Arial"/>
                  <w:sz w:val="18"/>
                  <w:szCs w:val="18"/>
                  <w:color w:val="0000FF"/>
                </w:rPr>
                <w:t>Parsons Corporation Non-Employee Director Compensation Policy (as amended effective April 21, 2020).</w:t>
              </w:r>
            </w:hyperlink>
          </w:p>
        </w:tc>
        <w:tc>
          <w:tcPr>
            <w:tcW w:w="0" w:type="dxa"/>
            <w:vAlign w:val="bottom"/>
          </w:tcPr>
          <w:p>
            <w:pPr>
              <w:spacing w:after="0"/>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8380" w:type="dxa"/>
            <w:vAlign w:val="bottom"/>
            <w:tcBorders>
              <w:top w:val="single" w:sz="8" w:color="0000FF"/>
            </w:tcBorders>
            <w:gridSpan w:val="28"/>
          </w:tcPr>
          <w:p>
            <w:pPr>
              <w:spacing w:after="0"/>
              <w:rPr>
                <w:rFonts w:ascii="Arial" w:cs="Arial" w:eastAsia="Arial" w:hAnsi="Arial"/>
                <w:sz w:val="18"/>
                <w:szCs w:val="18"/>
                <w:color w:val="0000FF"/>
              </w:rPr>
            </w:pPr>
            <w:hyperlink r:id="rId206">
              <w:r>
                <w:rPr>
                  <w:rFonts w:ascii="Arial" w:cs="Arial" w:eastAsia="Arial" w:hAnsi="Arial"/>
                  <w:sz w:val="18"/>
                  <w:szCs w:val="18"/>
                  <w:color w:val="0000FF"/>
                </w:rPr>
                <w:t>Fee Deferral Plan for Outside Directors of the Parsons Corporation</w:t>
              </w:r>
            </w:hyperlink>
            <w:r>
              <w:rPr>
                <w:rFonts w:ascii="Arial" w:cs="Arial" w:eastAsia="Arial" w:hAnsi="Arial"/>
                <w:sz w:val="18"/>
                <w:szCs w:val="18"/>
                <w:color w:val="000000"/>
              </w:rPr>
              <w:t>.</w:t>
            </w:r>
          </w:p>
        </w:tc>
        <w:tc>
          <w:tcPr>
            <w:tcW w:w="16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60" w:type="dxa"/>
            <w:vAlign w:val="bottom"/>
          </w:tcPr>
          <w:p>
            <w:pPr>
              <w:ind w:left="12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426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9"/>
              </w:rPr>
            </w:pPr>
            <w:hyperlink r:id="rId207">
              <w:r>
                <w:rPr>
                  <w:rFonts w:ascii="Arial" w:cs="Arial" w:eastAsia="Arial" w:hAnsi="Arial"/>
                  <w:sz w:val="18"/>
                  <w:szCs w:val="18"/>
                  <w:color w:val="0000FF"/>
                  <w:w w:val="99"/>
                </w:rPr>
                <w:t>Parsons Corporation Employee Stock Purchase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1020" w:type="dxa"/>
            <w:vAlign w:val="bottom"/>
            <w:tcBorders>
              <w:top w:val="single" w:sz="8" w:color="0000FF"/>
            </w:tcBorders>
            <w:gridSpan w:val="6"/>
          </w:tcPr>
          <w:p>
            <w:pPr>
              <w:spacing w:after="0"/>
              <w:rPr>
                <w:sz w:val="24"/>
                <w:szCs w:val="24"/>
                <w:color w:val="auto"/>
              </w:rPr>
            </w:pPr>
          </w:p>
        </w:tc>
        <w:tc>
          <w:tcPr>
            <w:tcW w:w="47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4"/>
                <w:szCs w:val="24"/>
                <w:color w:val="auto"/>
              </w:rPr>
            </w:pPr>
          </w:p>
        </w:tc>
        <w:tc>
          <w:tcPr>
            <w:tcW w:w="7440" w:type="dxa"/>
            <w:vAlign w:val="bottom"/>
            <w:tcBorders>
              <w:bottom w:val="single" w:sz="8" w:color="0000FF"/>
            </w:tcBorders>
            <w:gridSpan w:val="24"/>
          </w:tcPr>
          <w:p>
            <w:pPr>
              <w:spacing w:after="0"/>
              <w:rPr>
                <w:rFonts w:ascii="Arial" w:cs="Arial" w:eastAsia="Arial" w:hAnsi="Arial"/>
                <w:sz w:val="18"/>
                <w:szCs w:val="18"/>
                <w:color w:val="0000FF"/>
                <w:w w:val="99"/>
              </w:rPr>
            </w:pPr>
            <w:hyperlink r:id="rId208">
              <w:r>
                <w:rPr>
                  <w:rFonts w:ascii="Arial" w:cs="Arial" w:eastAsia="Arial" w:hAnsi="Arial"/>
                  <w:sz w:val="18"/>
                  <w:szCs w:val="18"/>
                  <w:color w:val="0000FF"/>
                  <w:w w:val="99"/>
                </w:rPr>
                <w:t>Parsons Corporation Prospectus to Employee Stock Purchase Plan dated November 1, 2021.</w:t>
              </w:r>
            </w:hyperlink>
          </w:p>
        </w:tc>
        <w:tc>
          <w:tcPr>
            <w:tcW w:w="26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60" w:type="dxa"/>
            <w:vAlign w:val="bottom"/>
          </w:tcPr>
          <w:p>
            <w:pPr>
              <w:ind w:left="120"/>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24"/>
                <w:szCs w:val="24"/>
                <w:color w:val="auto"/>
              </w:rPr>
            </w:pPr>
          </w:p>
        </w:tc>
        <w:tc>
          <w:tcPr>
            <w:tcW w:w="10040" w:type="dxa"/>
            <w:vAlign w:val="bottom"/>
            <w:gridSpan w:val="35"/>
          </w:tcPr>
          <w:p>
            <w:pPr>
              <w:spacing w:after="0"/>
              <w:rPr>
                <w:rFonts w:ascii="Arial" w:cs="Arial" w:eastAsia="Arial" w:hAnsi="Arial"/>
                <w:sz w:val="18"/>
                <w:szCs w:val="18"/>
                <w:color w:val="0000FF"/>
              </w:rPr>
            </w:pPr>
            <w:hyperlink r:id="rId209">
              <w:r>
                <w:rPr>
                  <w:rFonts w:ascii="Arial" w:cs="Arial" w:eastAsia="Arial" w:hAnsi="Arial"/>
                  <w:sz w:val="18"/>
                  <w:szCs w:val="18"/>
                  <w:color w:val="0000FF"/>
                </w:rPr>
                <w:t>Supplemental Executive Retirement Plan dated January 1, 1997</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17"/>
        </w:trPr>
        <w:tc>
          <w:tcPr>
            <w:tcW w:w="1060" w:type="dxa"/>
            <w:vAlign w:val="bottom"/>
          </w:tcPr>
          <w:p>
            <w:pPr>
              <w:ind w:left="12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24"/>
                <w:szCs w:val="24"/>
                <w:color w:val="auto"/>
              </w:rPr>
            </w:pPr>
          </w:p>
        </w:tc>
        <w:tc>
          <w:tcPr>
            <w:tcW w:w="5100" w:type="dxa"/>
            <w:vAlign w:val="bottom"/>
            <w:tcBorders>
              <w:top w:val="single" w:sz="8" w:color="0000FF"/>
            </w:tcBorders>
            <w:gridSpan w:val="16"/>
          </w:tcPr>
          <w:p>
            <w:pPr>
              <w:spacing w:after="0"/>
              <w:rPr>
                <w:rFonts w:ascii="Arial" w:cs="Arial" w:eastAsia="Arial" w:hAnsi="Arial"/>
                <w:sz w:val="18"/>
                <w:szCs w:val="18"/>
                <w:color w:val="0000FF"/>
              </w:rPr>
            </w:pPr>
            <w:hyperlink r:id="rId210">
              <w:r>
                <w:rPr>
                  <w:rFonts w:ascii="Arial" w:cs="Arial" w:eastAsia="Arial" w:hAnsi="Arial"/>
                  <w:sz w:val="18"/>
                  <w:szCs w:val="18"/>
                  <w:color w:val="0000FF"/>
                </w:rPr>
                <w:t>First Amendment to the SERP effective January 1, 2020</w:t>
              </w:r>
            </w:hyperlink>
            <w:r>
              <w:rPr>
                <w:rFonts w:ascii="Arial" w:cs="Arial" w:eastAsia="Arial" w:hAnsi="Arial"/>
                <w:sz w:val="18"/>
                <w:szCs w:val="18"/>
                <w:color w:val="000000"/>
              </w:rPr>
              <w:t>.</w:t>
            </w:r>
          </w:p>
        </w:tc>
        <w:tc>
          <w:tcPr>
            <w:tcW w:w="49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80" w:type="dxa"/>
            <w:vAlign w:val="bottom"/>
            <w:tcBorders>
              <w:right w:val="single" w:sz="8" w:color="0000EE"/>
            </w:tcBorders>
            <w:gridSpan w:val="1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3"/>
        </w:trPr>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00" w:type="dxa"/>
            <w:vAlign w:val="bottom"/>
            <w:gridSpan w:val="16"/>
          </w:tcPr>
          <w:p>
            <w:pPr>
              <w:ind w:left="432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5" w:right="339" w:bottom="722"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10.28#+</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10.29#+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10.30#+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10.33#+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10.34#+</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10.35#+</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10.36#+</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10.37#+</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10.38#+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10.39#+</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10.40#+</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10.41#+</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10.42#+</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10.43#+</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10.44#+</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10.45#+</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10.46#+</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10.47#+</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10.48#+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10.52#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10.53#</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Change in Control Severance Agreement, dated August 6, 2021, by and between Parsons Corporation and Carey Smith.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60966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6096635" cy="8255"/>
                    </a:xfrm>
                    <a:prstGeom prst="rect">
                      <a:avLst/>
                    </a:prstGeom>
                    <a:noFill/>
                  </pic:spPr>
                </pic:pic>
              </a:graphicData>
            </a:graphic>
          </wp:anchor>
        </w:drawing>
      </w:r>
    </w:p>
    <w:p>
      <w:pPr>
        <w:spacing w:after="0" w:line="151" w:lineRule="exact"/>
        <w:rPr>
          <w:sz w:val="20"/>
          <w:szCs w:val="20"/>
          <w:color w:val="auto"/>
        </w:rPr>
      </w:pPr>
    </w:p>
    <w:p>
      <w:pPr>
        <w:spacing w:after="0"/>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Change in Control Severance Agreement, dated August 9, 2021, by and between Parsons Corporation and Charles 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59886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5988685"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Harrington.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5645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pacing w:after="0" w:line="133" w:lineRule="exact"/>
        <w:rPr>
          <w:sz w:val="20"/>
          <w:szCs w:val="20"/>
          <w:color w:val="auto"/>
        </w:rPr>
      </w:pPr>
    </w:p>
    <w:p>
      <w:pPr>
        <w:spacing w:after="0"/>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Change in Control Severance Agreement, dated August 6, 2021, by and between Parsons Corporation and George 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60712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6071235" cy="8255"/>
                    </a:xfrm>
                    <a:prstGeom prst="rect">
                      <a:avLst/>
                    </a:prstGeom>
                    <a:noFill/>
                  </pic:spPr>
                </pic:pic>
              </a:graphicData>
            </a:graphic>
          </wp:anchor>
        </w:drawing>
      </w:r>
    </w:p>
    <w:p>
      <w:pPr>
        <w:spacing w:after="0" w:line="151" w:lineRule="exact"/>
        <w:rPr>
          <w:sz w:val="20"/>
          <w:szCs w:val="20"/>
          <w:color w:val="auto"/>
        </w:rPr>
      </w:pPr>
    </w:p>
    <w:p>
      <w:pPr>
        <w:spacing w:after="0"/>
        <w:rPr>
          <w:rFonts w:ascii="Arial" w:cs="Arial" w:eastAsia="Arial" w:hAnsi="Arial"/>
          <w:sz w:val="17"/>
          <w:szCs w:val="17"/>
          <w:u w:val="single" w:color="auto"/>
          <w:color w:val="0000FF"/>
        </w:rPr>
      </w:pPr>
      <w:hyperlink r:id="rId220">
        <w:r>
          <w:rPr>
            <w:rFonts w:ascii="Arial" w:cs="Arial" w:eastAsia="Arial" w:hAnsi="Arial"/>
            <w:sz w:val="17"/>
            <w:szCs w:val="17"/>
            <w:u w:val="single" w:color="auto"/>
            <w:color w:val="0000FF"/>
          </w:rPr>
          <w:t>Change in Control Severance Agreement, dated August 6, 2021, by and between Parsons Corporation and Michael Kolloway.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63417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6341745" cy="8255"/>
                    </a:xfrm>
                    <a:prstGeom prst="rect">
                      <a:avLst/>
                    </a:prstGeom>
                    <a:noFill/>
                  </pic:spPr>
                </pic:pic>
              </a:graphicData>
            </a:graphic>
          </wp:anchor>
        </w:drawing>
      </w:r>
    </w:p>
    <w:p>
      <w:pPr>
        <w:spacing w:after="0" w:line="162" w:lineRule="exact"/>
        <w:rPr>
          <w:sz w:val="20"/>
          <w:szCs w:val="20"/>
          <w:color w:val="auto"/>
        </w:rPr>
      </w:pPr>
    </w:p>
    <w:p>
      <w:pPr>
        <w:spacing w:after="0"/>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Change in Control Severance Agreement, dated August 6, 2021, by and between Parsons Corporation and David Spille.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60712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6071235" cy="8255"/>
                    </a:xfrm>
                    <a:prstGeom prst="rect">
                      <a:avLst/>
                    </a:prstGeom>
                    <a:noFill/>
                  </pic:spPr>
                </pic:pic>
              </a:graphicData>
            </a:graphic>
          </wp:anchor>
        </w:drawing>
      </w:r>
    </w:p>
    <w:p>
      <w:pPr>
        <w:spacing w:after="0" w:line="151" w:lineRule="exact"/>
        <w:rPr>
          <w:sz w:val="20"/>
          <w:szCs w:val="20"/>
          <w:color w:val="auto"/>
        </w:rPr>
      </w:pPr>
    </w:p>
    <w:p>
      <w:pPr>
        <w:spacing w:after="0"/>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Change in Control Severance Agreement, dated October 6, 2021, by and between Parsons Corporation and Matthew Ofilos.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62738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6273800" cy="8255"/>
                    </a:xfrm>
                    <a:prstGeom prst="rect">
                      <a:avLst/>
                    </a:prstGeom>
                    <a:noFill/>
                  </pic:spPr>
                </pic:pic>
              </a:graphicData>
            </a:graphic>
          </wp:anchor>
        </w:drawing>
      </w:r>
    </w:p>
    <w:p>
      <w:pPr>
        <w:spacing w:after="0" w:line="151"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George L. 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0686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60686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7296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52"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Charles L. Harrington.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0686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0">
                      <a:extLst>
                        <a:ext uri="{28A0092B-C50C-407E-A947-70E740481C1C}"/>
                      </a:extLst>
                    </a:blip>
                    <a:srcRect/>
                    <a:stretch>
                      <a:fillRect/>
                    </a:stretch>
                  </pic:blipFill>
                  <pic:spPr bwMode="auto">
                    <a:xfrm>
                      <a:off x="0" y="0"/>
                      <a:ext cx="60686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11163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52" w:lineRule="exact"/>
        <w:rPr>
          <w:sz w:val="20"/>
          <w:szCs w:val="20"/>
          <w:color w:val="auto"/>
        </w:rPr>
      </w:pPr>
    </w:p>
    <w:p>
      <w:pPr>
        <w:ind w:right="480"/>
        <w:spacing w:after="0" w:line="271" w:lineRule="auto"/>
        <w:rPr>
          <w:rFonts w:ascii="Arial" w:cs="Arial" w:eastAsia="Arial" w:hAnsi="Arial"/>
          <w:sz w:val="18"/>
          <w:szCs w:val="18"/>
          <w:color w:val="0000FF"/>
        </w:rPr>
      </w:pPr>
      <w:hyperlink r:id="rId232">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Carey A. Smith</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0686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60686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7670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line="52"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35">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Michael R. Kolloway.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0686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60686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10509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52"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Debra Fiori.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0686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60686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5962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52" w:lineRule="exact"/>
        <w:rPr>
          <w:sz w:val="20"/>
          <w:szCs w:val="20"/>
          <w:color w:val="auto"/>
        </w:rPr>
      </w:pPr>
    </w:p>
    <w:p>
      <w:pPr>
        <w:spacing w:after="0"/>
        <w:rPr>
          <w:rFonts w:ascii="Arial" w:cs="Arial" w:eastAsia="Arial" w:hAnsi="Arial"/>
          <w:sz w:val="17"/>
          <w:szCs w:val="17"/>
          <w:u w:val="single" w:color="auto"/>
          <w:color w:val="0000FF"/>
        </w:rPr>
      </w:pPr>
      <w:hyperlink r:id="rId241">
        <w:r>
          <w:rPr>
            <w:rFonts w:ascii="Arial" w:cs="Arial" w:eastAsia="Arial" w:hAnsi="Arial"/>
            <w:sz w:val="17"/>
            <w:szCs w:val="17"/>
            <w:u w:val="single" w:color="auto"/>
            <w:color w:val="0000FF"/>
          </w:rPr>
          <w:t>Form of Performance Stock Unit Award Amendment, dated July 19, 2021, by and between Parsons Corporation and Carey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63665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6366510" cy="8255"/>
                    </a:xfrm>
                    <a:prstGeom prst="rect">
                      <a:avLst/>
                    </a:prstGeom>
                    <a:noFill/>
                  </pic:spPr>
                </pic:pic>
              </a:graphicData>
            </a:graphic>
          </wp:anchor>
        </w:drawing>
      </w:r>
    </w:p>
    <w:p>
      <w:pPr>
        <w:spacing w:after="0" w:line="5" w:lineRule="exact"/>
        <w:rPr>
          <w:sz w:val="20"/>
          <w:szCs w:val="20"/>
          <w:color w:val="auto"/>
        </w:rPr>
      </w:pPr>
    </w:p>
    <w:p>
      <w:pPr>
        <w:spacing w:after="0"/>
        <w:rPr>
          <w:rFonts w:ascii="Arial" w:cs="Arial" w:eastAsia="Arial" w:hAnsi="Arial"/>
          <w:sz w:val="18"/>
          <w:szCs w:val="18"/>
          <w:u w:val="single" w:color="auto"/>
          <w:color w:val="0000FF"/>
        </w:rPr>
      </w:pPr>
      <w:hyperlink r:id="rId241">
        <w:r>
          <w:rPr>
            <w:rFonts w:ascii="Arial" w:cs="Arial" w:eastAsia="Arial" w:hAnsi="Arial"/>
            <w:sz w:val="18"/>
            <w:szCs w:val="18"/>
            <w:u w:val="single" w:color="auto"/>
            <w:color w:val="0000FF"/>
          </w:rPr>
          <w:t>Smith.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232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323215" cy="8255"/>
                    </a:xfrm>
                    <a:prstGeom prst="rect">
                      <a:avLst/>
                    </a:prstGeom>
                    <a:noFill/>
                  </pic:spPr>
                </pic:pic>
              </a:graphicData>
            </a:graphic>
          </wp:anchor>
        </w:drawing>
      </w:r>
    </w:p>
    <w:p>
      <w:pPr>
        <w:spacing w:after="0" w:line="133" w:lineRule="exact"/>
        <w:rPr>
          <w:sz w:val="20"/>
          <w:szCs w:val="20"/>
          <w:color w:val="auto"/>
        </w:rPr>
      </w:pPr>
    </w:p>
    <w:p>
      <w:pPr>
        <w:spacing w:after="0"/>
        <w:rPr>
          <w:rFonts w:ascii="Arial" w:cs="Arial" w:eastAsia="Arial" w:hAnsi="Arial"/>
          <w:sz w:val="18"/>
          <w:szCs w:val="18"/>
          <w:u w:val="single" w:color="auto"/>
          <w:color w:val="0000FF"/>
        </w:rPr>
      </w:pPr>
      <w:hyperlink r:id="rId244">
        <w:r>
          <w:rPr>
            <w:rFonts w:ascii="Arial" w:cs="Arial" w:eastAsia="Arial" w:hAnsi="Arial"/>
            <w:sz w:val="18"/>
            <w:szCs w:val="18"/>
            <w:u w:val="single" w:color="auto"/>
            <w:color w:val="0000FF"/>
          </w:rPr>
          <w:t>Form of Restricted Stock Unit Award Amendment, dated July 19, 2021, by and between Parsons Corporation and Carey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62268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6226810"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44">
        <w:r>
          <w:rPr>
            <w:rFonts w:ascii="Arial" w:cs="Arial" w:eastAsia="Arial" w:hAnsi="Arial"/>
            <w:sz w:val="18"/>
            <w:szCs w:val="18"/>
            <w:u w:val="single" w:color="auto"/>
            <w:color w:val="0000FF"/>
          </w:rPr>
          <w:t>Smith.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232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323215" cy="8255"/>
                    </a:xfrm>
                    <a:prstGeom prst="rect">
                      <a:avLst/>
                    </a:prstGeom>
                    <a:noFill/>
                  </pic:spPr>
                </pic:pic>
              </a:graphicData>
            </a:graphic>
          </wp:anchor>
        </w:drawing>
      </w:r>
    </w:p>
    <w:p>
      <w:pPr>
        <w:spacing w:after="0" w:line="133" w:lineRule="exact"/>
        <w:rPr>
          <w:sz w:val="20"/>
          <w:szCs w:val="20"/>
          <w:color w:val="auto"/>
        </w:rPr>
      </w:pPr>
    </w:p>
    <w:p>
      <w:pPr>
        <w:ind w:right="80"/>
        <w:spacing w:after="0" w:line="271" w:lineRule="auto"/>
        <w:rPr>
          <w:rFonts w:ascii="Arial" w:cs="Arial" w:eastAsia="Arial" w:hAnsi="Arial"/>
          <w:sz w:val="18"/>
          <w:szCs w:val="18"/>
          <w:u w:val="single" w:color="auto"/>
          <w:color w:val="0000FF"/>
        </w:rPr>
      </w:pPr>
      <w:hyperlink r:id="rId247">
        <w:r>
          <w:rPr>
            <w:rFonts w:ascii="Arial" w:cs="Arial" w:eastAsia="Arial" w:hAnsi="Arial"/>
            <w:sz w:val="18"/>
            <w:szCs w:val="18"/>
            <w:u w:val="single" w:color="auto"/>
            <w:color w:val="0000FF"/>
          </w:rPr>
          <w:t>Form of Performance Stock Unit Award Amendment, dated July 19, 2021, by and between Parsons Corporation and Charles</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L. Harrington.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3157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63157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6915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92" w:lineRule="exact"/>
        <w:rPr>
          <w:sz w:val="20"/>
          <w:szCs w:val="20"/>
          <w:color w:val="auto"/>
        </w:rPr>
      </w:pPr>
    </w:p>
    <w:p>
      <w:pPr>
        <w:spacing w:after="0"/>
        <w:rPr>
          <w:rFonts w:ascii="Arial" w:cs="Arial" w:eastAsia="Arial" w:hAnsi="Arial"/>
          <w:sz w:val="18"/>
          <w:szCs w:val="18"/>
          <w:u w:val="single" w:color="auto"/>
          <w:color w:val="0000FF"/>
        </w:rPr>
      </w:pPr>
      <w:hyperlink r:id="rId250">
        <w:r>
          <w:rPr>
            <w:rFonts w:ascii="Arial" w:cs="Arial" w:eastAsia="Arial" w:hAnsi="Arial"/>
            <w:sz w:val="18"/>
            <w:szCs w:val="18"/>
            <w:u w:val="single" w:color="auto"/>
            <w:color w:val="0000FF"/>
          </w:rPr>
          <w:t>Form of Restricted Stock Unit Award Amendment, dated July 19, 2021, by and between Parsons Corporation and Charles 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630301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6303010"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50">
        <w:r>
          <w:rPr>
            <w:rFonts w:ascii="Arial" w:cs="Arial" w:eastAsia="Arial" w:hAnsi="Arial"/>
            <w:sz w:val="18"/>
            <w:szCs w:val="18"/>
            <w:u w:val="single" w:color="auto"/>
            <w:color w:val="0000FF"/>
          </w:rPr>
          <w:t>Harrington.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5645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pacing w:after="0" w:line="133" w:lineRule="exact"/>
        <w:rPr>
          <w:sz w:val="20"/>
          <w:szCs w:val="20"/>
          <w:color w:val="auto"/>
        </w:rPr>
      </w:pPr>
    </w:p>
    <w:p>
      <w:pPr>
        <w:ind w:right="100"/>
        <w:spacing w:after="0" w:line="271" w:lineRule="auto"/>
        <w:rPr>
          <w:rFonts w:ascii="Arial" w:cs="Arial" w:eastAsia="Arial" w:hAnsi="Arial"/>
          <w:sz w:val="18"/>
          <w:szCs w:val="18"/>
          <w:u w:val="single" w:color="auto"/>
          <w:color w:val="0000FF"/>
        </w:rPr>
      </w:pPr>
      <w:hyperlink r:id="rId253">
        <w:r>
          <w:rPr>
            <w:rFonts w:ascii="Arial" w:cs="Arial" w:eastAsia="Arial" w:hAnsi="Arial"/>
            <w:sz w:val="18"/>
            <w:szCs w:val="18"/>
            <w:u w:val="single" w:color="auto"/>
            <w:color w:val="0000FF"/>
          </w:rPr>
          <w:t>Form of Performance Stock Unit Award Amendment, dated July 19, 2021, by and between Parsons Corporation and George</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3030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63030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2222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92" w:lineRule="exact"/>
        <w:rPr>
          <w:sz w:val="20"/>
          <w:szCs w:val="20"/>
          <w:color w:val="auto"/>
        </w:rPr>
      </w:pPr>
    </w:p>
    <w:p>
      <w:pPr>
        <w:ind w:right="320"/>
        <w:spacing w:after="0" w:line="271" w:lineRule="auto"/>
        <w:rPr>
          <w:rFonts w:ascii="Arial" w:cs="Arial" w:eastAsia="Arial" w:hAnsi="Arial"/>
          <w:sz w:val="18"/>
          <w:szCs w:val="18"/>
          <w:u w:val="single" w:color="auto"/>
          <w:color w:val="0000FF"/>
        </w:rPr>
      </w:pPr>
      <w:hyperlink r:id="rId256">
        <w:r>
          <w:rPr>
            <w:rFonts w:ascii="Arial" w:cs="Arial" w:eastAsia="Arial" w:hAnsi="Arial"/>
            <w:sz w:val="18"/>
            <w:szCs w:val="18"/>
            <w:u w:val="single" w:color="auto"/>
            <w:color w:val="0000FF"/>
          </w:rPr>
          <w:t>Form of Restricted Stock Unit Award Amendment, dated July 19, 2021, by and between Parsons Corporation and George</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1633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2222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92" w:lineRule="exact"/>
        <w:rPr>
          <w:sz w:val="20"/>
          <w:szCs w:val="20"/>
          <w:color w:val="auto"/>
        </w:rPr>
      </w:pPr>
    </w:p>
    <w:p>
      <w:pPr>
        <w:ind w:right="80"/>
        <w:spacing w:after="0" w:line="271" w:lineRule="auto"/>
        <w:rPr>
          <w:rFonts w:ascii="Arial" w:cs="Arial" w:eastAsia="Arial" w:hAnsi="Arial"/>
          <w:sz w:val="18"/>
          <w:szCs w:val="18"/>
          <w:u w:val="single" w:color="auto"/>
          <w:color w:val="0000FF"/>
        </w:rPr>
      </w:pPr>
      <w:hyperlink r:id="rId259">
        <w:r>
          <w:rPr>
            <w:rFonts w:ascii="Arial" w:cs="Arial" w:eastAsia="Arial" w:hAnsi="Arial"/>
            <w:sz w:val="18"/>
            <w:szCs w:val="18"/>
            <w:u w:val="single" w:color="auto"/>
            <w:color w:val="0000FF"/>
          </w:rPr>
          <w:t>Form of Performance Stock Unit Award Amendment, dated July 19, 2021, by and between Parsons Corporation and Michael</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R. Kolloway.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3157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63157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6254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92" w:lineRule="exact"/>
        <w:rPr>
          <w:sz w:val="20"/>
          <w:szCs w:val="20"/>
          <w:color w:val="auto"/>
        </w:rPr>
      </w:pPr>
    </w:p>
    <w:p>
      <w:pPr>
        <w:spacing w:after="0"/>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Form of Restricted Stock Unit Award Amendment, dated July 19, 2021, by and between Parsons Corporation and Michael 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63220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6322060"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Kolloway.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4800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4">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33" w:lineRule="exact"/>
        <w:rPr>
          <w:sz w:val="20"/>
          <w:szCs w:val="20"/>
          <w:color w:val="auto"/>
        </w:rPr>
      </w:pPr>
    </w:p>
    <w:p>
      <w:pPr>
        <w:ind w:right="240"/>
        <w:spacing w:after="0" w:line="271" w:lineRule="auto"/>
        <w:rPr>
          <w:rFonts w:ascii="Arial" w:cs="Arial" w:eastAsia="Arial" w:hAnsi="Arial"/>
          <w:sz w:val="18"/>
          <w:szCs w:val="18"/>
          <w:u w:val="single" w:color="auto"/>
          <w:color w:val="0000FF"/>
        </w:rPr>
      </w:pPr>
      <w:hyperlink r:id="rId265">
        <w:r>
          <w:rPr>
            <w:rFonts w:ascii="Arial" w:cs="Arial" w:eastAsia="Arial" w:hAnsi="Arial"/>
            <w:sz w:val="18"/>
            <w:szCs w:val="18"/>
            <w:u w:val="single" w:color="auto"/>
            <w:color w:val="0000FF"/>
          </w:rPr>
          <w:t>Form of Performance Stock Unit Award Amendment, dated July 19, 2021, by and between Parsons Corporation and David</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Spille.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2141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6">
                      <a:extLst>
                        <a:ext uri="{28A0092B-C50C-407E-A947-70E740481C1C}"/>
                      </a:extLst>
                    </a:blip>
                    <a:srcRect/>
                    <a:stretch>
                      <a:fillRect/>
                    </a:stretch>
                  </pic:blipFill>
                  <pic:spPr bwMode="auto">
                    <a:xfrm>
                      <a:off x="0" y="0"/>
                      <a:ext cx="62141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3105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7">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92" w:lineRule="exact"/>
        <w:rPr>
          <w:sz w:val="20"/>
          <w:szCs w:val="20"/>
          <w:color w:val="auto"/>
        </w:rPr>
      </w:pPr>
    </w:p>
    <w:p>
      <w:pPr>
        <w:ind w:right="460"/>
        <w:spacing w:after="0" w:line="271" w:lineRule="auto"/>
        <w:rPr>
          <w:rFonts w:ascii="Arial" w:cs="Arial" w:eastAsia="Arial" w:hAnsi="Arial"/>
          <w:sz w:val="18"/>
          <w:szCs w:val="18"/>
          <w:u w:val="single" w:color="auto"/>
          <w:color w:val="0000FF"/>
        </w:rPr>
      </w:pPr>
      <w:hyperlink r:id="rId268">
        <w:r>
          <w:rPr>
            <w:rFonts w:ascii="Arial" w:cs="Arial" w:eastAsia="Arial" w:hAnsi="Arial"/>
            <w:sz w:val="18"/>
            <w:szCs w:val="18"/>
            <w:u w:val="single" w:color="auto"/>
            <w:color w:val="0000FF"/>
          </w:rPr>
          <w:t>Form of Restricted Stock Unit Award Amendment, dated July 19, 2021, by and between Parsons Corporation and David</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Spille.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0744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9">
                      <a:extLst>
                        <a:ext uri="{28A0092B-C50C-407E-A947-70E740481C1C}"/>
                      </a:extLst>
                    </a:blip>
                    <a:srcRect/>
                    <a:stretch>
                      <a:fillRect/>
                    </a:stretch>
                  </pic:blipFill>
                  <pic:spPr bwMode="auto">
                    <a:xfrm>
                      <a:off x="0" y="0"/>
                      <a:ext cx="60744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3105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0">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92" w:lineRule="exact"/>
        <w:rPr>
          <w:sz w:val="20"/>
          <w:szCs w:val="20"/>
          <w:color w:val="auto"/>
        </w:rPr>
      </w:pPr>
    </w:p>
    <w:p>
      <w:pPr>
        <w:ind w:right="100"/>
        <w:spacing w:after="0" w:line="243" w:lineRule="auto"/>
        <w:rPr>
          <w:rFonts w:ascii="Arial" w:cs="Arial" w:eastAsia="Arial" w:hAnsi="Arial"/>
          <w:sz w:val="18"/>
          <w:szCs w:val="18"/>
          <w:color w:val="0000FF"/>
        </w:rPr>
      </w:pPr>
      <w:hyperlink r:id="rId271">
        <w:r>
          <w:rPr>
            <w:rFonts w:ascii="Arial" w:cs="Arial" w:eastAsia="Arial" w:hAnsi="Arial"/>
            <w:sz w:val="18"/>
            <w:szCs w:val="18"/>
            <w:u w:val="single" w:color="auto"/>
            <w:color w:val="0000FF"/>
          </w:rPr>
          <w:t>Fifth Amended and Restated Credit Agreement, dated as of November 15, 2017, by and among Parsons Corporation, the</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lenders from time to time party thereto, The Bank of Tokyo-Mitsubishi UFJ, Ltd., as administrative agent, swing line bank and</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co-lead arranger, Wells Fargo Bank, National Association, as syndication agent, The Bank of Nova Scotia, JPMorgan Chase</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Bank, N.A., Sumitomo Mitsui Banking Corporation and U.S. Bank National Association, as documentation agents, and Wells</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Fargo Securities, LLC, as co-lead arranger</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-3175</wp:posOffset>
            </wp:positionH>
            <wp:positionV relativeFrom="paragraph">
              <wp:posOffset>-541655</wp:posOffset>
            </wp:positionV>
            <wp:extent cx="61912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2">
                      <a:extLst>
                        <a:ext uri="{28A0092B-C50C-407E-A947-70E740481C1C}"/>
                      </a:extLst>
                    </a:blip>
                    <a:srcRect/>
                    <a:stretch>
                      <a:fillRect/>
                    </a:stretch>
                  </pic:blipFill>
                  <pic:spPr bwMode="auto">
                    <a:xfrm>
                      <a:off x="0" y="0"/>
                      <a:ext cx="61912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-412750</wp:posOffset>
            </wp:positionV>
            <wp:extent cx="63112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3">
                      <a:extLst>
                        <a:ext uri="{28A0092B-C50C-407E-A947-70E740481C1C}"/>
                      </a:extLst>
                    </a:blip>
                    <a:srcRect/>
                    <a:stretch>
                      <a:fillRect/>
                    </a:stretch>
                  </pic:blipFill>
                  <pic:spPr bwMode="auto">
                    <a:xfrm>
                      <a:off x="0" y="0"/>
                      <a:ext cx="63112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-284480</wp:posOffset>
            </wp:positionV>
            <wp:extent cx="62966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4">
                      <a:extLst>
                        <a:ext uri="{28A0092B-C50C-407E-A947-70E740481C1C}"/>
                      </a:extLst>
                    </a:blip>
                    <a:srcRect/>
                    <a:stretch>
                      <a:fillRect/>
                    </a:stretch>
                  </pic:blipFill>
                  <pic:spPr bwMode="auto">
                    <a:xfrm>
                      <a:off x="0" y="0"/>
                      <a:ext cx="62966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wp:posOffset>
            </wp:positionV>
            <wp:extent cx="62903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5">
                      <a:extLst>
                        <a:ext uri="{28A0092B-C50C-407E-A947-70E740481C1C}"/>
                      </a:extLst>
                    </a:blip>
                    <a:srcRect/>
                    <a:stretch>
                      <a:fillRect/>
                    </a:stretch>
                  </pic:blipFill>
                  <pic:spPr bwMode="auto">
                    <a:xfrm>
                      <a:off x="0" y="0"/>
                      <a:ext cx="62903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21564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6">
                      <a:extLst>
                        <a:ext uri="{28A0092B-C50C-407E-A947-70E740481C1C}"/>
                      </a:extLst>
                    </a:blip>
                    <a:srcRect/>
                    <a:stretch>
                      <a:fillRect/>
                    </a:stretch>
                  </pic:blipFill>
                  <pic:spPr bwMode="auto">
                    <a:xfrm>
                      <a:off x="0" y="0"/>
                      <a:ext cx="2156460" cy="8255"/>
                    </a:xfrm>
                    <a:prstGeom prst="rect">
                      <a:avLst/>
                    </a:prstGeom>
                    <a:noFill/>
                  </pic:spPr>
                </pic:pic>
              </a:graphicData>
            </a:graphic>
          </wp:anchor>
        </w:drawing>
      </w:r>
    </w:p>
    <w:p>
      <w:pPr>
        <w:spacing w:after="0" w:line="119" w:lineRule="exact"/>
        <w:rPr>
          <w:rFonts w:ascii="Arial" w:cs="Arial" w:eastAsia="Arial" w:hAnsi="Arial"/>
          <w:sz w:val="18"/>
          <w:szCs w:val="18"/>
          <w:u w:val="single" w:color="auto"/>
          <w:color w:val="0000FF"/>
        </w:rPr>
      </w:pPr>
    </w:p>
    <w:p>
      <w:pPr>
        <w:ind w:right="40"/>
        <w:spacing w:after="0" w:line="271" w:lineRule="auto"/>
        <w:rPr>
          <w:rFonts w:ascii="Arial" w:cs="Arial" w:eastAsia="Arial" w:hAnsi="Arial"/>
          <w:sz w:val="18"/>
          <w:szCs w:val="18"/>
          <w:color w:val="0000FF"/>
        </w:rPr>
      </w:pPr>
      <w:hyperlink r:id="rId277">
        <w:r>
          <w:rPr>
            <w:rFonts w:ascii="Arial" w:cs="Arial" w:eastAsia="Arial" w:hAnsi="Arial"/>
            <w:sz w:val="18"/>
            <w:szCs w:val="18"/>
            <w:u w:val="single" w:color="auto"/>
            <w:color w:val="0000FF"/>
          </w:rPr>
          <w:t>First Amendment to the Fifth Amended and Restated Credit Agreement, dated as of January 4, 2019, by and among Parsons</w:t>
        </w:r>
      </w:hyperlink>
      <w:r>
        <w:rPr>
          <w:rFonts w:ascii="Arial" w:cs="Arial" w:eastAsia="Arial" w:hAnsi="Arial"/>
          <w:sz w:val="18"/>
          <w:szCs w:val="18"/>
          <w:u w:val="single" w:color="auto"/>
          <w:color w:val="0000FF"/>
        </w:rPr>
        <w:t xml:space="preserve"> </w:t>
      </w:r>
      <w:hyperlink r:id="rId277">
        <w:r>
          <w:rPr>
            <w:rFonts w:ascii="Arial" w:cs="Arial" w:eastAsia="Arial" w:hAnsi="Arial"/>
            <w:sz w:val="18"/>
            <w:szCs w:val="18"/>
            <w:u w:val="single" w:color="auto"/>
            <w:color w:val="0000FF"/>
          </w:rPr>
          <w:t>Corporation, the Banks party thereto and MUFG Bank Ltd, as administrative agent</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63436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8">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wp:posOffset>
            </wp:positionV>
            <wp:extent cx="41484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9">
                      <a:extLst>
                        <a:ext uri="{28A0092B-C50C-407E-A947-70E740481C1C}"/>
                      </a:extLst>
                    </a:blip>
                    <a:srcRect/>
                    <a:stretch>
                      <a:fillRect/>
                    </a:stretch>
                  </pic:blipFill>
                  <pic:spPr bwMode="auto">
                    <a:xfrm>
                      <a:off x="0" y="0"/>
                      <a:ext cx="4148455" cy="8255"/>
                    </a:xfrm>
                    <a:prstGeom prst="rect">
                      <a:avLst/>
                    </a:prstGeom>
                    <a:noFill/>
                  </pic:spPr>
                </pic:pic>
              </a:graphicData>
            </a:graphic>
          </wp:anchor>
        </w:drawing>
      </w:r>
    </w:p>
    <w:p>
      <w:pPr>
        <w:spacing w:after="0" w:line="37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475615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60" w:space="420"/>
            <w:col w:w="9980"/>
          </w:cols>
          <w:pgMar w:left="440" w:top="1429" w:right="399" w:bottom="1440" w:gutter="0" w:footer="0" w:header="0"/>
        </w:sectPr>
      </w:pPr>
    </w:p>
    <w:bookmarkStart w:id="90" w:name="page91"/>
    <w:bookmarkEnd w:id="90"/>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10.54#</w:t>
            </w:r>
          </w:p>
        </w:tc>
        <w:tc>
          <w:tcPr>
            <w:tcW w:w="10000" w:type="dxa"/>
            <w:vAlign w:val="bottom"/>
            <w:gridSpan w:val="30"/>
          </w:tcPr>
          <w:p>
            <w:pPr>
              <w:spacing w:after="0"/>
              <w:rPr>
                <w:rFonts w:ascii="Arial" w:cs="Arial" w:eastAsia="Arial" w:hAnsi="Arial"/>
                <w:sz w:val="18"/>
                <w:szCs w:val="18"/>
                <w:color w:val="0000FF"/>
              </w:rPr>
            </w:pPr>
            <w:hyperlink r:id="rId281">
              <w:r>
                <w:rPr>
                  <w:rFonts w:ascii="Arial" w:cs="Arial" w:eastAsia="Arial" w:hAnsi="Arial"/>
                  <w:sz w:val="18"/>
                  <w:szCs w:val="18"/>
                  <w:color w:val="0000FF"/>
                </w:rPr>
                <w:t>Credit Agreement dated June 25, 2021, among Parsons Corporation, the Guarantors, the Lenders, and Bank of America,</w:t>
              </w:r>
            </w:hyperlink>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534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8"/>
              </w:rPr>
            </w:pPr>
            <w:hyperlink r:id="rId281">
              <w:r>
                <w:rPr>
                  <w:rFonts w:ascii="Arial" w:cs="Arial" w:eastAsia="Arial" w:hAnsi="Arial"/>
                  <w:sz w:val="18"/>
                  <w:szCs w:val="18"/>
                  <w:color w:val="0000FF"/>
                  <w:w w:val="98"/>
                </w:rPr>
                <w:t>N.A., as Administrative Agent, Swingline Lender, and an L/C Issuer.</w:t>
              </w:r>
            </w:hyperlink>
          </w:p>
        </w:tc>
        <w:tc>
          <w:tcPr>
            <w:tcW w:w="20" w:type="dxa"/>
            <w:vAlign w:val="bottom"/>
            <w:tcBorders>
              <w:top w:val="single" w:sz="8" w:color="0000FF"/>
              <w:bottom w:val="single" w:sz="8" w:color="0000EE"/>
            </w:tcBorders>
          </w:tcPr>
          <w:p>
            <w:pPr>
              <w:spacing w:after="0"/>
              <w:rPr>
                <w:sz w:val="15"/>
                <w:szCs w:val="15"/>
                <w:color w:val="auto"/>
              </w:rPr>
            </w:pPr>
          </w:p>
        </w:tc>
        <w:tc>
          <w:tcPr>
            <w:tcW w:w="432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10.55#</w:t>
            </w:r>
          </w:p>
        </w:tc>
        <w:tc>
          <w:tcPr>
            <w:tcW w:w="10000" w:type="dxa"/>
            <w:vAlign w:val="bottom"/>
            <w:gridSpan w:val="30"/>
          </w:tcPr>
          <w:p>
            <w:pPr>
              <w:spacing w:after="0"/>
              <w:rPr>
                <w:rFonts w:ascii="Arial" w:cs="Arial" w:eastAsia="Arial" w:hAnsi="Arial"/>
                <w:sz w:val="18"/>
                <w:szCs w:val="18"/>
                <w:color w:val="0000FF"/>
                <w:w w:val="99"/>
              </w:rPr>
            </w:pPr>
            <w:hyperlink r:id="rId282">
              <w:r>
                <w:rPr>
                  <w:rFonts w:ascii="Arial" w:cs="Arial" w:eastAsia="Arial" w:hAnsi="Arial"/>
                  <w:sz w:val="18"/>
                  <w:szCs w:val="18"/>
                  <w:color w:val="0000FF"/>
                  <w:w w:val="99"/>
                </w:rPr>
                <w:t>Term Loan Agreement, dated as of January 4, 2019, among Parsons Corporation, MUFG Union Bank, N.A., as administrative</w:t>
              </w:r>
            </w:hyperlink>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1000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282">
              <w:r>
                <w:rPr>
                  <w:rFonts w:ascii="Arial" w:cs="Arial" w:eastAsia="Arial" w:hAnsi="Arial"/>
                  <w:sz w:val="18"/>
                  <w:szCs w:val="18"/>
                  <w:color w:val="0000FF"/>
                </w:rPr>
                <w:t>agent, The Bank of Nova Scotia, as syndication agent, the other financial institutions party thereto and MUFG Union Bank,</w:t>
              </w:r>
            </w:hyperlink>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974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282">
              <w:r>
                <w:rPr>
                  <w:rFonts w:ascii="Arial" w:cs="Arial" w:eastAsia="Arial" w:hAnsi="Arial"/>
                  <w:sz w:val="18"/>
                  <w:szCs w:val="18"/>
                  <w:color w:val="0000FF"/>
                </w:rPr>
                <w:t>N.A. and The Bank of Nova Scotia, as co-lead arrangers</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vMerge w:val="restart"/>
          </w:tcPr>
          <w:p>
            <w:pPr>
              <w:spacing w:after="0"/>
              <w:rPr>
                <w:sz w:val="20"/>
                <w:szCs w:val="20"/>
                <w:color w:val="auto"/>
              </w:rPr>
            </w:pPr>
            <w:r>
              <w:rPr>
                <w:rFonts w:ascii="Arial" w:cs="Arial" w:eastAsia="Arial" w:hAnsi="Arial"/>
                <w:sz w:val="18"/>
                <w:szCs w:val="18"/>
                <w:color w:val="auto"/>
              </w:rPr>
              <w:t>10.56#</w:t>
            </w:r>
          </w:p>
        </w:tc>
        <w:tc>
          <w:tcPr>
            <w:tcW w:w="10000" w:type="dxa"/>
            <w:vAlign w:val="bottom"/>
            <w:gridSpan w:val="30"/>
          </w:tcPr>
          <w:p>
            <w:pPr>
              <w:spacing w:after="0"/>
              <w:rPr>
                <w:rFonts w:ascii="Arial" w:cs="Arial" w:eastAsia="Arial" w:hAnsi="Arial"/>
                <w:sz w:val="18"/>
                <w:szCs w:val="18"/>
                <w:color w:val="0000FF"/>
              </w:rPr>
            </w:pPr>
            <w:hyperlink r:id="rId283">
              <w:r>
                <w:rPr>
                  <w:rFonts w:ascii="Arial" w:cs="Arial" w:eastAsia="Arial" w:hAnsi="Arial"/>
                  <w:sz w:val="18"/>
                  <w:szCs w:val="18"/>
                  <w:color w:val="0000FF"/>
                </w:rPr>
                <w:t>Form of Employee Stockownership Trust Agreement, dated as of June 8, 2020, by and between Parsons Corporation and</w:t>
              </w:r>
            </w:hyperlink>
          </w:p>
        </w:tc>
        <w:tc>
          <w:tcPr>
            <w:tcW w:w="0" w:type="dxa"/>
            <w:vAlign w:val="bottom"/>
          </w:tcPr>
          <w:p>
            <w:pPr>
              <w:spacing w:after="0"/>
              <w:rPr>
                <w:sz w:val="1"/>
                <w:szCs w:val="1"/>
                <w:color w:val="auto"/>
              </w:rPr>
            </w:pPr>
          </w:p>
        </w:tc>
      </w:tr>
      <w:tr>
        <w:trPr>
          <w:trHeight w:val="20"/>
        </w:trPr>
        <w:tc>
          <w:tcPr>
            <w:tcW w:w="1100" w:type="dxa"/>
            <w:vAlign w:val="bottom"/>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100" w:type="dxa"/>
            <w:vAlign w:val="bottom"/>
            <w:vMerge w:val="continue"/>
          </w:tcPr>
          <w:p>
            <w:pPr>
              <w:spacing w:after="0"/>
              <w:rPr>
                <w:sz w:val="10"/>
                <w:szCs w:val="10"/>
                <w:color w:val="auto"/>
              </w:rPr>
            </w:pPr>
          </w:p>
        </w:tc>
        <w:tc>
          <w:tcPr>
            <w:tcW w:w="10000" w:type="dxa"/>
            <w:vAlign w:val="bottom"/>
            <w:gridSpan w:val="30"/>
            <w:vMerge w:val="restart"/>
          </w:tcPr>
          <w:p>
            <w:pPr>
              <w:spacing w:after="0" w:line="182" w:lineRule="exact"/>
              <w:rPr>
                <w:rFonts w:ascii="Arial" w:cs="Arial" w:eastAsia="Arial" w:hAnsi="Arial"/>
                <w:sz w:val="18"/>
                <w:szCs w:val="18"/>
                <w:color w:val="0000FF"/>
              </w:rPr>
            </w:pPr>
            <w:hyperlink r:id="rId283">
              <w:r>
                <w:rPr>
                  <w:rFonts w:ascii="Arial" w:cs="Arial" w:eastAsia="Arial" w:hAnsi="Arial"/>
                  <w:sz w:val="18"/>
                  <w:szCs w:val="18"/>
                  <w:color w:val="0000FF"/>
                </w:rPr>
                <w:t>Newport Trust Company.</w:t>
              </w:r>
            </w:hyperlink>
          </w:p>
        </w:tc>
        <w:tc>
          <w:tcPr>
            <w:tcW w:w="0" w:type="dxa"/>
            <w:vAlign w:val="bottom"/>
          </w:tcPr>
          <w:p>
            <w:pPr>
              <w:spacing w:after="0"/>
              <w:rPr>
                <w:sz w:val="1"/>
                <w:szCs w:val="1"/>
                <w:color w:val="auto"/>
              </w:rPr>
            </w:pPr>
          </w:p>
        </w:tc>
      </w:tr>
      <w:tr>
        <w:trPr>
          <w:trHeight w:val="63"/>
        </w:trPr>
        <w:tc>
          <w:tcPr>
            <w:tcW w:w="1100" w:type="dxa"/>
            <w:vAlign w:val="bottom"/>
          </w:tcPr>
          <w:p>
            <w:pPr>
              <w:spacing w:after="0"/>
              <w:rPr>
                <w:sz w:val="5"/>
                <w:szCs w:val="5"/>
                <w:color w:val="auto"/>
              </w:rPr>
            </w:pPr>
          </w:p>
        </w:tc>
        <w:tc>
          <w:tcPr>
            <w:tcW w:w="1000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10.57#</w:t>
            </w:r>
          </w:p>
        </w:tc>
        <w:tc>
          <w:tcPr>
            <w:tcW w:w="10000" w:type="dxa"/>
            <w:vAlign w:val="bottom"/>
            <w:gridSpan w:val="30"/>
          </w:tcPr>
          <w:p>
            <w:pPr>
              <w:spacing w:after="0"/>
              <w:rPr>
                <w:rFonts w:ascii="Arial" w:cs="Arial" w:eastAsia="Arial" w:hAnsi="Arial"/>
                <w:sz w:val="18"/>
                <w:szCs w:val="18"/>
                <w:color w:val="0000FF"/>
              </w:rPr>
            </w:pPr>
            <w:hyperlink r:id="rId284">
              <w:r>
                <w:rPr>
                  <w:rFonts w:ascii="Arial" w:cs="Arial" w:eastAsia="Arial" w:hAnsi="Arial"/>
                  <w:sz w:val="18"/>
                  <w:szCs w:val="18"/>
                  <w:color w:val="0000FF"/>
                </w:rPr>
                <w:t>Form of Registration Rights Agreement by and between Parsons Corporation and Newport Trust Company.</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10.58#</w:t>
            </w:r>
          </w:p>
        </w:tc>
        <w:tc>
          <w:tcPr>
            <w:tcW w:w="10000" w:type="dxa"/>
            <w:vAlign w:val="bottom"/>
            <w:gridSpan w:val="30"/>
          </w:tcPr>
          <w:p>
            <w:pPr>
              <w:spacing w:after="0"/>
              <w:rPr>
                <w:rFonts w:ascii="Arial" w:cs="Arial" w:eastAsia="Arial" w:hAnsi="Arial"/>
                <w:sz w:val="18"/>
                <w:szCs w:val="18"/>
                <w:color w:val="0000FF"/>
              </w:rPr>
            </w:pPr>
            <w:hyperlink r:id="rId285">
              <w:r>
                <w:rPr>
                  <w:rFonts w:ascii="Arial" w:cs="Arial" w:eastAsia="Arial" w:hAnsi="Arial"/>
                  <w:sz w:val="18"/>
                  <w:szCs w:val="18"/>
                  <w:color w:val="0000FF"/>
                </w:rPr>
                <w:t>Form of Fifth Amendment to the Parsons Corporation Retirement Savings Plan.</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10.59#+</w:t>
            </w:r>
          </w:p>
        </w:tc>
        <w:tc>
          <w:tcPr>
            <w:tcW w:w="10000" w:type="dxa"/>
            <w:vAlign w:val="bottom"/>
            <w:gridSpan w:val="30"/>
          </w:tcPr>
          <w:p>
            <w:pPr>
              <w:spacing w:after="0"/>
              <w:rPr>
                <w:rFonts w:ascii="Arial" w:cs="Arial" w:eastAsia="Arial" w:hAnsi="Arial"/>
                <w:sz w:val="18"/>
                <w:szCs w:val="18"/>
                <w:color w:val="0000FF"/>
              </w:rPr>
            </w:pPr>
            <w:hyperlink r:id="rId286">
              <w:r>
                <w:rPr>
                  <w:rFonts w:ascii="Arial" w:cs="Arial" w:eastAsia="Arial" w:hAnsi="Arial"/>
                  <w:sz w:val="18"/>
                  <w:szCs w:val="18"/>
                  <w:color w:val="0000FF"/>
                </w:rPr>
                <w:t>Form of Fourth Amendment to the 2019 Amendment and Restatement of Parsons Employee Stock Ownership Plan, effective</w:t>
              </w:r>
            </w:hyperlink>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11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6"/>
              </w:rPr>
            </w:pPr>
            <w:hyperlink r:id="rId286">
              <w:r>
                <w:rPr>
                  <w:rFonts w:ascii="Arial" w:cs="Arial" w:eastAsia="Arial" w:hAnsi="Arial"/>
                  <w:sz w:val="18"/>
                  <w:szCs w:val="18"/>
                  <w:color w:val="0000FF"/>
                  <w:w w:val="96"/>
                </w:rPr>
                <w:t>March 1,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8760" w:type="dxa"/>
            <w:vAlign w:val="bottom"/>
            <w:tcBorders>
              <w:top w:val="single" w:sz="8" w:color="0000FF"/>
            </w:tcBorders>
            <w:gridSpan w:val="26"/>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100" w:type="dxa"/>
            <w:vAlign w:val="bottom"/>
            <w:vMerge w:val="restart"/>
          </w:tcPr>
          <w:p>
            <w:pPr>
              <w:spacing w:after="0"/>
              <w:rPr>
                <w:sz w:val="20"/>
                <w:szCs w:val="20"/>
                <w:color w:val="auto"/>
              </w:rPr>
            </w:pPr>
            <w:r>
              <w:rPr>
                <w:rFonts w:ascii="Arial" w:cs="Arial" w:eastAsia="Arial" w:hAnsi="Arial"/>
                <w:sz w:val="18"/>
                <w:szCs w:val="18"/>
                <w:color w:val="auto"/>
              </w:rPr>
              <w:t>10.60#+</w:t>
            </w:r>
          </w:p>
        </w:tc>
        <w:tc>
          <w:tcPr>
            <w:tcW w:w="10000" w:type="dxa"/>
            <w:vAlign w:val="bottom"/>
            <w:gridSpan w:val="30"/>
          </w:tcPr>
          <w:p>
            <w:pPr>
              <w:spacing w:after="0"/>
              <w:rPr>
                <w:rFonts w:ascii="Arial" w:cs="Arial" w:eastAsia="Arial" w:hAnsi="Arial"/>
                <w:sz w:val="18"/>
                <w:szCs w:val="18"/>
                <w:color w:val="0000FF"/>
              </w:rPr>
            </w:pPr>
            <w:hyperlink r:id="rId287">
              <w:r>
                <w:rPr>
                  <w:rFonts w:ascii="Arial" w:cs="Arial" w:eastAsia="Arial" w:hAnsi="Arial"/>
                  <w:sz w:val="18"/>
                  <w:szCs w:val="18"/>
                  <w:color w:val="0000FF"/>
                </w:rPr>
                <w:t>Fourth Amendment to the Parsons Employee Stock Ownership Plan 2019 Amendment and Restatement, effective March 1,</w:t>
              </w:r>
            </w:hyperlink>
          </w:p>
        </w:tc>
        <w:tc>
          <w:tcPr>
            <w:tcW w:w="0" w:type="dxa"/>
            <w:vAlign w:val="bottom"/>
          </w:tcPr>
          <w:p>
            <w:pPr>
              <w:spacing w:after="0"/>
              <w:rPr>
                <w:sz w:val="1"/>
                <w:szCs w:val="1"/>
                <w:color w:val="auto"/>
              </w:rPr>
            </w:pPr>
          </w:p>
        </w:tc>
      </w:tr>
      <w:tr>
        <w:trPr>
          <w:trHeight w:val="20"/>
        </w:trPr>
        <w:tc>
          <w:tcPr>
            <w:tcW w:w="1100" w:type="dxa"/>
            <w:vAlign w:val="bottom"/>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100" w:type="dxa"/>
            <w:vAlign w:val="bottom"/>
            <w:vMerge w:val="continue"/>
          </w:tcPr>
          <w:p>
            <w:pPr>
              <w:spacing w:after="0"/>
              <w:rPr>
                <w:sz w:val="10"/>
                <w:szCs w:val="10"/>
                <w:color w:val="auto"/>
              </w:rPr>
            </w:pPr>
          </w:p>
        </w:tc>
        <w:tc>
          <w:tcPr>
            <w:tcW w:w="1180" w:type="dxa"/>
            <w:vAlign w:val="bottom"/>
            <w:gridSpan w:val="2"/>
            <w:vMerge w:val="restart"/>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2021.</w:t>
              </w:r>
            </w:hyperlink>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10.61#+</w:t>
            </w:r>
          </w:p>
        </w:tc>
        <w:tc>
          <w:tcPr>
            <w:tcW w:w="10000" w:type="dxa"/>
            <w:vAlign w:val="bottom"/>
            <w:gridSpan w:val="30"/>
          </w:tcPr>
          <w:p>
            <w:pPr>
              <w:spacing w:after="0"/>
              <w:rPr>
                <w:rFonts w:ascii="Arial" w:cs="Arial" w:eastAsia="Arial" w:hAnsi="Arial"/>
                <w:sz w:val="18"/>
                <w:szCs w:val="18"/>
                <w:color w:val="0000FF"/>
              </w:rPr>
            </w:pPr>
            <w:hyperlink r:id="rId288">
              <w:r>
                <w:rPr>
                  <w:rFonts w:ascii="Arial" w:cs="Arial" w:eastAsia="Arial" w:hAnsi="Arial"/>
                  <w:sz w:val="18"/>
                  <w:szCs w:val="18"/>
                  <w:color w:val="0000FF"/>
                </w:rPr>
                <w:t>Form of Indemnification Agreement between Parsons Corporation and certain of its directors and officers</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10.62#+</w:t>
            </w:r>
          </w:p>
        </w:tc>
        <w:tc>
          <w:tcPr>
            <w:tcW w:w="10000" w:type="dxa"/>
            <w:vAlign w:val="bottom"/>
            <w:gridSpan w:val="30"/>
          </w:tcPr>
          <w:p>
            <w:pPr>
              <w:spacing w:after="0"/>
              <w:rPr>
                <w:rFonts w:ascii="Arial" w:cs="Arial" w:eastAsia="Arial" w:hAnsi="Arial"/>
                <w:sz w:val="18"/>
                <w:szCs w:val="18"/>
                <w:color w:val="0000FF"/>
              </w:rPr>
            </w:pPr>
            <w:hyperlink r:id="rId289">
              <w:r>
                <w:rPr>
                  <w:rFonts w:ascii="Arial" w:cs="Arial" w:eastAsia="Arial" w:hAnsi="Arial"/>
                  <w:sz w:val="18"/>
                  <w:szCs w:val="18"/>
                  <w:color w:val="0000FF"/>
                </w:rPr>
                <w:t>Form of Transition Agreement, dated February 2022, by and between Parsons Corporation and Charles L. Harrington.</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10.63#</w:t>
            </w:r>
          </w:p>
        </w:tc>
        <w:tc>
          <w:tcPr>
            <w:tcW w:w="10000" w:type="dxa"/>
            <w:vAlign w:val="bottom"/>
            <w:gridSpan w:val="30"/>
          </w:tcPr>
          <w:p>
            <w:pPr>
              <w:spacing w:after="0"/>
              <w:rPr>
                <w:rFonts w:ascii="Arial" w:cs="Arial" w:eastAsia="Arial" w:hAnsi="Arial"/>
                <w:sz w:val="18"/>
                <w:szCs w:val="18"/>
                <w:color w:val="0000FF"/>
              </w:rPr>
            </w:pPr>
            <w:hyperlink r:id="rId290">
              <w:r>
                <w:rPr>
                  <w:rFonts w:ascii="Arial" w:cs="Arial" w:eastAsia="Arial" w:hAnsi="Arial"/>
                  <w:sz w:val="18"/>
                  <w:szCs w:val="18"/>
                  <w:color w:val="0000FF"/>
                </w:rPr>
                <w:t>Delayed Draw Term Loan Agreement and Form of First Amendment to Credit Agreement.</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10.65#+</w:t>
            </w:r>
          </w:p>
        </w:tc>
        <w:tc>
          <w:tcPr>
            <w:tcW w:w="10000" w:type="dxa"/>
            <w:vAlign w:val="bottom"/>
            <w:gridSpan w:val="30"/>
          </w:tcPr>
          <w:p>
            <w:pPr>
              <w:spacing w:after="0"/>
              <w:rPr>
                <w:rFonts w:ascii="Arial" w:cs="Arial" w:eastAsia="Arial" w:hAnsi="Arial"/>
                <w:sz w:val="18"/>
                <w:szCs w:val="18"/>
                <w:color w:val="0000FF"/>
              </w:rPr>
            </w:pPr>
            <w:hyperlink r:id="rId291">
              <w:r>
                <w:rPr>
                  <w:rFonts w:ascii="Arial" w:cs="Arial" w:eastAsia="Arial" w:hAnsi="Arial"/>
                  <w:sz w:val="18"/>
                  <w:szCs w:val="18"/>
                  <w:color w:val="0000FF"/>
                </w:rPr>
                <w:t>Seventh Amendment to The Parsons Corporation Retirement Savings Plan (2017 Amendment and Restatement).</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10.66#+</w:t>
            </w:r>
          </w:p>
        </w:tc>
        <w:tc>
          <w:tcPr>
            <w:tcW w:w="10000" w:type="dxa"/>
            <w:vAlign w:val="bottom"/>
            <w:gridSpan w:val="30"/>
          </w:tcPr>
          <w:p>
            <w:pPr>
              <w:spacing w:after="0"/>
              <w:rPr>
                <w:rFonts w:ascii="Arial" w:cs="Arial" w:eastAsia="Arial" w:hAnsi="Arial"/>
                <w:sz w:val="18"/>
                <w:szCs w:val="18"/>
                <w:color w:val="0000FF"/>
              </w:rPr>
            </w:pPr>
            <w:hyperlink r:id="rId292">
              <w:r>
                <w:rPr>
                  <w:rFonts w:ascii="Arial" w:cs="Arial" w:eastAsia="Arial" w:hAnsi="Arial"/>
                  <w:sz w:val="18"/>
                  <w:szCs w:val="18"/>
                  <w:color w:val="0000FF"/>
                </w:rPr>
                <w:t>Fifth Amendment to The Parsons Employee Stock Ownership Plan 2019 Amendment and Restatement.</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10.67#+</w:t>
            </w:r>
          </w:p>
        </w:tc>
        <w:tc>
          <w:tcPr>
            <w:tcW w:w="10000" w:type="dxa"/>
            <w:vAlign w:val="bottom"/>
            <w:gridSpan w:val="30"/>
          </w:tcPr>
          <w:p>
            <w:pPr>
              <w:spacing w:after="0"/>
              <w:rPr>
                <w:rFonts w:ascii="Arial" w:cs="Arial" w:eastAsia="Arial" w:hAnsi="Arial"/>
                <w:sz w:val="18"/>
                <w:szCs w:val="18"/>
                <w:color w:val="0000FF"/>
              </w:rPr>
            </w:pPr>
            <w:hyperlink r:id="rId293">
              <w:r>
                <w:rPr>
                  <w:rFonts w:ascii="Arial" w:cs="Arial" w:eastAsia="Arial" w:hAnsi="Arial"/>
                  <w:sz w:val="18"/>
                  <w:szCs w:val="18"/>
                  <w:color w:val="0000FF"/>
                </w:rPr>
                <w:t>Sixth Amendment to The Parsons Employee Stock Ownership Plan 2019 Amendment and Restatement.</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19.3*</w:t>
            </w:r>
          </w:p>
        </w:tc>
        <w:tc>
          <w:tcPr>
            <w:tcW w:w="10000" w:type="dxa"/>
            <w:vAlign w:val="bottom"/>
            <w:gridSpan w:val="30"/>
          </w:tcPr>
          <w:p>
            <w:pPr>
              <w:spacing w:after="0"/>
              <w:rPr>
                <w:sz w:val="20"/>
                <w:szCs w:val="20"/>
                <w:color w:val="auto"/>
              </w:rPr>
            </w:pPr>
            <w:r>
              <w:rPr>
                <w:rFonts w:ascii="Arial" w:cs="Arial" w:eastAsia="Arial" w:hAnsi="Arial"/>
                <w:sz w:val="18"/>
                <w:szCs w:val="18"/>
                <w:color w:val="0000FF"/>
              </w:rPr>
              <w:t>Parsons Corporation Insider Trading Compliance Policy</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21.1*</w:t>
            </w:r>
          </w:p>
        </w:tc>
        <w:tc>
          <w:tcPr>
            <w:tcW w:w="10000" w:type="dxa"/>
            <w:vAlign w:val="bottom"/>
            <w:gridSpan w:val="30"/>
          </w:tcPr>
          <w:p>
            <w:pPr>
              <w:spacing w:after="0"/>
              <w:rPr>
                <w:sz w:val="20"/>
                <w:szCs w:val="20"/>
                <w:color w:val="auto"/>
              </w:rPr>
            </w:pPr>
            <w:r>
              <w:rPr>
                <w:rFonts w:ascii="Arial" w:cs="Arial" w:eastAsia="Arial" w:hAnsi="Arial"/>
                <w:sz w:val="18"/>
                <w:szCs w:val="18"/>
                <w:color w:val="0000FF"/>
              </w:rPr>
              <w:t>List of Subsidiaries of the Registrant</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23.1*</w:t>
            </w:r>
          </w:p>
        </w:tc>
        <w:tc>
          <w:tcPr>
            <w:tcW w:w="10000" w:type="dxa"/>
            <w:vAlign w:val="bottom"/>
            <w:gridSpan w:val="30"/>
          </w:tcPr>
          <w:p>
            <w:pPr>
              <w:spacing w:after="0"/>
              <w:rPr>
                <w:sz w:val="20"/>
                <w:szCs w:val="20"/>
                <w:color w:val="auto"/>
              </w:rPr>
            </w:pPr>
            <w:r>
              <w:rPr>
                <w:rFonts w:ascii="Arial" w:cs="Arial" w:eastAsia="Arial" w:hAnsi="Arial"/>
                <w:sz w:val="18"/>
                <w:szCs w:val="18"/>
                <w:color w:val="0000FF"/>
              </w:rPr>
              <w:t>Consent of PricewaterhouseCoopers LLP.</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gridSpan w:val="30"/>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6200" w:type="dxa"/>
            <w:vAlign w:val="bottom"/>
            <w:tcBorders>
              <w:top w:val="single" w:sz="8" w:color="0000FF"/>
              <w:bottom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100" w:type="dxa"/>
            <w:vAlign w:val="bottom"/>
            <w:tcBorders>
              <w:top w:val="single" w:sz="8" w:color="0000FF"/>
              <w:bottom w:val="single" w:sz="8" w:color="0000EE"/>
            </w:tcBorders>
          </w:tcPr>
          <w:p>
            <w:pPr>
              <w:spacing w:after="0"/>
              <w:rPr>
                <w:sz w:val="15"/>
                <w:szCs w:val="15"/>
                <w:color w:val="auto"/>
              </w:rPr>
            </w:pPr>
          </w:p>
        </w:tc>
        <w:tc>
          <w:tcPr>
            <w:tcW w:w="3540" w:type="dxa"/>
            <w:vAlign w:val="bottom"/>
            <w:tcBorders>
              <w:top w:val="single" w:sz="8" w:color="0000FF"/>
            </w:tcBorders>
            <w:gridSpan w:val="12"/>
          </w:tcPr>
          <w:p>
            <w:pPr>
              <w:spacing w:after="0"/>
              <w:rPr>
                <w:sz w:val="15"/>
                <w:szCs w:val="15"/>
                <w:color w:val="auto"/>
              </w:rPr>
            </w:pP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gridSpan w:val="30"/>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6200" w:type="dxa"/>
            <w:vAlign w:val="bottom"/>
            <w:tcBorders>
              <w:top w:val="single" w:sz="8" w:color="0000FF"/>
              <w:bottom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100" w:type="dxa"/>
            <w:vAlign w:val="bottom"/>
            <w:tcBorders>
              <w:top w:val="single" w:sz="8" w:color="0000FF"/>
              <w:bottom w:val="single" w:sz="8" w:color="0000EE"/>
            </w:tcBorders>
          </w:tcPr>
          <w:p>
            <w:pPr>
              <w:spacing w:after="0"/>
              <w:rPr>
                <w:sz w:val="15"/>
                <w:szCs w:val="15"/>
                <w:color w:val="auto"/>
              </w:rPr>
            </w:pPr>
          </w:p>
        </w:tc>
        <w:tc>
          <w:tcPr>
            <w:tcW w:w="3460" w:type="dxa"/>
            <w:vAlign w:val="bottom"/>
            <w:tcBorders>
              <w:top w:val="single" w:sz="8" w:color="0000FF"/>
            </w:tcBorders>
            <w:gridSpan w:val="11"/>
          </w:tcPr>
          <w:p>
            <w:pPr>
              <w:spacing w:after="0"/>
              <w:rPr>
                <w:sz w:val="15"/>
                <w:szCs w:val="15"/>
                <w:color w:val="auto"/>
              </w:rPr>
            </w:pPr>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10000" w:type="dxa"/>
            <w:vAlign w:val="bottom"/>
            <w:gridSpan w:val="30"/>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19"/>
          </w:tcPr>
          <w:p>
            <w:pPr>
              <w:spacing w:after="0"/>
              <w:rPr>
                <w:sz w:val="15"/>
                <w:szCs w:val="15"/>
                <w:color w:val="auto"/>
              </w:rPr>
            </w:pPr>
          </w:p>
        </w:tc>
        <w:tc>
          <w:tcPr>
            <w:tcW w:w="3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gridSpan w:val="30"/>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17"/>
          </w:tcPr>
          <w:p>
            <w:pPr>
              <w:spacing w:after="0"/>
              <w:rPr>
                <w:sz w:val="15"/>
                <w:szCs w:val="15"/>
                <w:color w:val="auto"/>
              </w:rPr>
            </w:pPr>
          </w:p>
        </w:tc>
        <w:tc>
          <w:tcPr>
            <w:tcW w:w="3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100" w:type="dxa"/>
            <w:vAlign w:val="bottom"/>
          </w:tcPr>
          <w:p>
            <w:pPr>
              <w:ind w:left="20"/>
              <w:spacing w:after="0"/>
              <w:rPr>
                <w:sz w:val="20"/>
                <w:szCs w:val="20"/>
                <w:color w:val="auto"/>
              </w:rPr>
            </w:pPr>
            <w:r>
              <w:rPr>
                <w:rFonts w:ascii="Arial" w:cs="Arial" w:eastAsia="Arial" w:hAnsi="Arial"/>
                <w:sz w:val="18"/>
                <w:szCs w:val="18"/>
                <w:color w:val="auto"/>
              </w:rPr>
              <w:t>97.1#</w:t>
            </w:r>
          </w:p>
        </w:tc>
        <w:tc>
          <w:tcPr>
            <w:tcW w:w="10000" w:type="dxa"/>
            <w:vAlign w:val="bottom"/>
            <w:gridSpan w:val="30"/>
          </w:tcPr>
          <w:p>
            <w:pPr>
              <w:spacing w:after="0"/>
              <w:rPr>
                <w:rFonts w:ascii="Arial" w:cs="Arial" w:eastAsia="Arial" w:hAnsi="Arial"/>
                <w:sz w:val="18"/>
                <w:szCs w:val="18"/>
                <w:color w:val="0000FF"/>
              </w:rPr>
            </w:pPr>
            <w:hyperlink r:id="rId294">
              <w:r>
                <w:rPr>
                  <w:rFonts w:ascii="Arial" w:cs="Arial" w:eastAsia="Arial" w:hAnsi="Arial"/>
                  <w:sz w:val="18"/>
                  <w:szCs w:val="18"/>
                  <w:color w:val="0000FF"/>
                </w:rPr>
                <w:t>Parsons Corporation Executive Compensation Clawback Policy</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040" w:type="dxa"/>
            <w:vAlign w:val="bottom"/>
            <w:tcBorders>
              <w:right w:val="single" w:sz="8" w:color="0000EE"/>
            </w:tcBorders>
            <w:gridSpan w:val="11"/>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9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00" w:type="dxa"/>
            <w:vAlign w:val="bottom"/>
          </w:tcPr>
          <w:p>
            <w:pPr>
              <w:ind w:left="20"/>
              <w:spacing w:after="0"/>
              <w:rPr>
                <w:sz w:val="20"/>
                <w:szCs w:val="20"/>
                <w:color w:val="auto"/>
              </w:rPr>
            </w:pPr>
            <w:r>
              <w:rPr>
                <w:rFonts w:ascii="Arial" w:cs="Arial" w:eastAsia="Arial" w:hAnsi="Arial"/>
                <w:sz w:val="18"/>
                <w:szCs w:val="18"/>
                <w:color w:val="auto"/>
              </w:rPr>
              <w:t>97.2#</w:t>
            </w:r>
          </w:p>
        </w:tc>
        <w:tc>
          <w:tcPr>
            <w:tcW w:w="10000" w:type="dxa"/>
            <w:vAlign w:val="bottom"/>
            <w:gridSpan w:val="30"/>
          </w:tcPr>
          <w:p>
            <w:pPr>
              <w:spacing w:after="0"/>
              <w:rPr>
                <w:rFonts w:ascii="Arial" w:cs="Arial" w:eastAsia="Arial" w:hAnsi="Arial"/>
                <w:sz w:val="18"/>
                <w:szCs w:val="18"/>
                <w:color w:val="0000FF"/>
              </w:rPr>
            </w:pPr>
            <w:hyperlink r:id="rId295">
              <w:r>
                <w:rPr>
                  <w:rFonts w:ascii="Arial" w:cs="Arial" w:eastAsia="Arial" w:hAnsi="Arial"/>
                  <w:sz w:val="18"/>
                  <w:szCs w:val="18"/>
                  <w:color w:val="0000FF"/>
                </w:rPr>
                <w:t>Parsons Corporation Dodd-Frank Compliant Compensation Clawback Policy</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60" w:type="dxa"/>
            <w:vAlign w:val="bottom"/>
            <w:tcBorders>
              <w:right w:val="single" w:sz="8" w:color="0000EE"/>
            </w:tcBorders>
            <w:gridSpan w:val="14"/>
            <w:shd w:val="clear" w:color="auto" w:fill="0000FF"/>
          </w:tcPr>
          <w:p>
            <w:pPr>
              <w:spacing w:after="0" w:line="20" w:lineRule="exact"/>
              <w:rPr>
                <w:sz w:val="1"/>
                <w:szCs w:val="1"/>
                <w:color w:val="auto"/>
              </w:rPr>
            </w:pPr>
          </w:p>
        </w:tc>
        <w:tc>
          <w:tcPr>
            <w:tcW w:w="39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10000" w:type="dxa"/>
            <w:vAlign w:val="bottom"/>
            <w:gridSpan w:val="30"/>
          </w:tcPr>
          <w:p>
            <w:pPr>
              <w:spacing w:after="0"/>
              <w:rPr>
                <w:sz w:val="20"/>
                <w:szCs w:val="20"/>
                <w:color w:val="auto"/>
              </w:rPr>
            </w:pPr>
            <w:r>
              <w:rPr>
                <w:rFonts w:ascii="Arial" w:cs="Arial" w:eastAsia="Arial" w:hAnsi="Arial"/>
                <w:sz w:val="18"/>
                <w:szCs w:val="18"/>
                <w:color w:val="auto"/>
              </w:rPr>
              <w:t>The following financial statements from the Company’s Annual Report on Form 10-K for the year ended December 31, 2023,</w:t>
            </w:r>
          </w:p>
        </w:tc>
        <w:tc>
          <w:tcPr>
            <w:tcW w:w="0" w:type="dxa"/>
            <w:vAlign w:val="bottom"/>
          </w:tcPr>
          <w:p>
            <w:pPr>
              <w:spacing w:after="0"/>
              <w:rPr>
                <w:sz w:val="1"/>
                <w:szCs w:val="1"/>
                <w:color w:val="auto"/>
              </w:rPr>
            </w:pPr>
          </w:p>
        </w:tc>
      </w:tr>
      <w:tr>
        <w:trPr>
          <w:trHeight w:val="220"/>
        </w:trPr>
        <w:tc>
          <w:tcPr>
            <w:tcW w:w="1100" w:type="dxa"/>
            <w:vAlign w:val="bottom"/>
          </w:tcPr>
          <w:p>
            <w:pPr>
              <w:spacing w:after="0"/>
              <w:rPr>
                <w:sz w:val="19"/>
                <w:szCs w:val="19"/>
                <w:color w:val="auto"/>
              </w:rPr>
            </w:pPr>
          </w:p>
        </w:tc>
        <w:tc>
          <w:tcPr>
            <w:tcW w:w="10000" w:type="dxa"/>
            <w:vAlign w:val="bottom"/>
            <w:gridSpan w:val="30"/>
          </w:tcPr>
          <w:p>
            <w:pPr>
              <w:spacing w:after="0"/>
              <w:rPr>
                <w:sz w:val="20"/>
                <w:szCs w:val="20"/>
                <w:color w:val="auto"/>
              </w:rPr>
            </w:pPr>
            <w:r>
              <w:rPr>
                <w:rFonts w:ascii="Arial" w:cs="Arial" w:eastAsia="Arial" w:hAnsi="Arial"/>
                <w:sz w:val="18"/>
                <w:szCs w:val="18"/>
                <w:color w:val="auto"/>
              </w:rPr>
              <w:t>formatted in Inline XBRL Taxonomy Extension Schema With Embedded Linkbases Document: (i) Consolidated Balance</w:t>
            </w:r>
          </w:p>
        </w:tc>
        <w:tc>
          <w:tcPr>
            <w:tcW w:w="0" w:type="dxa"/>
            <w:vAlign w:val="bottom"/>
          </w:tcPr>
          <w:p>
            <w:pPr>
              <w:spacing w:after="0"/>
              <w:rPr>
                <w:sz w:val="1"/>
                <w:szCs w:val="1"/>
                <w:color w:val="auto"/>
              </w:rPr>
            </w:pPr>
          </w:p>
        </w:tc>
      </w:tr>
    </w:tbl>
    <w:p>
      <w:pPr>
        <w:ind w:left="1080" w:right="120"/>
        <w:spacing w:after="0" w:line="242" w:lineRule="auto"/>
        <w:rPr>
          <w:sz w:val="20"/>
          <w:szCs w:val="20"/>
          <w:color w:val="auto"/>
        </w:rPr>
      </w:pPr>
      <w:r>
        <w:rPr>
          <w:rFonts w:ascii="Arial" w:cs="Arial" w:eastAsia="Arial" w:hAnsi="Arial"/>
          <w:sz w:val="18"/>
          <w:szCs w:val="18"/>
          <w:color w:val="auto"/>
        </w:rPr>
        <w:t>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475615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40" w:top="1440" w:right="359" w:bottom="1440" w:gutter="0" w:footer="0" w:header="0"/>
        </w:sectPr>
      </w:pPr>
    </w:p>
    <w:bookmarkStart w:id="91" w:name="page92"/>
    <w:bookmarkEnd w:id="91"/>
    <w:tbl>
      <w:tblPr>
        <w:tblLayout w:type="fixed"/>
        <w:tblInd w:w="120" w:type="dxa"/>
        <w:tblCellMar>
          <w:top w:w="0" w:type="dxa"/>
          <w:left w:w="0" w:type="dxa"/>
          <w:bottom w:w="0" w:type="dxa"/>
          <w:right w:w="0" w:type="dxa"/>
        </w:tblCellMar>
      </w:tblPr>
      <w:tr>
        <w:trPr>
          <w:trHeight w:val="207"/>
        </w:trPr>
        <w:tc>
          <w:tcPr>
            <w:tcW w:w="720" w:type="dxa"/>
            <w:vAlign w:val="bottom"/>
          </w:tcPr>
          <w:p>
            <w:pPr>
              <w:jc w:val="right"/>
              <w:ind w:right="250"/>
              <w:spacing w:after="0"/>
              <w:rPr>
                <w:sz w:val="20"/>
                <w:szCs w:val="20"/>
                <w:color w:val="auto"/>
              </w:rPr>
            </w:pPr>
            <w:r>
              <w:rPr>
                <w:rFonts w:ascii="Arial" w:cs="Arial" w:eastAsia="Arial" w:hAnsi="Arial"/>
                <w:sz w:val="18"/>
                <w:szCs w:val="18"/>
                <w:color w:val="auto"/>
                <w:w w:val="97"/>
              </w:rPr>
              <w:t>104*</w:t>
            </w:r>
          </w:p>
        </w:tc>
        <w:tc>
          <w:tcPr>
            <w:tcW w:w="9880" w:type="dxa"/>
            <w:vAlign w:val="bottom"/>
          </w:tcPr>
          <w:p>
            <w:pPr>
              <w:ind w:left="360"/>
              <w:spacing w:after="0"/>
              <w:rPr>
                <w:sz w:val="20"/>
                <w:szCs w:val="20"/>
                <w:color w:val="auto"/>
              </w:rPr>
            </w:pPr>
            <w:r>
              <w:rPr>
                <w:rFonts w:ascii="Arial" w:cs="Arial" w:eastAsia="Arial" w:hAnsi="Arial"/>
                <w:sz w:val="18"/>
                <w:szCs w:val="18"/>
                <w:color w:val="auto"/>
                <w:w w:val="99"/>
              </w:rPr>
              <w:t>Cover Page Interactive Data File (formatted as inline XBRL with applicable taxonomy extension information contained in</w:t>
            </w:r>
          </w:p>
        </w:tc>
      </w:tr>
      <w:tr>
        <w:trPr>
          <w:trHeight w:val="239"/>
        </w:trPr>
        <w:tc>
          <w:tcPr>
            <w:tcW w:w="720" w:type="dxa"/>
            <w:vAlign w:val="bottom"/>
          </w:tcPr>
          <w:p>
            <w:pPr>
              <w:spacing w:after="0"/>
              <w:rPr>
                <w:sz w:val="20"/>
                <w:szCs w:val="20"/>
                <w:color w:val="auto"/>
              </w:rPr>
            </w:pPr>
          </w:p>
        </w:tc>
        <w:tc>
          <w:tcPr>
            <w:tcW w:w="9880" w:type="dxa"/>
            <w:vAlign w:val="bottom"/>
          </w:tcPr>
          <w:p>
            <w:pPr>
              <w:ind w:left="360"/>
              <w:spacing w:after="0"/>
              <w:rPr>
                <w:sz w:val="20"/>
                <w:szCs w:val="20"/>
                <w:color w:val="auto"/>
              </w:rPr>
            </w:pPr>
            <w:r>
              <w:rPr>
                <w:rFonts w:ascii="Arial" w:cs="Arial" w:eastAsia="Arial" w:hAnsi="Arial"/>
                <w:sz w:val="18"/>
                <w:szCs w:val="18"/>
                <w:color w:val="auto"/>
              </w:rPr>
              <w:t>Exhibits 101).</w:t>
            </w:r>
          </w:p>
        </w:tc>
      </w:tr>
    </w:tbl>
    <w:p>
      <w:pPr>
        <w:spacing w:after="0" w:line="266" w:lineRule="exact"/>
        <w:rPr>
          <w:sz w:val="20"/>
          <w:szCs w:val="20"/>
          <w:color w:val="auto"/>
        </w:rPr>
      </w:pPr>
    </w:p>
    <w:p>
      <w:pPr>
        <w:ind w:left="480" w:hanging="472"/>
        <w:spacing w:after="0"/>
        <w:tabs>
          <w:tab w:leader="none" w:pos="480" w:val="left"/>
        </w:tabs>
        <w:numPr>
          <w:ilvl w:val="0"/>
          <w:numId w:val="56"/>
        </w:numPr>
        <w:rPr>
          <w:rFonts w:ascii="Arial" w:cs="Arial" w:eastAsia="Arial" w:hAnsi="Arial"/>
          <w:sz w:val="22"/>
          <w:szCs w:val="22"/>
          <w:color w:val="auto"/>
        </w:rPr>
      </w:pPr>
      <w:r>
        <w:rPr>
          <w:rFonts w:ascii="Arial" w:cs="Arial" w:eastAsia="Arial" w:hAnsi="Arial"/>
          <w:sz w:val="18"/>
          <w:szCs w:val="18"/>
          <w:color w:val="auto"/>
        </w:rPr>
        <w:t>Filed herewith</w:t>
      </w:r>
      <w:r>
        <w:rPr>
          <w:rFonts w:ascii="Arial" w:cs="Arial" w:eastAsia="Arial" w:hAnsi="Arial"/>
          <w:sz w:val="21"/>
          <w:szCs w:val="21"/>
          <w:color w:val="auto"/>
        </w:rPr>
        <w:t>.</w:t>
      </w:r>
    </w:p>
    <w:p>
      <w:pPr>
        <w:spacing w:after="0" w:line="15" w:lineRule="exact"/>
        <w:rPr>
          <w:rFonts w:ascii="Arial" w:cs="Arial" w:eastAsia="Arial" w:hAnsi="Arial"/>
          <w:sz w:val="22"/>
          <w:szCs w:val="22"/>
          <w:color w:val="auto"/>
        </w:rPr>
      </w:pPr>
    </w:p>
    <w:p>
      <w:pPr>
        <w:spacing w:after="0" w:line="234" w:lineRule="auto"/>
        <w:rPr>
          <w:rFonts w:ascii="Arial" w:cs="Arial" w:eastAsia="Arial" w:hAnsi="Arial"/>
          <w:sz w:val="22"/>
          <w:szCs w:val="22"/>
          <w:color w:val="auto"/>
        </w:rPr>
      </w:pPr>
      <w:r>
        <w:rPr>
          <w:rFonts w:ascii="Arial" w:cs="Arial" w:eastAsia="Arial" w:hAnsi="Arial"/>
          <w:sz w:val="18"/>
          <w:szCs w:val="18"/>
          <w:color w:val="auto"/>
        </w:rPr>
        <w:t>#   Previously filed.</w:t>
      </w:r>
    </w:p>
    <w:p>
      <w:pPr>
        <w:spacing w:after="0"/>
        <w:rPr>
          <w:rFonts w:ascii="Arial" w:cs="Arial" w:eastAsia="Arial" w:hAnsi="Arial"/>
          <w:sz w:val="22"/>
          <w:szCs w:val="22"/>
          <w:color w:val="auto"/>
        </w:rPr>
      </w:pPr>
      <w:r>
        <w:rPr>
          <w:rFonts w:ascii="Arial" w:cs="Arial" w:eastAsia="Arial" w:hAnsi="Arial"/>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19005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7">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424" w:right="8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460" w:firstLine="509"/>
        <w:spacing w:after="0" w:line="280"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Parsons Corporation</w:t>
      </w:r>
    </w:p>
    <w:p>
      <w:pPr>
        <w:spacing w:after="0" w:line="225" w:lineRule="exact"/>
        <w:rPr>
          <w:sz w:val="20"/>
          <w:szCs w:val="20"/>
          <w:color w:val="auto"/>
        </w:rPr>
      </w:pPr>
    </w:p>
    <w:p>
      <w:pPr>
        <w:ind w:left="20"/>
        <w:spacing w:after="0"/>
        <w:tabs>
          <w:tab w:leader="none" w:pos="5620" w:val="left"/>
          <w:tab w:leader="none" w:pos="7920" w:val="left"/>
        </w:tabs>
        <w:rPr>
          <w:sz w:val="20"/>
          <w:szCs w:val="20"/>
          <w:color w:val="auto"/>
        </w:rPr>
      </w:pPr>
      <w:r>
        <w:rPr>
          <w:rFonts w:ascii="Arial" w:cs="Arial" w:eastAsia="Arial" w:hAnsi="Arial"/>
          <w:sz w:val="18"/>
          <w:szCs w:val="18"/>
          <w:color w:val="auto"/>
        </w:rPr>
        <w:t>Date: February 14,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17780</wp:posOffset>
            </wp:positionV>
            <wp:extent cx="32791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9">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0"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Carey A. Smith</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Executive Officer)</w:t>
      </w:r>
    </w:p>
    <w:p>
      <w:pPr>
        <w:spacing w:after="0" w:line="193"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5" w:right="339" w:bottom="1440" w:gutter="0" w:footer="0" w:header="0"/>
        </w:sectPr>
      </w:pPr>
    </w:p>
    <w:p>
      <w:pPr>
        <w:spacing w:after="0" w:line="13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125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0">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125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1">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Carey A. Smith</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125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2">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Matthew M. Ofilos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125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3">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George L. Ball</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Mark K. Holdsworth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125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4">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Mark K. Holdsworth</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Steven F. Leer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125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5">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Steven F. Leer</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Ellen M. 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125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6">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Ellen M. Lord</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Letitia 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125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7">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Letitia A. Long</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Darren W. McDew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125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8">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Darren W. McDew</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Harry T.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125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9">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Harry T. McMahon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 M. Christian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125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0">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M. Christian Mitchell</w:t>
      </w:r>
    </w:p>
    <w:p>
      <w:pPr>
        <w:spacing w:after="0" w:line="94"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Suzanne M. Vautrinot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7125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1">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23" w:lineRule="exact"/>
        <w:rPr>
          <w:sz w:val="20"/>
          <w:szCs w:val="20"/>
          <w:color w:val="auto"/>
        </w:rPr>
      </w:pPr>
    </w:p>
    <w:p>
      <w:pPr>
        <w:ind w:left="500" w:right="120" w:firstLine="3"/>
        <w:spacing w:after="0" w:line="331" w:lineRule="auto"/>
        <w:rPr>
          <w:sz w:val="20"/>
          <w:szCs w:val="20"/>
          <w:color w:val="auto"/>
        </w:rPr>
      </w:pPr>
      <w:r>
        <w:rPr>
          <w:rFonts w:ascii="Arial" w:cs="Arial" w:eastAsia="Arial" w:hAnsi="Arial"/>
          <w:sz w:val="17"/>
          <w:szCs w:val="17"/>
          <w:color w:val="auto"/>
        </w:rPr>
        <w:t>Suzanne M. Vautrinot /s/ David C. Wajsgras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7125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2">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color w:val="auto"/>
        </w:rPr>
        <w:t>David C. Wajsgras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Title</w:t>
            </w:r>
          </w:p>
        </w:tc>
        <w:tc>
          <w:tcPr>
            <w:tcW w:w="120" w:type="dxa"/>
            <w:vAlign w:val="bottom"/>
          </w:tcPr>
          <w:p>
            <w:pPr>
              <w:spacing w:after="0"/>
              <w:rPr>
                <w:sz w:val="20"/>
                <w:szCs w:val="20"/>
                <w:color w:val="auto"/>
              </w:rPr>
            </w:pPr>
          </w:p>
        </w:tc>
        <w:tc>
          <w:tcPr>
            <w:tcW w:w="268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Date</w:t>
            </w:r>
          </w:p>
        </w:tc>
      </w:tr>
      <w:tr>
        <w:trPr>
          <w:trHeight w:val="298"/>
        </w:trPr>
        <w:tc>
          <w:tcPr>
            <w:tcW w:w="562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1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February 14, 2024</w:t>
            </w:r>
          </w:p>
        </w:tc>
      </w:tr>
      <w:tr>
        <w:trPr>
          <w:trHeight w:val="239"/>
        </w:trPr>
        <w:tc>
          <w:tcPr>
            <w:tcW w:w="56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01"/>
        </w:trPr>
        <w:tc>
          <w:tcPr>
            <w:tcW w:w="562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c>
          <w:tcPr>
            <w:tcW w:w="1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February 14, 2024</w:t>
            </w:r>
          </w:p>
        </w:tc>
      </w:tr>
      <w:tr>
        <w:trPr>
          <w:trHeight w:val="239"/>
        </w:trPr>
        <w:tc>
          <w:tcPr>
            <w:tcW w:w="5620" w:type="dxa"/>
            <w:vAlign w:val="bottom"/>
          </w:tcPr>
          <w:p>
            <w:pPr>
              <w:jc w:val="center"/>
              <w:spacing w:after="0"/>
              <w:rPr>
                <w:sz w:val="20"/>
                <w:szCs w:val="20"/>
                <w:color w:val="auto"/>
              </w:rPr>
            </w:pPr>
            <w:r>
              <w:rPr>
                <w:rFonts w:ascii="Arial" w:cs="Arial" w:eastAsia="Arial" w:hAnsi="Arial"/>
                <w:sz w:val="18"/>
                <w:szCs w:val="18"/>
                <w:color w:val="auto"/>
                <w:w w:val="99"/>
              </w:rPr>
              <w:t>(Principal Financial and Accounting Officer)</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8"/>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February 14, 2024</w:t>
            </w:r>
          </w:p>
        </w:tc>
      </w:tr>
      <w:tr>
        <w:trPr>
          <w:trHeight w:val="539"/>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February 14, 2024</w:t>
            </w:r>
          </w:p>
        </w:tc>
      </w:tr>
      <w:tr>
        <w:trPr>
          <w:trHeight w:val="539"/>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February 14, 2024</w:t>
            </w:r>
          </w:p>
        </w:tc>
      </w:tr>
      <w:tr>
        <w:trPr>
          <w:trHeight w:val="539"/>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February 14, 2024</w:t>
            </w:r>
          </w:p>
        </w:tc>
      </w:tr>
      <w:tr>
        <w:trPr>
          <w:trHeight w:val="539"/>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February 14, 2024</w:t>
            </w:r>
          </w:p>
        </w:tc>
      </w:tr>
      <w:tr>
        <w:trPr>
          <w:trHeight w:val="539"/>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February 14, 2024</w:t>
            </w:r>
          </w:p>
        </w:tc>
      </w:tr>
      <w:tr>
        <w:trPr>
          <w:trHeight w:val="539"/>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February 14, 2024</w:t>
            </w:r>
          </w:p>
        </w:tc>
      </w:tr>
      <w:tr>
        <w:trPr>
          <w:trHeight w:val="539"/>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February 14, 2024</w:t>
            </w:r>
          </w:p>
        </w:tc>
      </w:tr>
      <w:tr>
        <w:trPr>
          <w:trHeight w:val="539"/>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February 14, 2024</w:t>
            </w:r>
          </w:p>
        </w:tc>
      </w:tr>
      <w:tr>
        <w:trPr>
          <w:trHeight w:val="539"/>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February 14, 2024</w:t>
            </w:r>
          </w:p>
        </w:tc>
      </w:tr>
    </w:tbl>
    <w:p>
      <w:pPr>
        <w:spacing w:after="0" w:line="393" w:lineRule="exact"/>
        <w:rPr>
          <w:sz w:val="20"/>
          <w:szCs w:val="20"/>
          <w:color w:val="auto"/>
        </w:rPr>
      </w:pPr>
    </w:p>
    <w:p>
      <w:pPr>
        <w:sectPr>
          <w:pgSz w:w="11900" w:h="16838" w:orient="portrait"/>
          <w:cols w:equalWidth="0" w:num="2">
            <w:col w:w="2340" w:space="480"/>
            <w:col w:w="8420"/>
          </w:cols>
          <w:pgMar w:left="320" w:top="1415" w:right="3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93" w:name="page94"/>
    <w:bookmarkEnd w:id="93"/>
    <w:p>
      <w:pPr>
        <w:ind w:left="35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Report of Independent Registered Public Accounting Firm</w:t>
      </w:r>
      <w:r>
        <w:rPr>
          <w:rFonts w:ascii="Arial" w:cs="Arial" w:eastAsia="Arial" w:hAnsi="Arial"/>
          <w:sz w:val="18"/>
          <w:szCs w:val="18"/>
          <w:color w:val="0000FF"/>
        </w:rPr>
        <w:t xml:space="preserve"> </w:t>
      </w:r>
      <w:r>
        <w:rPr>
          <w:rFonts w:ascii="Arial" w:cs="Arial" w:eastAsia="Arial" w:hAnsi="Arial"/>
          <w:sz w:val="18"/>
          <w:szCs w:val="18"/>
          <w:color w:val="000000"/>
        </w:rPr>
        <w:t>(PCAOB ID 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29178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4">
                      <a:extLst>
                        <a:ext uri="{28A0092B-C50C-407E-A947-70E740481C1C}"/>
                      </a:extLst>
                    </a:blip>
                    <a:srcRect/>
                    <a:stretch>
                      <a:fillRect/>
                    </a:stretch>
                  </pic:blipFill>
                  <pic:spPr bwMode="auto">
                    <a:xfrm>
                      <a:off x="0" y="0"/>
                      <a:ext cx="291782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Consolidated Balance Sheets as of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0665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5">
                      <a:extLst>
                        <a:ext uri="{28A0092B-C50C-407E-A947-70E740481C1C}"/>
                      </a:extLst>
                    </a:blip>
                    <a:srcRect/>
                    <a:stretch>
                      <a:fillRect/>
                    </a:stretch>
                  </pic:blipFill>
                  <pic:spPr bwMode="auto">
                    <a:xfrm>
                      <a:off x="0" y="0"/>
                      <a:ext cx="406654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Consolidated Statements of Income for the Years ended December 31, 2023,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963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6">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12242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7">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spacing w:after="0" w:line="106" w:lineRule="exact"/>
        <w:rPr>
          <w:sz w:val="20"/>
          <w:szCs w:val="20"/>
          <w:color w:val="auto"/>
        </w:rPr>
      </w:pPr>
    </w:p>
    <w:p>
      <w:pPr>
        <w:spacing w:after="0" w:line="271" w:lineRule="auto"/>
        <w:rPr>
          <w:sz w:val="20"/>
          <w:szCs w:val="20"/>
          <w:color w:val="auto"/>
        </w:rPr>
      </w:pPr>
      <w:r>
        <w:rPr>
          <w:rFonts w:ascii="Arial" w:cs="Arial" w:eastAsia="Arial" w:hAnsi="Arial"/>
          <w:sz w:val="18"/>
          <w:szCs w:val="18"/>
          <w:u w:val="single" w:color="auto"/>
          <w:color w:val="0000FF"/>
        </w:rPr>
        <w:t>Consolidated Statements of Comprehensive Income for the Years ended 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67646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8">
                      <a:extLst>
                        <a:ext uri="{28A0092B-C50C-407E-A947-70E740481C1C}"/>
                      </a:extLst>
                    </a:blip>
                    <a:srcRect/>
                    <a:stretch>
                      <a:fillRect/>
                    </a:stretch>
                  </pic:blipFill>
                  <pic:spPr bwMode="auto">
                    <a:xfrm>
                      <a:off x="0" y="0"/>
                      <a:ext cx="67646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-44450</wp:posOffset>
            </wp:positionV>
            <wp:extent cx="2540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9">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6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u w:val="single" w:color="auto"/>
          <w:color w:val="0000FF"/>
        </w:rPr>
        <w:t>Consolidated Statements of Changes in Shareholders’ Equity (Deficit) for the Years ended 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66757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0">
                      <a:extLst>
                        <a:ext uri="{28A0092B-C50C-407E-A947-70E740481C1C}"/>
                      </a:extLst>
                    </a:blip>
                    <a:srcRect/>
                    <a:stretch>
                      <a:fillRect/>
                    </a:stretch>
                  </pic:blipFill>
                  <pic:spPr bwMode="auto">
                    <a:xfrm>
                      <a:off x="0" y="0"/>
                      <a:ext cx="66757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-44450</wp:posOffset>
            </wp:positionV>
            <wp:extent cx="12242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1">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spacing w:after="0" w:line="65" w:lineRule="exact"/>
        <w:rPr>
          <w:sz w:val="20"/>
          <w:szCs w:val="20"/>
          <w:color w:val="auto"/>
        </w:rPr>
      </w:pPr>
    </w:p>
    <w:p>
      <w:pPr>
        <w:ind w:right="4120"/>
        <w:spacing w:after="0" w:line="271" w:lineRule="auto"/>
        <w:rPr>
          <w:sz w:val="20"/>
          <w:szCs w:val="20"/>
          <w:color w:val="auto"/>
        </w:rPr>
      </w:pPr>
      <w:r>
        <w:rPr>
          <w:rFonts w:ascii="Arial" w:cs="Arial" w:eastAsia="Arial" w:hAnsi="Arial"/>
          <w:sz w:val="18"/>
          <w:szCs w:val="18"/>
          <w:u w:val="single" w:color="auto"/>
          <w:color w:val="0000FF"/>
        </w:rPr>
        <w:t>Consolidated Statements of Cash Flows for the Years ended 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41192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2">
                      <a:extLst>
                        <a:ext uri="{28A0092B-C50C-407E-A947-70E740481C1C}"/>
                      </a:extLst>
                    </a:blip>
                    <a:srcRect/>
                    <a:stretch>
                      <a:fillRect/>
                    </a:stretch>
                  </pic:blipFill>
                  <pic:spPr bwMode="auto">
                    <a:xfrm>
                      <a:off x="0" y="0"/>
                      <a:ext cx="41192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-44450</wp:posOffset>
            </wp:positionV>
            <wp:extent cx="22586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3">
                      <a:extLst>
                        <a:ext uri="{28A0092B-C50C-407E-A947-70E740481C1C}"/>
                      </a:extLst>
                    </a:blip>
                    <a:srcRect/>
                    <a:stretch>
                      <a:fillRect/>
                    </a:stretch>
                  </pic:blipFill>
                  <pic:spPr bwMode="auto">
                    <a:xfrm>
                      <a:off x="0" y="0"/>
                      <a:ext cx="225869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22199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4">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475615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F-9</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F-10</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F-11</w:t>
      </w:r>
    </w:p>
    <w:p>
      <w:pPr>
        <w:sectPr>
          <w:pgSz w:w="11900" w:h="16838" w:orient="portrait"/>
          <w:cols w:equalWidth="0" w:num="2">
            <w:col w:w="10600" w:space="240"/>
            <w:col w:w="360"/>
          </w:cols>
          <w:pgMar w:left="340" w:top="1415" w:right="359" w:bottom="1440" w:gutter="0" w:footer="0" w:header="0"/>
        </w:sectPr>
      </w:pPr>
    </w:p>
    <w:bookmarkStart w:id="94" w:name="page95"/>
    <w:bookmarkEnd w:id="94"/>
    <w:p>
      <w:pPr>
        <w:ind w:left="3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Parsons Corporation</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0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We have audited the accompanying consolidated balance sheets of Parsons Corporation and its subsidiaries (the “Company”) as of December 31, 2023 and 2022, and the related consolidated statements of income, of comprehensive income, of changes in shareholders’ equity (deficit) and of cash flows for each of the three years in the period ended December 31, 2023, including the related notes and schedule of valuation and qualifying accounts for each of the three years in the period ended December 31, 2023 appearing under Item 15(a)(2) (collectively referred to as the “consolidated financial statements”). We also have audited the Company's internal control over financial 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6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2023 and 2022</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Changes in Accounting Principles</w:t>
      </w:r>
    </w:p>
    <w:p>
      <w:pPr>
        <w:spacing w:after="0" w:line="19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convertible instruments and contracts in an entity’s own equity in 2021.</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w:t>
      </w: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5" w:right="479" w:bottom="1440" w:gutter="0" w:footer="0" w:header="0"/>
        </w:sectPr>
      </w:pPr>
    </w:p>
    <w:bookmarkStart w:id="95" w:name="page96"/>
    <w:bookmarkEnd w:id="95"/>
    <w:p>
      <w:pPr>
        <w:spacing w:after="0" w:line="19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performing such other procedures as we considered necessary in the circumstances. We believe that our audits provide a reasonable basis for our opinions.</w:t>
      </w:r>
    </w:p>
    <w:p>
      <w:pPr>
        <w:spacing w:after="0" w:line="15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As described in Management’s Annual Report on Internal Control over Financial Reporting, management has excluded IPKeys Power Partner (“IPKeys”), Sealing Technologies, Inc. ("Sealing Tech”), and I.S. Engineers, LLC (“I.S. Engineers”) from its assessment of internal control over financial reporting as of December 31, 2023, because they were acquired by the Company in purchase business combinations during 2023. We have also excluded IPKeys, Sealing Tech, and I.S. Engineers from our audit of internal control over financial reporting. Sealing Tech and I.S. Engineers are both wholly-owned subsidiaries whose total assets and total revenues excluded from management’s assessment and our audit of internal control over financial reporting are both less than 1% of the related consolidated financial statement amounts as of and for the year ended December 31, 2023. IPKeys is a wholly-owned subsidiary whose total assets and total revenues excluded from management’s assessment and our audit of internal control over financial reporting are both 1.1% of the related consolidated financial statement amounts as of and for the year ended December 31, 2023.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0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Revenue Recognition – Determination of Estimated Contract Cost and Variable Consideration Related to Estimated Claims Revenue for Fixed-Price Contracts Recognized Over Time</w:t>
      </w:r>
    </w:p>
    <w:p>
      <w:pPr>
        <w:spacing w:after="0" w:line="14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As described in Notes 2 and 4 to the consolidated financial statements, revenue is derived from long-term contracts with customers whereby the Company provides planning, design, engineering, technical, and construction and program management services. The Company enters into cost-plus, time-and-materials, and fixed-price contracts with its customers. Fixed-price contract revenue recognized was $1.8 billion for the year ended December 31, 2023, which accounts for approximately 33% of the Company’s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6" w:name="page97"/>
    <w:bookmarkEnd w:id="96"/>
    <w:p>
      <w:pPr>
        <w:ind w:right="100"/>
        <w:spacing w:after="0" w:line="238" w:lineRule="auto"/>
        <w:rPr>
          <w:sz w:val="20"/>
          <w:szCs w:val="20"/>
          <w:color w:val="auto"/>
        </w:rPr>
      </w:pPr>
      <w:r>
        <w:rPr>
          <w:rFonts w:ascii="Arial" w:cs="Arial" w:eastAsia="Arial" w:hAnsi="Arial"/>
          <w:sz w:val="18"/>
          <w:szCs w:val="18"/>
          <w:color w:val="auto"/>
        </w:rPr>
        <w:t>consolidated revenue. Fixed-price contract revenue is recognized over time using an input measure (i.e., costs incurred to date relative to total estimated costs at completion) to measure progress. Under the cost-to-cost measure of progress method, the extent of progress towards completion is measured based on the ratio of total costs incurred-to-date to the total estimated costs at completion of the performance obligation. Revenues, including estimated fees or profits, are recorded proportionally as costs are incurred. Management includes variable consideration, such as claims revenue, in the estimated transaction price to the extent it is probable that a significant reversal of cumulative revenue recognized will not occur or when the uncertainty associated with the variable consideration is resolved. Contract costs consist of direct costs on contracts, including labor and materials, amounts payable to subcontractors, direct overhead costs and equipment expense (primarily depreciation, fuel, maintenance and repairs). Changes to estimated contract costs, either due to unexpected events or revisions to management’s initial estimates, for a given project are recognized in the period in which they are determined. Recognition of profit on long-term contracts requires the use of assumptions and estimates related to total contract revenue and in particular estimated claims revenue, total estimated cost at completion, and the measurement of progress towards completion. Management’s estimates are continually evaluated as work progresses and are revised when necessary.</w:t>
      </w:r>
    </w:p>
    <w:p>
      <w:pPr>
        <w:spacing w:after="0" w:line="16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specifically the determination of estimated contract cost and variable consideration related to estimated claims revenue for fixed-price contracts recognized over time is a critical audit matter are (i) the significant judgment by management in determining the estimated contract cost and variable consideration related to estimated claims revenue for fixed-price contracts recognized over time; (ii) a high degree of auditor judgment, subjectivity, and effort in performing procedures and evaluating audit evidence for the estimated contract cost and variable consideration related to estimated claims revenue for fixed-price contracts recognized over time.</w:t>
      </w:r>
    </w:p>
    <w:p>
      <w:pPr>
        <w:spacing w:after="0" w:line="16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estimated contract cost and variable consideration related to estimated claims revenue for fixed-price contracts recognized over time. These procedures also included, among others, for a selection of fixed-price contracts (i) evaluating and testing management’s process for determining the estimated contract cost and variable consideration related to estimated claims revenue, which included reading contracts and other documents related to the estimates, and testing of underlying incurred and estimated contract costs; (ii) assessing management’s ability to reasonably estimate total contract costs by performing a comparison of the actual estimated contract cost as compared with prior period estimates, including evaluating the timely identification of circumstances that may warrant a modification to the estimated contract cost; and (iii) evaluating estimated claims revenue by inquiry with external legal counsel regarding the underlying claim and agreeing estimated claims revenue to documents related to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Sealing Technologies, Inc. - Valuation of the Customer Relationships</w:t>
      </w:r>
    </w:p>
    <w:p>
      <w:pPr>
        <w:spacing w:after="0" w:line="19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described in Notes 2 and 3 to the consolidated financial statements, on August 23, 2023, the Company acquired a 100% ownership interest in Sealing Technologies, Inc. (Sealing Tech) for $179.3 million. Of the acquired intangible assets, $40.0 million of customer relationships was recorded. Management accounts for business combinations using the acquisition method, under which the purchase price of an acquired company is allocated to the tangible and intangible assets acquired and the liabilities assumed on the basis of their fair values at the date of acquisition. The determination of fair values of assets acquired and liabilities assumed requires management to make estimates and use valuation techniques when a market value is not readily available. In determining the fair value of acquired intangible assets, management uses the multi-period excess earnings method to value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7" w:name="page98"/>
    <w:bookmarkEnd w:id="97"/>
    <w:p>
      <w:pPr>
        <w:jc w:val="both"/>
        <w:ind w:right="700"/>
        <w:spacing w:after="0" w:line="301" w:lineRule="auto"/>
        <w:rPr>
          <w:sz w:val="20"/>
          <w:szCs w:val="20"/>
          <w:color w:val="auto"/>
        </w:rPr>
      </w:pPr>
      <w:r>
        <w:rPr>
          <w:rFonts w:ascii="Arial" w:cs="Arial" w:eastAsia="Arial" w:hAnsi="Arial"/>
          <w:sz w:val="17"/>
          <w:szCs w:val="17"/>
          <w:color w:val="auto"/>
        </w:rPr>
        <w:t>customer relationships. Management’s determination of the fair value of the intangible assets acquired involved the use of significant estimates and assumptions related to discount rates, revenue growth rates, projected margins, and customer revenue attrition rates.</w:t>
      </w:r>
    </w:p>
    <w:p>
      <w:pPr>
        <w:spacing w:after="0" w:line="11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the customer relationships acquired in the acquisition of Sealing Tech is a critical audit matter are (i) the significant judgment by management when developing the fair value estimate of the customer relationships acquired; (ii) a high degree of auditor judgment, subjectivity, and effort in performing procedures and evaluating management’s significant assumptions related to the revenue growth rates and projected margins; and (iii) the audit effort involved the use of professionals with specialized skill and knowledge.</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controls over the significant assumptions used in management’s valuation of the customer relationships acquired. These procedures also included, among others (i) reading the purchase agreement; (ii) testing management’s process for developing the fair value estimate of the customer relationships acquired; (iii) evaluating the appropriateness of the multi-period excess earnings method used by management; (iv) testing the completeness and accuracy of the underlying data used in the multi-period excess earnings method; and (v) evaluating the reasonableness of significant assumptions used by management related to the revenue growth rates and projected margins. Evaluating the reasonableness of management’s assumptions related to the revenue growth rates and projected margins involved considering (i) the current and past performance of the acquired business; (ii) the consistency with external market and industry data; and (iii) whether these assumptions were consistent with evidence obtained in other areas of the audit. Professionals with specialized skill and knowledge were used to assist in the evaluation of the appropriateness of the multi-period excess earnings methods.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February 14, 2024</w:t>
      </w:r>
    </w:p>
    <w:p>
      <w:pPr>
        <w:spacing w:after="0" w:line="18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have served as the Company’s auditor since at least 1969. We have not been able to determine the specific year we began serving as the auditor of the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shares and par value)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31"/>
        </w:trPr>
        <w:tc>
          <w:tcPr>
            <w:tcW w:w="7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$128,761 and $53,193 Cash of consolidated joint ventures)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272,943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262,539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Accounts receivable, net (including $274,846 and $217,419 Accounts receivable of consolidated joint ventures, net)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915,638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717,345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assets (including $11,096 and $11,313 Contract assets of consolidated joint ventures)</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757,515</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634,033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 (including $11,929 and $7,913 Prepaid expenses and other current</w:t>
            </w:r>
          </w:p>
        </w:tc>
        <w:tc>
          <w:tcPr>
            <w:tcW w:w="1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191,430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105,866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260"/>
              <w:spacing w:after="0"/>
              <w:rPr>
                <w:sz w:val="20"/>
                <w:szCs w:val="20"/>
                <w:color w:val="auto"/>
              </w:rPr>
            </w:pPr>
            <w:r>
              <w:rPr>
                <w:rFonts w:ascii="Arial" w:cs="Arial" w:eastAsia="Arial" w:hAnsi="Arial"/>
                <w:sz w:val="14"/>
                <w:szCs w:val="14"/>
                <w:color w:val="auto"/>
              </w:rPr>
              <w:t>assets of consolidated joint ventures)</w:t>
            </w: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2,137,526</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1,719,783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net (including $3,274 and $2,543 Property and equipment of consolidated joint ventures,</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98,957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96,050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60"/>
              <w:spacing w:after="0"/>
              <w:rPr>
                <w:sz w:val="20"/>
                <w:szCs w:val="20"/>
                <w:color w:val="auto"/>
              </w:rPr>
            </w:pPr>
            <w:r>
              <w:rPr>
                <w:rFonts w:ascii="Arial" w:cs="Arial" w:eastAsia="Arial" w:hAnsi="Arial"/>
                <w:sz w:val="14"/>
                <w:szCs w:val="14"/>
                <w:color w:val="auto"/>
              </w:rPr>
              <w:t>Right of use assets, operating leases (including $9,885 and $6,315 Right of use assets, operating leases of</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tcPr>
          <w:p>
            <w:pPr>
              <w:ind w:left="260"/>
              <w:spacing w:after="0"/>
              <w:rPr>
                <w:sz w:val="20"/>
                <w:szCs w:val="20"/>
                <w:color w:val="auto"/>
              </w:rPr>
            </w:pPr>
            <w:r>
              <w:rPr>
                <w:rFonts w:ascii="Arial" w:cs="Arial" w:eastAsia="Arial" w:hAnsi="Arial"/>
                <w:sz w:val="14"/>
                <w:szCs w:val="14"/>
                <w:color w:val="auto"/>
              </w:rPr>
              <w:t>consolidated joint ventures)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159,211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155,090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1,792,665</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1,661,850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128,204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107,425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275,566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254,127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Deferred tax assets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140,162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137,709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71,770</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66,108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4,804,061</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4,198,142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Accounts payable (including $49,234 and $49,078 Accounts payable of consolidated joint ventures)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242,821</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201,428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 and other current liabilities (including $145,040 and $102,417 Accrued expenses and other</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liabilities of consolidated joint ventures)</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801,423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630,193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Contract liabilities (including $61,234 and $40,654 Contract liabilities of consolidated joint ventures)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301,107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213,064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Short-term lease liabilities, operating leases (including $4,753 and $2,552 Short-term lease liabilities, operating</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leases of consolidated joint ventures)</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58,556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Income taxes payable</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6,977</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1,410,884</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1,108,119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employee incentives</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22,924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17,375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745,963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743,605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lease liabilities, operating leases (including $5,132 and $3,763 Long-term lease liabilities, operating</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leases of consolidated joint ventures)</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117,505</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111,417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Deferred tax liabilities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9,775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12,471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120,295</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109,220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2,427,346</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2,102,207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Contingencies (Note 14)</w:t>
            </w: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$1 par value; authorized 1,000,000,000 shares; 146,341,363 and 146,132,016 shares issued;</w:t>
            </w: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45,960,122 and 40,960,845 public shares outstanding; 59,879,857 and 63,742,151 ESOP shares outstanding</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146,341</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146,132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Treasury stock, 40,501,385 shares at cost</w:t>
            </w:r>
          </w:p>
        </w:tc>
        <w:tc>
          <w:tcPr>
            <w:tcW w:w="120" w:type="dxa"/>
            <w:vAlign w:val="bottom"/>
          </w:tcPr>
          <w:p>
            <w:pPr>
              <w:spacing w:after="0"/>
              <w:rPr>
                <w:sz w:val="16"/>
                <w:szCs w:val="16"/>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tcPr>
          <w:p>
            <w:pPr>
              <w:spacing w:after="0"/>
              <w:rPr>
                <w:sz w:val="16"/>
                <w:szCs w:val="16"/>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4"/>
                <w:szCs w:val="14"/>
                <w:color w:val="auto"/>
              </w:rPr>
              <w:t>(844,936 )</w:t>
            </w: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2,779,365</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2,717,134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Retained earnings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203,724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43,089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(14,908 )</w:t>
            </w:r>
          </w:p>
        </w:tc>
        <w:tc>
          <w:tcPr>
            <w:tcW w:w="10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(17,849 )</w:t>
            </w:r>
          </w:p>
        </w:tc>
        <w:tc>
          <w:tcPr>
            <w:tcW w:w="0" w:type="dxa"/>
            <w:vAlign w:val="bottom"/>
          </w:tcPr>
          <w:p>
            <w:pPr>
              <w:spacing w:after="0"/>
              <w:rPr>
                <w:sz w:val="1"/>
                <w:szCs w:val="1"/>
                <w:color w:val="auto"/>
              </w:rPr>
            </w:pPr>
          </w:p>
        </w:tc>
      </w:tr>
      <w:tr>
        <w:trPr>
          <w:trHeight w:val="182"/>
        </w:trPr>
        <w:tc>
          <w:tcPr>
            <w:tcW w:w="7800" w:type="dxa"/>
            <w:vAlign w:val="bottom"/>
            <w:tcBorders>
              <w:top w:val="single" w:sz="8" w:color="CFF0FC"/>
            </w:tcBorders>
          </w:tcPr>
          <w:p>
            <w:pPr>
              <w:ind w:left="260"/>
              <w:spacing w:after="0"/>
              <w:rPr>
                <w:sz w:val="20"/>
                <w:szCs w:val="20"/>
                <w:color w:val="auto"/>
              </w:rPr>
            </w:pPr>
            <w:r>
              <w:rPr>
                <w:rFonts w:ascii="Arial" w:cs="Arial" w:eastAsia="Arial" w:hAnsi="Arial"/>
                <w:sz w:val="14"/>
                <w:szCs w:val="14"/>
                <w:color w:val="auto"/>
              </w:rPr>
              <w:t>Total Parsons Corporation shareholders' equity</w:t>
            </w: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2,287,211</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2,043,570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1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89,504</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52,365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260"/>
              <w:spacing w:after="0"/>
              <w:rPr>
                <w:sz w:val="20"/>
                <w:szCs w:val="20"/>
                <w:color w:val="auto"/>
              </w:rPr>
            </w:pPr>
            <w:r>
              <w:rPr>
                <w:rFonts w:ascii="Arial" w:cs="Arial" w:eastAsia="Arial" w:hAnsi="Arial"/>
                <w:sz w:val="14"/>
                <w:szCs w:val="14"/>
                <w:color w:val="auto"/>
              </w:rPr>
              <w:t>Total shareholders' equity</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2,376,715</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2,095,935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liabilities and shareholders' equity</w:t>
            </w: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4,804,061</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4,198,142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-5059680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-5059680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-3886835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-3886835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-2439670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-2439670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-1609090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-530225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-281940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9" w:name="page100"/>
    <w:bookmarkEnd w:id="99"/>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b w:val="1"/>
          <w:bCs w:val="1"/>
          <w:color w:val="auto"/>
        </w:rPr>
        <w:t>Years Ended December 31, 2023, December 31, 2022 and December 31, 2021</w:t>
      </w:r>
    </w:p>
    <w:p>
      <w:pPr>
        <w:jc w:val="center"/>
        <w:ind w:right="40"/>
        <w:spacing w:after="0"/>
        <w:rPr>
          <w:sz w:val="20"/>
          <w:szCs w:val="20"/>
          <w:color w:val="auto"/>
        </w:rPr>
      </w:pPr>
      <w:r>
        <w:rPr>
          <w:rFonts w:ascii="Arial" w:cs="Arial" w:eastAsia="Arial" w:hAnsi="Arial"/>
          <w:sz w:val="18"/>
          <w:szCs w:val="18"/>
          <w:i w:val="1"/>
          <w:iCs w:val="1"/>
          <w:color w:val="auto"/>
        </w:rPr>
        <w:t>(in thousands, except for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5,442,749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4,195,272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3,660,771</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Direct cost of contracts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4,236,735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3,248,550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2,807,950</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(47,751 )</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36,862</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869,905</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777,403</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757,237</w:t>
            </w:r>
          </w:p>
        </w:tc>
        <w:tc>
          <w:tcPr>
            <w:tcW w:w="100" w:type="dxa"/>
            <w:vAlign w:val="bottom"/>
          </w:tcPr>
          <w:p>
            <w:pPr>
              <w:spacing w:after="0"/>
              <w:rPr>
                <w:sz w:val="19"/>
                <w:szCs w:val="19"/>
                <w:color w:val="auto"/>
              </w:rPr>
            </w:pPr>
          </w:p>
        </w:tc>
      </w:tr>
      <w:tr>
        <w:trPr>
          <w:trHeight w:val="223"/>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288,358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185,666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(31,497 )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(23,185 )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(17,697 )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(2,557 )</w:t>
            </w: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other (expense) income</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(24,305 )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(19,444 )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(19,858 )</w:t>
            </w:r>
          </w:p>
        </w:tc>
      </w:tr>
      <w:tr>
        <w:trPr>
          <w:trHeight w:val="223"/>
        </w:trPr>
        <w:tc>
          <w:tcPr>
            <w:tcW w:w="66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Income before income tax expense</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264,053</w:t>
            </w: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166,222</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112,588</w:t>
            </w:r>
          </w:p>
        </w:tc>
        <w:tc>
          <w:tcPr>
            <w:tcW w:w="100" w:type="dxa"/>
            <w:vAlign w:val="bottom"/>
            <w:tcBorders>
              <w:top w:val="single" w:sz="8" w:color="CFF0FC"/>
            </w:tcBorders>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(56,138 )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(39,657 )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(23,636 )</w:t>
            </w:r>
          </w:p>
        </w:tc>
      </w:tr>
      <w:tr>
        <w:trPr>
          <w:trHeight w:val="223"/>
        </w:trPr>
        <w:tc>
          <w:tcPr>
            <w:tcW w:w="66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income including noncontrolling interests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207,915</w:t>
            </w: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126,565</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88,952</w:t>
            </w:r>
          </w:p>
        </w:tc>
        <w:tc>
          <w:tcPr>
            <w:tcW w:w="100" w:type="dxa"/>
            <w:vAlign w:val="bottom"/>
            <w:tcBorders>
              <w:top w:val="single" w:sz="8" w:color="CFF0FC"/>
            </w:tcBorders>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(46,766 )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(29,901 )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(24,880 )</w:t>
            </w:r>
          </w:p>
        </w:tc>
      </w:tr>
      <w:tr>
        <w:trPr>
          <w:trHeight w:val="223"/>
        </w:trPr>
        <w:tc>
          <w:tcPr>
            <w:tcW w:w="66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income attributable to Parsons Corporation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161,149</w:t>
            </w: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96,664</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64,072</w:t>
            </w:r>
          </w:p>
        </w:tc>
        <w:tc>
          <w:tcPr>
            <w:tcW w:w="100" w:type="dxa"/>
            <w:vAlign w:val="bottom"/>
            <w:tcBorders>
              <w:top w:val="single" w:sz="8" w:color="CFF0FC"/>
            </w:tcBorders>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-1866265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-1866265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-1866265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-1266825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-1266825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-967105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-967105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-667385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-667385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0" w:name="page101"/>
    <w:bookmarkEnd w:id="100"/>
    <w:p>
      <w:pPr>
        <w:jc w:val="center"/>
        <w:ind w:left="340" w:right="2360"/>
        <w:spacing w:after="0" w:line="247" w:lineRule="auto"/>
        <w:rPr>
          <w:sz w:val="20"/>
          <w:szCs w:val="20"/>
          <w:color w:val="auto"/>
        </w:rPr>
      </w:pPr>
      <w:r>
        <w:rPr>
          <w:rFonts w:ascii="Arial" w:cs="Arial" w:eastAsia="Arial" w:hAnsi="Arial"/>
          <w:sz w:val="18"/>
          <w:szCs w:val="18"/>
          <w:b w:val="1"/>
          <w:bCs w:val="1"/>
          <w:color w:val="auto"/>
        </w:rPr>
        <w:t xml:space="preserve">PARSONS CORPORATION AND SUBSIDIARIES Consolidated Statements of Comprehensive Income Years Ended December 31, 2023, December 31, 2022 and December 31, 2021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207,915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126,565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 adjustment, net of tax</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(7,752 )</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Pension adjustments, net of tax</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(547 )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620" w:type="dxa"/>
            <w:vAlign w:val="bottom"/>
            <w:shd w:val="clear" w:color="auto" w:fill="CFF0FC"/>
          </w:tcPr>
          <w:p>
            <w:pPr>
              <w:ind w:left="520"/>
              <w:spacing w:after="0" w:line="190" w:lineRule="exact"/>
              <w:rPr>
                <w:sz w:val="20"/>
                <w:szCs w:val="20"/>
                <w:color w:val="auto"/>
              </w:rPr>
            </w:pPr>
            <w:r>
              <w:rPr>
                <w:rFonts w:ascii="Arial" w:cs="Arial" w:eastAsia="Arial" w:hAnsi="Arial"/>
                <w:sz w:val="18"/>
                <w:szCs w:val="18"/>
                <w:color w:val="auto"/>
              </w:rPr>
              <w:t>Comprehensive income including noncontrolling</w:t>
            </w:r>
          </w:p>
        </w:tc>
        <w:tc>
          <w:tcPr>
            <w:tcW w:w="3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6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interests, net of tax</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210,858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118,266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(46,768 )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(29,883 )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(24,877 )</w:t>
            </w:r>
          </w:p>
        </w:tc>
        <w:tc>
          <w:tcPr>
            <w:tcW w:w="0" w:type="dxa"/>
            <w:vAlign w:val="bottom"/>
          </w:tcPr>
          <w:p>
            <w:pPr>
              <w:spacing w:after="0"/>
              <w:rPr>
                <w:sz w:val="1"/>
                <w:szCs w:val="1"/>
                <w:color w:val="auto"/>
              </w:rPr>
            </w:pPr>
          </w:p>
        </w:tc>
      </w:tr>
      <w:tr>
        <w:trPr>
          <w:trHeight w:val="190"/>
        </w:trPr>
        <w:tc>
          <w:tcPr>
            <w:tcW w:w="6620" w:type="dxa"/>
            <w:vAlign w:val="bottom"/>
            <w:shd w:val="clear" w:color="auto" w:fill="CFF0FC"/>
          </w:tcPr>
          <w:p>
            <w:pPr>
              <w:ind w:left="520"/>
              <w:spacing w:after="0" w:line="190" w:lineRule="exact"/>
              <w:rPr>
                <w:sz w:val="20"/>
                <w:szCs w:val="20"/>
                <w:color w:val="auto"/>
              </w:rPr>
            </w:pPr>
            <w:r>
              <w:rPr>
                <w:rFonts w:ascii="Arial" w:cs="Arial" w:eastAsia="Arial" w:hAnsi="Arial"/>
                <w:sz w:val="18"/>
                <w:szCs w:val="18"/>
                <w:color w:val="auto"/>
              </w:rPr>
              <w:t>Comprehensive income attributable to Parsons</w:t>
            </w:r>
          </w:p>
        </w:tc>
        <w:tc>
          <w:tcPr>
            <w:tcW w:w="320" w:type="dxa"/>
            <w:vAlign w:val="bottom"/>
            <w:tcBorders>
              <w:top w:val="single" w:sz="8" w:color="auto"/>
            </w:tcBorders>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164,090</w:t>
            </w:r>
          </w:p>
        </w:tc>
        <w:tc>
          <w:tcPr>
            <w:tcW w:w="280" w:type="dxa"/>
            <w:vAlign w:val="bottom"/>
            <w:shd w:val="clear" w:color="auto" w:fill="CFF0FC"/>
          </w:tcPr>
          <w:p>
            <w:pPr>
              <w:spacing w:after="0"/>
              <w:rPr>
                <w:sz w:val="16"/>
                <w:szCs w:val="16"/>
                <w:color w:val="auto"/>
              </w:rPr>
            </w:pPr>
          </w:p>
        </w:tc>
        <w:tc>
          <w:tcPr>
            <w:tcW w:w="320" w:type="dxa"/>
            <w:vAlign w:val="bottom"/>
            <w:tcBorders>
              <w:top w:val="single" w:sz="8" w:color="auto"/>
            </w:tcBorders>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88,383</w:t>
            </w:r>
          </w:p>
        </w:tc>
        <w:tc>
          <w:tcPr>
            <w:tcW w:w="260" w:type="dxa"/>
            <w:vAlign w:val="bottom"/>
            <w:shd w:val="clear" w:color="auto" w:fill="CFF0FC"/>
          </w:tcPr>
          <w:p>
            <w:pPr>
              <w:spacing w:after="0"/>
              <w:rPr>
                <w:sz w:val="16"/>
                <w:szCs w:val="16"/>
                <w:color w:val="auto"/>
              </w:rPr>
            </w:pPr>
          </w:p>
        </w:tc>
        <w:tc>
          <w:tcPr>
            <w:tcW w:w="300" w:type="dxa"/>
            <w:vAlign w:val="bottom"/>
            <w:tcBorders>
              <w:top w:val="single" w:sz="8" w:color="auto"/>
            </w:tcBorders>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68,369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20" w:type="dxa"/>
            <w:vAlign w:val="bottom"/>
            <w:tcBorders>
              <w:bottom w:val="single" w:sz="8" w:color="CFF0FC"/>
            </w:tcBorders>
            <w:shd w:val="clear" w:color="auto" w:fill="CFF0FC"/>
          </w:tcPr>
          <w:p>
            <w:pPr>
              <w:ind w:left="680"/>
              <w:spacing w:after="0" w:line="195" w:lineRule="exact"/>
              <w:rPr>
                <w:sz w:val="20"/>
                <w:szCs w:val="20"/>
                <w:color w:val="auto"/>
              </w:rPr>
            </w:pPr>
            <w:r>
              <w:rPr>
                <w:rFonts w:ascii="Arial" w:cs="Arial" w:eastAsia="Arial" w:hAnsi="Arial"/>
                <w:sz w:val="18"/>
                <w:szCs w:val="18"/>
                <w:color w:val="auto"/>
              </w:rPr>
              <w:t>Corporation, net of tax</w:t>
            </w:r>
          </w:p>
        </w:tc>
        <w:tc>
          <w:tcPr>
            <w:tcW w:w="320" w:type="dxa"/>
            <w:vAlign w:val="bottom"/>
            <w:tcBorders>
              <w:bottom w:val="single" w:sz="8" w:color="auto"/>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4"/>
          <w:szCs w:val="14"/>
          <w:b w:val="1"/>
          <w:bCs w:val="1"/>
          <w:color w:val="auto"/>
        </w:rPr>
        <w:t>PARSONS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Shareholders’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2023, December 31, 2022 and December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8"/>
              </w:rPr>
              <w:t>Retained</w:t>
            </w:r>
          </w:p>
        </w:tc>
        <w:tc>
          <w:tcPr>
            <w:tcW w:w="1120" w:type="dxa"/>
            <w:vAlign w:val="bottom"/>
            <w:tcBorders>
              <w:top w:val="single" w:sz="8" w:color="auto"/>
            </w:tcBorders>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1"/>
                <w:szCs w:val="11"/>
                <w:color w:val="auto"/>
              </w:rPr>
            </w:pP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6"/>
              </w:rPr>
              <w:t>Earnings</w:t>
            </w:r>
          </w:p>
        </w:tc>
        <w:tc>
          <w:tcPr>
            <w:tcW w:w="180" w:type="dxa"/>
            <w:vAlign w:val="bottom"/>
          </w:tcPr>
          <w:p>
            <w:pPr>
              <w:spacing w:after="0"/>
              <w:rPr>
                <w:sz w:val="11"/>
                <w:szCs w:val="11"/>
                <w:color w:val="auto"/>
              </w:rPr>
            </w:pPr>
          </w:p>
        </w:tc>
        <w:tc>
          <w:tcPr>
            <w:tcW w:w="9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89"/>
              </w:rPr>
              <w:t>Total</w:t>
            </w: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6"/>
              </w:rPr>
              <w:t>Noncontrollin</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1"/>
                <w:szCs w:val="11"/>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98"/>
              </w:rPr>
              <w:t>Treasury</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(Accumulate</w:t>
            </w:r>
          </w:p>
        </w:tc>
        <w:tc>
          <w:tcPr>
            <w:tcW w:w="11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9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d</w:t>
            </w:r>
          </w:p>
        </w:tc>
        <w:tc>
          <w:tcPr>
            <w:tcW w:w="180" w:type="dxa"/>
            <w:vAlign w:val="bottom"/>
          </w:tcPr>
          <w:p>
            <w:pPr>
              <w:spacing w:after="0"/>
              <w:rPr>
                <w:sz w:val="11"/>
                <w:szCs w:val="11"/>
                <w:color w:val="auto"/>
              </w:rPr>
            </w:pPr>
          </w:p>
        </w:tc>
        <w:tc>
          <w:tcPr>
            <w:tcW w:w="9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2"/>
              </w:rPr>
              <w:t>e</w:t>
            </w:r>
          </w:p>
        </w:tc>
        <w:tc>
          <w:tcPr>
            <w:tcW w:w="14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Parsons</w:t>
            </w:r>
          </w:p>
        </w:tc>
        <w:tc>
          <w:tcPr>
            <w:tcW w:w="140" w:type="dxa"/>
            <w:vAlign w:val="bottom"/>
          </w:tcPr>
          <w:p>
            <w:pPr>
              <w:spacing w:after="0"/>
              <w:rPr>
                <w:sz w:val="11"/>
                <w:szCs w:val="11"/>
                <w:color w:val="auto"/>
              </w:rPr>
            </w:pPr>
          </w:p>
        </w:tc>
        <w:tc>
          <w:tcPr>
            <w:tcW w:w="9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g</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Stock</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Stock</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Deficit)</w:t>
            </w:r>
          </w:p>
        </w:tc>
        <w:tc>
          <w:tcPr>
            <w:tcW w:w="22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(Loss) Income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rPr>
              <w:t>Equity</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5"/>
              </w:rPr>
              <w:t>Interests</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2020</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$ 146,609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(899,328 )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2,700,925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(120,569 )</w:t>
            </w: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(13,865 )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1,813,772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47,645</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1,861,417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Comprehensive income</w:t>
            </w:r>
          </w:p>
        </w:tc>
        <w:tc>
          <w:tcPr>
            <w:tcW w:w="6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income</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64,072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64,072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24,880</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88,952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tcPr>
          <w:p>
            <w:pPr>
              <w:ind w:left="200"/>
              <w:spacing w:after="0" w:line="131" w:lineRule="exact"/>
              <w:rPr>
                <w:sz w:val="20"/>
                <w:szCs w:val="20"/>
                <w:color w:val="auto"/>
              </w:rPr>
            </w:pPr>
            <w:r>
              <w:rPr>
                <w:rFonts w:ascii="Arial" w:cs="Arial" w:eastAsia="Arial" w:hAnsi="Arial"/>
                <w:sz w:val="13"/>
                <w:szCs w:val="13"/>
                <w:color w:val="auto"/>
              </w:rPr>
              <w:t>Foreign currency</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300"/>
              <w:spacing w:after="0"/>
              <w:rPr>
                <w:sz w:val="20"/>
                <w:szCs w:val="20"/>
                <w:color w:val="auto"/>
              </w:rPr>
            </w:pPr>
            <w:r>
              <w:rPr>
                <w:rFonts w:ascii="Arial" w:cs="Arial" w:eastAsia="Arial" w:hAnsi="Arial"/>
                <w:sz w:val="13"/>
                <w:szCs w:val="13"/>
                <w:color w:val="auto"/>
              </w:rPr>
              <w:t>translation gain</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3,837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3,837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(3 )</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Pension adjustments, net</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line="131" w:lineRule="exact"/>
              <w:rPr>
                <w:sz w:val="20"/>
                <w:szCs w:val="20"/>
                <w:color w:val="auto"/>
              </w:rPr>
            </w:pPr>
            <w:r>
              <w:rPr>
                <w:rFonts w:ascii="Arial" w:cs="Arial" w:eastAsia="Arial" w:hAnsi="Arial"/>
                <w:sz w:val="13"/>
                <w:szCs w:val="13"/>
                <w:color w:val="auto"/>
              </w:rPr>
              <w:t>Contributions of treasury</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120"/>
              <w:spacing w:after="0"/>
              <w:rPr>
                <w:sz w:val="20"/>
                <w:szCs w:val="20"/>
                <w:color w:val="auto"/>
              </w:rPr>
            </w:pPr>
            <w:r>
              <w:rPr>
                <w:rFonts w:ascii="Arial" w:cs="Arial" w:eastAsia="Arial" w:hAnsi="Arial"/>
                <w:sz w:val="13"/>
                <w:szCs w:val="13"/>
                <w:color w:val="auto"/>
              </w:rPr>
              <w:t>stock to ESOP</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31,937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22,064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54,001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54,001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Adoption of ASU 2020-06</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(40,002 )</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(37,220 )</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(37,220 )</w:t>
            </w: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rPr>
                <w:sz w:val="20"/>
                <w:szCs w:val="20"/>
                <w:color w:val="auto"/>
              </w:rPr>
            </w:pPr>
            <w:r>
              <w:rPr>
                <w:rFonts w:ascii="Arial" w:cs="Arial" w:eastAsia="Arial" w:hAnsi="Arial"/>
                <w:sz w:val="13"/>
                <w:szCs w:val="13"/>
                <w:color w:val="auto"/>
              </w:rPr>
              <w:t>Contributions</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1,754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Distributions</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(37,932 )</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(37,932 )</w:t>
            </w: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line="131" w:lineRule="exact"/>
              <w:rPr>
                <w:sz w:val="20"/>
                <w:szCs w:val="20"/>
                <w:color w:val="auto"/>
              </w:rPr>
            </w:pPr>
            <w:r>
              <w:rPr>
                <w:rFonts w:ascii="Arial" w:cs="Arial" w:eastAsia="Arial" w:hAnsi="Arial"/>
                <w:sz w:val="13"/>
                <w:szCs w:val="13"/>
                <w:color w:val="auto"/>
              </w:rPr>
              <w:t>Issuance of equity securities,</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120"/>
              <w:spacing w:after="0"/>
              <w:rPr>
                <w:sz w:val="20"/>
                <w:szCs w:val="20"/>
                <w:color w:val="auto"/>
              </w:rPr>
            </w:pPr>
            <w:r>
              <w:rPr>
                <w:rFonts w:ascii="Arial" w:cs="Arial" w:eastAsia="Arial" w:hAnsi="Arial"/>
                <w:sz w:val="13"/>
                <w:szCs w:val="13"/>
                <w:color w:val="auto"/>
              </w:rPr>
              <w:t>net of retirements</w:t>
            </w:r>
          </w:p>
        </w:tc>
        <w:tc>
          <w:tcPr>
            <w:tcW w:w="600" w:type="dxa"/>
            <w:vAlign w:val="bottom"/>
          </w:tcPr>
          <w:p>
            <w:pPr>
              <w:jc w:val="right"/>
              <w:spacing w:after="0"/>
              <w:rPr>
                <w:sz w:val="20"/>
                <w:szCs w:val="20"/>
                <w:color w:val="auto"/>
              </w:rPr>
            </w:pPr>
            <w:r>
              <w:rPr>
                <w:rFonts w:ascii="Arial" w:cs="Arial" w:eastAsia="Arial" w:hAnsi="Arial"/>
                <w:sz w:val="13"/>
                <w:szCs w:val="13"/>
                <w:color w:val="auto"/>
              </w:rPr>
              <w:t>287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2,887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3,360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Repurchases of common stock</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(619 )</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(21,082 )</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(21,701 )</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(21,701 )</w:t>
            </w: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2021</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$ 146,277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(867,391 )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2,684,979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(53,529 )</w:t>
            </w: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(9,568 )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1,900,768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36,344</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1,937,112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Comprehensive income</w:t>
            </w:r>
          </w:p>
        </w:tc>
        <w:tc>
          <w:tcPr>
            <w:tcW w:w="6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income</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96,664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96,664</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29,901</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126,565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tcPr>
          <w:p>
            <w:pPr>
              <w:ind w:left="200"/>
              <w:spacing w:after="0" w:line="131" w:lineRule="exact"/>
              <w:rPr>
                <w:sz w:val="20"/>
                <w:szCs w:val="20"/>
                <w:color w:val="auto"/>
              </w:rPr>
            </w:pPr>
            <w:r>
              <w:rPr>
                <w:rFonts w:ascii="Arial" w:cs="Arial" w:eastAsia="Arial" w:hAnsi="Arial"/>
                <w:sz w:val="13"/>
                <w:szCs w:val="13"/>
                <w:color w:val="auto"/>
              </w:rPr>
              <w:t>Foreign currency</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300"/>
              <w:spacing w:after="0"/>
              <w:rPr>
                <w:sz w:val="20"/>
                <w:szCs w:val="20"/>
                <w:color w:val="auto"/>
              </w:rPr>
            </w:pPr>
            <w:r>
              <w:rPr>
                <w:rFonts w:ascii="Arial" w:cs="Arial" w:eastAsia="Arial" w:hAnsi="Arial"/>
                <w:sz w:val="13"/>
                <w:szCs w:val="13"/>
                <w:color w:val="auto"/>
              </w:rPr>
              <w:t>translation loss, net</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(7,734 )</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(7,734 )</w:t>
            </w:r>
          </w:p>
        </w:tc>
        <w:tc>
          <w:tcPr>
            <w:tcW w:w="1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(18 )</w:t>
            </w:r>
          </w:p>
        </w:tc>
        <w:tc>
          <w:tcPr>
            <w:tcW w:w="2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(7,752 )</w:t>
            </w: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Pension adjustments, net</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(547 )</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(547 )</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(547 )</w:t>
            </w: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line="131" w:lineRule="exact"/>
              <w:rPr>
                <w:sz w:val="20"/>
                <w:szCs w:val="20"/>
                <w:color w:val="auto"/>
              </w:rPr>
            </w:pPr>
            <w:r>
              <w:rPr>
                <w:rFonts w:ascii="Arial" w:cs="Arial" w:eastAsia="Arial" w:hAnsi="Arial"/>
                <w:sz w:val="13"/>
                <w:szCs w:val="13"/>
                <w:color w:val="auto"/>
              </w:rPr>
              <w:t>Contributions of treasury</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120"/>
              <w:spacing w:after="0"/>
              <w:rPr>
                <w:sz w:val="20"/>
                <w:szCs w:val="20"/>
                <w:color w:val="auto"/>
              </w:rPr>
            </w:pPr>
            <w:r>
              <w:rPr>
                <w:rFonts w:ascii="Arial" w:cs="Arial" w:eastAsia="Arial" w:hAnsi="Arial"/>
                <w:sz w:val="13"/>
                <w:szCs w:val="13"/>
                <w:color w:val="auto"/>
              </w:rPr>
              <w:t>stock to ESOP</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22,455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31,346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53,801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53,801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Contributions</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10,266</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rPr>
                <w:sz w:val="20"/>
                <w:szCs w:val="20"/>
                <w:color w:val="auto"/>
              </w:rPr>
            </w:pPr>
            <w:r>
              <w:rPr>
                <w:rFonts w:ascii="Arial" w:cs="Arial" w:eastAsia="Arial" w:hAnsi="Arial"/>
                <w:sz w:val="13"/>
                <w:szCs w:val="13"/>
                <w:color w:val="auto"/>
              </w:rPr>
              <w:t>Distributions</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(24,128 )</w:t>
            </w:r>
          </w:p>
        </w:tc>
        <w:tc>
          <w:tcPr>
            <w:tcW w:w="2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(24,128 )</w:t>
            </w:r>
          </w:p>
        </w:tc>
        <w:tc>
          <w:tcPr>
            <w:tcW w:w="0" w:type="dxa"/>
            <w:vAlign w:val="bottom"/>
          </w:tcPr>
          <w:p>
            <w:pPr>
              <w:spacing w:after="0"/>
              <w:rPr>
                <w:sz w:val="1"/>
                <w:szCs w:val="1"/>
                <w:color w:val="auto"/>
              </w:rPr>
            </w:pPr>
          </w:p>
        </w:tc>
      </w:tr>
      <w:tr>
        <w:trPr>
          <w:trHeight w:val="130"/>
        </w:trPr>
        <w:tc>
          <w:tcPr>
            <w:tcW w:w="282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Issuance of equity securities,</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of retirement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(773 )</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(46 )</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(390 )</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(390 )</w:t>
            </w: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line="131" w:lineRule="exact"/>
              <w:rPr>
                <w:sz w:val="20"/>
                <w:szCs w:val="20"/>
                <w:color w:val="auto"/>
              </w:rPr>
            </w:pPr>
            <w:r>
              <w:rPr>
                <w:rFonts w:ascii="Arial" w:cs="Arial" w:eastAsia="Arial" w:hAnsi="Arial"/>
                <w:sz w:val="13"/>
                <w:szCs w:val="13"/>
                <w:color w:val="auto"/>
              </w:rPr>
              <w:t>Repurchase of common</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120"/>
              <w:spacing w:after="0"/>
              <w:rPr>
                <w:sz w:val="20"/>
                <w:szCs w:val="20"/>
                <w:color w:val="auto"/>
              </w:rPr>
            </w:pPr>
            <w:r>
              <w:rPr>
                <w:rFonts w:ascii="Arial" w:cs="Arial" w:eastAsia="Arial" w:hAnsi="Arial"/>
                <w:sz w:val="13"/>
                <w:szCs w:val="13"/>
                <w:color w:val="auto"/>
              </w:rPr>
              <w:t>stock</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(574 )</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(21,426 )</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(22,000 )</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(22,000 )</w:t>
            </w:r>
          </w:p>
        </w:tc>
        <w:tc>
          <w:tcPr>
            <w:tcW w:w="0" w:type="dxa"/>
            <w:vAlign w:val="bottom"/>
          </w:tcPr>
          <w:p>
            <w:pPr>
              <w:spacing w:after="0"/>
              <w:rPr>
                <w:sz w:val="1"/>
                <w:szCs w:val="1"/>
                <w:color w:val="auto"/>
              </w:rPr>
            </w:pPr>
          </w:p>
        </w:tc>
      </w:tr>
      <w:tr>
        <w:trPr>
          <w:trHeight w:val="162"/>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23,008</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23,008</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23,008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20" w:type="dxa"/>
            <w:vAlign w:val="bottom"/>
          </w:tcPr>
          <w:p>
            <w:pPr>
              <w:ind w:left="20"/>
              <w:spacing w:after="0"/>
              <w:rPr>
                <w:sz w:val="20"/>
                <w:szCs w:val="20"/>
                <w:color w:val="auto"/>
              </w:rPr>
            </w:pPr>
            <w:r>
              <w:rPr>
                <w:rFonts w:ascii="Arial" w:cs="Arial" w:eastAsia="Arial" w:hAnsi="Arial"/>
                <w:sz w:val="13"/>
                <w:szCs w:val="13"/>
                <w:b w:val="1"/>
                <w:bCs w:val="1"/>
                <w:color w:val="auto"/>
              </w:rPr>
              <w:t>Balances at December 31, 2022</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$ 146,132</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(844,936 )</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2,717,134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43,089</w:t>
            </w:r>
          </w:p>
        </w:tc>
        <w:tc>
          <w:tcPr>
            <w:tcW w:w="22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(17,849 )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2,043,570</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52,365</w:t>
            </w:r>
          </w:p>
        </w:tc>
        <w:tc>
          <w:tcPr>
            <w:tcW w:w="200" w:type="dxa"/>
            <w:vAlign w:val="bottom"/>
          </w:tcPr>
          <w:p>
            <w:pPr>
              <w:spacing w:after="0"/>
              <w:rPr>
                <w:sz w:val="13"/>
                <w:szCs w:val="13"/>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2,095,935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income</w:t>
            </w:r>
          </w:p>
        </w:tc>
        <w:tc>
          <w:tcPr>
            <w:tcW w:w="6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161,149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161,149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46,766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207,915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FF0FC"/>
          </w:tcPr>
          <w:p>
            <w:pPr>
              <w:ind w:left="200"/>
              <w:spacing w:after="0" w:line="131" w:lineRule="exact"/>
              <w:rPr>
                <w:sz w:val="20"/>
                <w:szCs w:val="20"/>
                <w:color w:val="auto"/>
              </w:rPr>
            </w:pPr>
            <w:r>
              <w:rPr>
                <w:rFonts w:ascii="Arial" w:cs="Arial" w:eastAsia="Arial" w:hAnsi="Arial"/>
                <w:sz w:val="13"/>
                <w:szCs w:val="13"/>
                <w:color w:val="auto"/>
              </w:rPr>
              <w:t>Foreign currency</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translation gain, net</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0"/>
              <w:spacing w:after="0"/>
              <w:rPr>
                <w:sz w:val="20"/>
                <w:szCs w:val="20"/>
                <w:color w:val="auto"/>
              </w:rPr>
            </w:pPr>
            <w:r>
              <w:rPr>
                <w:rFonts w:ascii="Arial" w:cs="Arial" w:eastAsia="Arial" w:hAnsi="Arial"/>
                <w:sz w:val="13"/>
                <w:szCs w:val="13"/>
                <w:color w:val="auto"/>
              </w:rPr>
              <w:t>Pension adjustments, net</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Contributions of treasury</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to ESOP</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17,625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39,804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57,429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57,429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rPr>
                <w:sz w:val="20"/>
                <w:szCs w:val="20"/>
                <w:color w:val="auto"/>
              </w:rPr>
            </w:pPr>
            <w:r>
              <w:rPr>
                <w:rFonts w:ascii="Arial" w:cs="Arial" w:eastAsia="Arial" w:hAnsi="Arial"/>
                <w:sz w:val="13"/>
                <w:szCs w:val="13"/>
                <w:color w:val="auto"/>
              </w:rPr>
              <w:t>Contributions</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2,867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Distributions</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(12,496 )</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(12,496 )</w:t>
            </w:r>
          </w:p>
        </w:tc>
        <w:tc>
          <w:tcPr>
            <w:tcW w:w="0" w:type="dxa"/>
            <w:vAlign w:val="bottom"/>
          </w:tcPr>
          <w:p>
            <w:pPr>
              <w:spacing w:after="0"/>
              <w:rPr>
                <w:sz w:val="1"/>
                <w:szCs w:val="1"/>
                <w:color w:val="auto"/>
              </w:rPr>
            </w:pPr>
          </w:p>
        </w:tc>
      </w:tr>
      <w:tr>
        <w:trPr>
          <w:trHeight w:val="130"/>
        </w:trPr>
        <w:tc>
          <w:tcPr>
            <w:tcW w:w="2820" w:type="dxa"/>
            <w:vAlign w:val="bottom"/>
          </w:tcPr>
          <w:p>
            <w:pPr>
              <w:ind w:left="20"/>
              <w:spacing w:after="0" w:line="131" w:lineRule="exact"/>
              <w:rPr>
                <w:sz w:val="20"/>
                <w:szCs w:val="20"/>
                <w:color w:val="auto"/>
              </w:rPr>
            </w:pPr>
            <w:r>
              <w:rPr>
                <w:rFonts w:ascii="Arial" w:cs="Arial" w:eastAsia="Arial" w:hAnsi="Arial"/>
                <w:sz w:val="13"/>
                <w:szCs w:val="13"/>
                <w:color w:val="auto"/>
              </w:rPr>
              <w:t>Issuance of equity securities,</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120"/>
              <w:spacing w:after="0"/>
              <w:rPr>
                <w:sz w:val="20"/>
                <w:szCs w:val="20"/>
                <w:color w:val="auto"/>
              </w:rPr>
            </w:pPr>
            <w:r>
              <w:rPr>
                <w:rFonts w:ascii="Arial" w:cs="Arial" w:eastAsia="Arial" w:hAnsi="Arial"/>
                <w:sz w:val="13"/>
                <w:szCs w:val="13"/>
                <w:color w:val="auto"/>
              </w:rPr>
              <w:t>net of retirement</w:t>
            </w:r>
          </w:p>
        </w:tc>
        <w:tc>
          <w:tcPr>
            <w:tcW w:w="600" w:type="dxa"/>
            <w:vAlign w:val="bottom"/>
          </w:tcPr>
          <w:p>
            <w:pPr>
              <w:jc w:val="right"/>
              <w:spacing w:after="0"/>
              <w:rPr>
                <w:sz w:val="20"/>
                <w:szCs w:val="20"/>
                <w:color w:val="auto"/>
              </w:rPr>
            </w:pPr>
            <w:r>
              <w:rPr>
                <w:rFonts w:ascii="Arial" w:cs="Arial" w:eastAsia="Arial" w:hAnsi="Arial"/>
                <w:sz w:val="13"/>
                <w:szCs w:val="13"/>
                <w:color w:val="auto"/>
              </w:rPr>
              <w:t>442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(1,171 )</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(514 )</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(1,243 )</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(1,243 )</w:t>
            </w: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Repurchases of common stock</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(233 )</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(10,767 )</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(11,000 )</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(11,000 )</w:t>
            </w: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34,365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34,365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2023</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$ 146,341</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(827,311 )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2,779,365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203,724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(14,908 )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2,287,211</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89,504</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2,376,715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-4408805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-4408805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-4408805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-4408805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-4408805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-4408805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-4408805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-4408805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-2901950</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-2901950</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-2901950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-2901950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-2901950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-2901950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-2901950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-1523365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-1523365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-1523365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-1523365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-1523365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-1523365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-1523365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-1523365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-7620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-7620</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102" w:name="page103"/>
    <w:bookmarkEnd w:id="102"/>
    <w:p>
      <w:pPr>
        <w:jc w:val="center"/>
        <w:ind w:right="40"/>
        <w:spacing w:after="0" w:line="257" w:lineRule="auto"/>
        <w:rPr>
          <w:sz w:val="20"/>
          <w:szCs w:val="20"/>
          <w:color w:val="auto"/>
        </w:rPr>
      </w:pPr>
      <w:r>
        <w:rPr>
          <w:rFonts w:ascii="Arial" w:cs="Arial" w:eastAsia="Arial" w:hAnsi="Arial"/>
          <w:sz w:val="18"/>
          <w:szCs w:val="18"/>
          <w:b w:val="1"/>
          <w:bCs w:val="1"/>
          <w:color w:val="auto"/>
        </w:rPr>
        <w:t>PARSONS CORPORATION AND SUBSIDIARIES Consolidated Statements of Cash Flows Years Ended December 31, 2023, December 31, 2022 and December 31,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20" w:type="dxa"/>
            <w:vAlign w:val="bottom"/>
            <w:tcBorders>
              <w:top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2023</w:t>
            </w: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2022</w:t>
            </w: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6"/>
                <w:szCs w:val="16"/>
                <w:color w:val="auto"/>
              </w:rPr>
            </w:pPr>
          </w:p>
        </w:tc>
      </w:tr>
      <w:tr>
        <w:trPr>
          <w:trHeight w:val="169"/>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color w:val="auto"/>
              </w:rPr>
              <w:t>Net income including noncontrolling interests</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207,915</w:t>
            </w:r>
          </w:p>
        </w:tc>
        <w:tc>
          <w:tcPr>
            <w:tcW w:w="260" w:type="dxa"/>
            <w:vAlign w:val="bottom"/>
          </w:tcPr>
          <w:p>
            <w:pPr>
              <w:spacing w:after="0"/>
              <w:rPr>
                <w:sz w:val="15"/>
                <w:szCs w:val="15"/>
                <w:color w:val="auto"/>
              </w:rPr>
            </w:pP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126,565</w:t>
            </w:r>
          </w:p>
        </w:tc>
        <w:tc>
          <w:tcPr>
            <w:tcW w:w="26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88,952</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119,973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120,501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144,209</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issue costs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2,842</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3,029</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2,817</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Loss (gain) on disposal of property and equipment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(164 )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Provision for doubtful accounts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Deferred taxes</w:t>
            </w:r>
          </w:p>
        </w:tc>
        <w:tc>
          <w:tcPr>
            <w:tcW w:w="3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(8,914 )</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(844 )</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(3,468 )</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Foreign currency transaction gains and losses</w:t>
            </w: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(330 )</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1,973</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4,916</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Equity in losses (earnings) of unconsolidated joint ventures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47,751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(16,347 )</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(36,862 )</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Return on investments in unconsolidated joint ventures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48,970</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28,417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24,494</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34,365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23,008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20,187</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Contributions of treasury stock</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58,172</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54,659</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54,905</w:t>
            </w:r>
          </w:p>
        </w:tc>
        <w:tc>
          <w:tcPr>
            <w:tcW w:w="100" w:type="dxa"/>
            <w:vAlign w:val="bottom"/>
            <w:shd w:val="clear" w:color="auto" w:fill="CFF0FC"/>
          </w:tcPr>
          <w:p>
            <w:pPr>
              <w:spacing w:after="0"/>
              <w:rPr>
                <w:sz w:val="15"/>
                <w:szCs w:val="15"/>
                <w:color w:val="auto"/>
              </w:rPr>
            </w:pPr>
          </w:p>
        </w:tc>
      </w:tr>
      <w:tr>
        <w:trPr>
          <w:trHeight w:val="149"/>
        </w:trPr>
        <w:tc>
          <w:tcPr>
            <w:tcW w:w="6620" w:type="dxa"/>
            <w:vAlign w:val="bottom"/>
          </w:tcPr>
          <w:p>
            <w:pPr>
              <w:ind w:left="20"/>
              <w:spacing w:after="0"/>
              <w:rPr>
                <w:sz w:val="20"/>
                <w:szCs w:val="20"/>
                <w:color w:val="auto"/>
              </w:rPr>
            </w:pPr>
            <w:r>
              <w:rPr>
                <w:rFonts w:ascii="Arial" w:cs="Arial" w:eastAsia="Arial" w:hAnsi="Arial"/>
                <w:sz w:val="13"/>
                <w:szCs w:val="13"/>
                <w:color w:val="auto"/>
              </w:rPr>
              <w:t>Changes in assets and liabilities, net of acquisitions and newly consolidated joint</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6620" w:type="dxa"/>
            <w:vAlign w:val="bottom"/>
          </w:tcPr>
          <w:p>
            <w:pPr>
              <w:ind w:left="140"/>
              <w:spacing w:after="0"/>
              <w:rPr>
                <w:sz w:val="20"/>
                <w:szCs w:val="20"/>
                <w:color w:val="auto"/>
              </w:rPr>
            </w:pPr>
            <w:r>
              <w:rPr>
                <w:rFonts w:ascii="Arial" w:cs="Arial" w:eastAsia="Arial" w:hAnsi="Arial"/>
                <w:sz w:val="13"/>
                <w:szCs w:val="13"/>
                <w:color w:val="auto"/>
              </w:rPr>
              <w:t>ventures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receivable</w:t>
            </w: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(176,181 )</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(117,318 )</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99,894</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Contract assets</w:t>
            </w:r>
          </w:p>
        </w:tc>
        <w:tc>
          <w:tcPr>
            <w:tcW w:w="3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(119,898 )</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(32,032 )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1,494</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Prepaid expenses and other assets</w:t>
            </w: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(95,415 )</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(1,405 )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(18,798 )</w:t>
            </w: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Accounts payable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24,497</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(717 )</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(31,766 )</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Accrued expenses and other current liabilities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163,440</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3,879</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(74,683 )</w:t>
            </w: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Contract liabilities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84,439</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41,306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(30,407 )</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Income taxes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2,886</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(3,649 )</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2,878</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Other long-term liabilities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12,949</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6,608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(43,534 )</w:t>
            </w:r>
          </w:p>
        </w:tc>
      </w:tr>
      <w:tr>
        <w:trPr>
          <w:trHeight w:val="169"/>
        </w:trPr>
        <w:tc>
          <w:tcPr>
            <w:tcW w:w="6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407,699</w:t>
            </w: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237,526</w:t>
            </w: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205,574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color w:val="auto"/>
              </w:rPr>
              <w:t>Capital expenditures</w:t>
            </w:r>
          </w:p>
        </w:tc>
        <w:tc>
          <w:tcPr>
            <w:tcW w:w="3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(40,396 )</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(30,593 )</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(21,105 )</w:t>
            </w: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771</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1,329</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color w:val="auto"/>
              </w:rPr>
              <w:t>Payments for acquisitions, net of cash acquired</w:t>
            </w:r>
          </w:p>
        </w:tc>
        <w:tc>
          <w:tcPr>
            <w:tcW w:w="3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(221,937 )</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(379,467 )</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(198,256 )</w:t>
            </w: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Investments in unconsolidated joint ventures</w:t>
            </w: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(119,582 )</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(17,622 )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(38,459 )</w:t>
            </w: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color w:val="auto"/>
              </w:rPr>
              <w:t>Return of investments in unconsolidated joint ventures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5,018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9,443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Pr>
          <w:p>
            <w:pPr>
              <w:spacing w:after="0"/>
              <w:rPr>
                <w:sz w:val="15"/>
                <w:szCs w:val="15"/>
                <w:color w:val="auto"/>
              </w:rPr>
            </w:pPr>
          </w:p>
        </w:tc>
      </w:tr>
      <w:tr>
        <w:trPr>
          <w:trHeight w:val="175"/>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Proceeds from sales of investments in unconsolidated joint ventures</w:t>
            </w: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381</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14,812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20" w:type="dxa"/>
            <w:vAlign w:val="bottom"/>
          </w:tcPr>
          <w:p>
            <w:pPr>
              <w:ind w:left="380"/>
              <w:spacing w:after="0"/>
              <w:rPr>
                <w:sz w:val="20"/>
                <w:szCs w:val="20"/>
                <w:color w:val="auto"/>
              </w:rPr>
            </w:pPr>
            <w:r>
              <w:rPr>
                <w:rFonts w:ascii="Arial" w:cs="Arial" w:eastAsia="Arial" w:hAnsi="Arial"/>
                <w:sz w:val="13"/>
                <w:szCs w:val="13"/>
                <w:color w:val="auto"/>
              </w:rPr>
              <w:t>Net cash used in investing activities</w:t>
            </w:r>
          </w:p>
        </w:tc>
        <w:tc>
          <w:tcPr>
            <w:tcW w:w="32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(375,970 )</w:t>
            </w: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(417,468 )</w:t>
            </w:r>
          </w:p>
        </w:tc>
        <w:tc>
          <w:tcPr>
            <w:tcW w:w="30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(240,907 )</w:t>
            </w:r>
          </w:p>
        </w:tc>
      </w:tr>
      <w:tr>
        <w:trPr>
          <w:trHeight w:val="169"/>
        </w:trPr>
        <w:tc>
          <w:tcPr>
            <w:tcW w:w="66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borrowings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620,900</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969,700</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color w:val="auto"/>
              </w:rPr>
              <w:t>Proceeds from delayed draw term loan</w:t>
            </w:r>
          </w:p>
        </w:tc>
        <w:tc>
          <w:tcPr>
            <w:tcW w:w="32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350,000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Repayments of borrowings</w:t>
            </w: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(620,900 )</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(969,700 )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(50,000 )</w:t>
            </w: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color w:val="auto"/>
              </w:rPr>
              <w:t>Repayment of private placement debt</w:t>
            </w:r>
          </w:p>
        </w:tc>
        <w:tc>
          <w:tcPr>
            <w:tcW w:w="32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(200,000 )</w:t>
            </w:r>
          </w:p>
        </w:tc>
        <w:tc>
          <w:tcPr>
            <w:tcW w:w="3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for debt costs and credit agreement</w:t>
            </w: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(862 )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(1,937 )</w:t>
            </w: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color w:val="auto"/>
              </w:rPr>
              <w:t>Payments for acquired warrants</w:t>
            </w:r>
          </w:p>
        </w:tc>
        <w:tc>
          <w:tcPr>
            <w:tcW w:w="32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(11,243 )</w:t>
            </w:r>
          </w:p>
        </w:tc>
        <w:tc>
          <w:tcPr>
            <w:tcW w:w="3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Contributions by noncontrolling interests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2,867</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10,266</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1,754</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3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(12,496 )</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(24,128 )</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(37,932 )</w:t>
            </w: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Repurchases of common stock</w:t>
            </w: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(11,000 )</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(22,000 )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(21,701 )</w:t>
            </w: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color w:val="auto"/>
              </w:rPr>
              <w:t>Taxes paid on vested stock</w:t>
            </w:r>
          </w:p>
        </w:tc>
        <w:tc>
          <w:tcPr>
            <w:tcW w:w="3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(7,301 )</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(7,042 )</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(2,242 )</w:t>
            </w: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issuance of common stock</w:t>
            </w: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6,059</w:t>
            </w:r>
          </w:p>
        </w:tc>
        <w:tc>
          <w:tcPr>
            <w:tcW w:w="2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5,377</w:t>
            </w:r>
          </w:p>
        </w:tc>
        <w:tc>
          <w:tcPr>
            <w:tcW w:w="2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5,555</w:t>
            </w:r>
          </w:p>
        </w:tc>
        <w:tc>
          <w:tcPr>
            <w:tcW w:w="100" w:type="dxa"/>
            <w:vAlign w:val="bottom"/>
            <w:shd w:val="clear" w:color="auto" w:fill="CFF0FC"/>
          </w:tcPr>
          <w:p>
            <w:pPr>
              <w:spacing w:after="0"/>
              <w:rPr>
                <w:sz w:val="15"/>
                <w:szCs w:val="15"/>
                <w:color w:val="auto"/>
              </w:rPr>
            </w:pPr>
          </w:p>
        </w:tc>
      </w:tr>
      <w:tr>
        <w:trPr>
          <w:trHeight w:val="169"/>
        </w:trPr>
        <w:tc>
          <w:tcPr>
            <w:tcW w:w="6620" w:type="dxa"/>
            <w:vAlign w:val="bottom"/>
          </w:tcPr>
          <w:p>
            <w:pPr>
              <w:ind w:left="380"/>
              <w:spacing w:after="0"/>
              <w:rPr>
                <w:sz w:val="20"/>
                <w:szCs w:val="20"/>
                <w:color w:val="auto"/>
              </w:rPr>
            </w:pPr>
            <w:r>
              <w:rPr>
                <w:rFonts w:ascii="Arial" w:cs="Arial" w:eastAsia="Arial" w:hAnsi="Arial"/>
                <w:sz w:val="13"/>
                <w:szCs w:val="13"/>
                <w:color w:val="auto"/>
              </w:rPr>
              <w:t>Net cash (used in) provided by financing activities</w:t>
            </w:r>
          </w:p>
        </w:tc>
        <w:tc>
          <w:tcPr>
            <w:tcW w:w="32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(21,871 )</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100,368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(106,503 )</w:t>
            </w: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Effect of exchange rate changes</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(1,770 )</w:t>
            </w:r>
          </w:p>
        </w:tc>
        <w:tc>
          <w:tcPr>
            <w:tcW w:w="3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(1,496 )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620" w:type="dxa"/>
            <w:vAlign w:val="bottom"/>
          </w:tcPr>
          <w:p>
            <w:pPr>
              <w:ind w:left="38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10,404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(81,344 )</w:t>
            </w:r>
          </w:p>
        </w:tc>
        <w:tc>
          <w:tcPr>
            <w:tcW w:w="30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(143,332 )</w:t>
            </w: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cash equivalents and restricted cash</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color w:val="auto"/>
              </w:rPr>
              <w:t>Beginning of year</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262,539</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343,883</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487,215</w:t>
            </w:r>
          </w:p>
        </w:tc>
        <w:tc>
          <w:tcPr>
            <w:tcW w:w="100" w:type="dxa"/>
            <w:vAlign w:val="bottom"/>
          </w:tcPr>
          <w:p>
            <w:pPr>
              <w:spacing w:after="0"/>
              <w:rPr>
                <w:sz w:val="15"/>
                <w:szCs w:val="15"/>
                <w:color w:val="auto"/>
              </w:rPr>
            </w:pPr>
          </w:p>
        </w:tc>
      </w:tr>
      <w:tr>
        <w:trPr>
          <w:trHeight w:val="20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End of year</w:t>
            </w:r>
          </w:p>
        </w:tc>
        <w:tc>
          <w:tcPr>
            <w:tcW w:w="32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272,943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262,539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343,883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6620" w:type="dxa"/>
            <w:vAlign w:val="bottom"/>
          </w:tcPr>
          <w:p>
            <w:pPr>
              <w:ind w:left="20"/>
              <w:spacing w:after="0"/>
              <w:rPr>
                <w:sz w:val="20"/>
                <w:szCs w:val="20"/>
                <w:color w:val="auto"/>
              </w:rPr>
            </w:pPr>
            <w:r>
              <w:rPr>
                <w:rFonts w:ascii="Arial" w:cs="Arial" w:eastAsia="Arial" w:hAnsi="Arial"/>
                <w:sz w:val="13"/>
                <w:szCs w:val="13"/>
                <w:b w:val="1"/>
                <w:bCs w:val="1"/>
                <w:color w:val="auto"/>
              </w:rPr>
              <w:t>Cash paid during the year for</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w:t>
            </w:r>
          </w:p>
        </w:tc>
        <w:tc>
          <w:tcPr>
            <w:tcW w:w="320" w:type="dxa"/>
            <w:vAlign w:val="bottom"/>
            <w:shd w:val="clear" w:color="auto" w:fill="CFF0FC"/>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30,273</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20,819</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14,993</w:t>
            </w:r>
          </w:p>
        </w:tc>
        <w:tc>
          <w:tcPr>
            <w:tcW w:w="100" w:type="dxa"/>
            <w:vAlign w:val="bottom"/>
            <w:shd w:val="clear" w:color="auto" w:fill="CFF0FC"/>
          </w:tcPr>
          <w:p>
            <w:pPr>
              <w:spacing w:after="0"/>
              <w:rPr>
                <w:sz w:val="15"/>
                <w:szCs w:val="15"/>
                <w:color w:val="auto"/>
              </w:rPr>
            </w:pPr>
          </w:p>
        </w:tc>
      </w:tr>
      <w:tr>
        <w:trPr>
          <w:trHeight w:val="177"/>
        </w:trPr>
        <w:tc>
          <w:tcPr>
            <w:tcW w:w="6620" w:type="dxa"/>
            <w:vAlign w:val="bottom"/>
          </w:tcPr>
          <w:p>
            <w:pPr>
              <w:ind w:left="20"/>
              <w:spacing w:after="0"/>
              <w:rPr>
                <w:sz w:val="20"/>
                <w:szCs w:val="20"/>
                <w:color w:val="auto"/>
              </w:rPr>
            </w:pPr>
            <w:r>
              <w:rPr>
                <w:rFonts w:ascii="Arial" w:cs="Arial" w:eastAsia="Arial" w:hAnsi="Arial"/>
                <w:sz w:val="13"/>
                <w:szCs w:val="13"/>
                <w:color w:val="auto"/>
              </w:rPr>
              <w:t>Income taxes (net of refunds)</w:t>
            </w: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74,133</w:t>
            </w:r>
          </w:p>
        </w:tc>
        <w:tc>
          <w:tcPr>
            <w:tcW w:w="260" w:type="dxa"/>
            <w:vAlign w:val="bottom"/>
          </w:tcPr>
          <w:p>
            <w:pPr>
              <w:spacing w:after="0"/>
              <w:rPr>
                <w:sz w:val="15"/>
                <w:szCs w:val="15"/>
                <w:color w:val="auto"/>
              </w:rPr>
            </w:pP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32,175</w:t>
            </w:r>
          </w:p>
        </w:tc>
        <w:tc>
          <w:tcPr>
            <w:tcW w:w="26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22,461</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-3536315</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-3536315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-3536315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-2637790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-2637790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-2637790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-1075055</wp:posOffset>
            </wp:positionV>
            <wp:extent cx="102235" cy="1536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4">
                      <a:extLst>
                        <a:ext uri="{28A0092B-C50C-407E-A947-70E740481C1C}"/>
                      </a:extLst>
                    </a:blip>
                    <a:srcRect/>
                    <a:stretch>
                      <a:fillRect/>
                    </a:stretch>
                  </pic:blipFill>
                  <pic:spPr bwMode="auto">
                    <a:xfrm>
                      <a:off x="0" y="0"/>
                      <a:ext cx="102235" cy="153670"/>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-1075055</wp:posOffset>
            </wp:positionV>
            <wp:extent cx="93980" cy="1536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5">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-1075055</wp:posOffset>
            </wp:positionV>
            <wp:extent cx="93980" cy="1536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6">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-822325</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-822325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-360045</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-342900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-360045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-342900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-360045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-342900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p>
      <w:pPr>
        <w:ind w:left="520" w:right="8500" w:hanging="512"/>
        <w:spacing w:after="0" w:line="359" w:lineRule="auto"/>
        <w:tabs>
          <w:tab w:leader="none" w:pos="521"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spacing w:after="0" w:line="1"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 maintained to carry out specific projects.</w:t>
      </w:r>
    </w:p>
    <w:p>
      <w:pPr>
        <w:spacing w:after="0" w:line="284"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10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include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Intercompany accounts and transactions are eliminated in consolidation. Certain amounts may not foot due to rounding.</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0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preparation of the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ESOP</w:t>
      </w:r>
    </w:p>
    <w:p>
      <w:pPr>
        <w:spacing w:after="0" w:line="103"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The Company maintains a non-leveraged ESOP for eligible employees, for which the Company contributes shares of its own stock to the ESOP trust each year. Throughout the year, as employee services are rendered, the Company records compensation expense based on salaries of eligible employees. At each reporting period, the shares held within the ESOP or committed to be contributed to the ESOP are adjusted to their redemption value through an offsetting charge or credit to retained earnings/accumulated deficit.</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Treasury Stock</w:t>
      </w:r>
    </w:p>
    <w:p>
      <w:pPr>
        <w:spacing w:after="0" w:line="103" w:lineRule="exact"/>
        <w:rPr>
          <w:sz w:val="20"/>
          <w:szCs w:val="20"/>
          <w:color w:val="auto"/>
        </w:rPr>
      </w:pPr>
    </w:p>
    <w:p>
      <w:pPr>
        <w:ind w:right="240" w:firstLine="509"/>
        <w:spacing w:after="0" w:line="274" w:lineRule="auto"/>
        <w:rPr>
          <w:sz w:val="20"/>
          <w:szCs w:val="20"/>
          <w:color w:val="auto"/>
        </w:rPr>
      </w:pPr>
      <w:r>
        <w:rPr>
          <w:rFonts w:ascii="Arial" w:cs="Arial" w:eastAsia="Arial" w:hAnsi="Arial"/>
          <w:sz w:val="17"/>
          <w:szCs w:val="17"/>
          <w:color w:val="auto"/>
        </w:rPr>
        <w:t>The Company records treasury stock purchases under the cost method whereby the entire cost of the acquired stock is recorded as treasury stock. The Company records the reissuance of treasury stock using the first-in, first-out method of accounting. Contributions of 915,113 shares, 1,188,129 shares, and 1,631,477 shares of common stock were made to the ESOP in 2023, 2022 and 2021, respectively.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04" w:name="page105"/>
    <w:bookmarkEnd w:id="10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Share Repurchases</w:t>
      </w:r>
    </w:p>
    <w:p>
      <w:pPr>
        <w:spacing w:after="0" w:line="103" w:lineRule="exact"/>
        <w:rPr>
          <w:sz w:val="20"/>
          <w:szCs w:val="20"/>
          <w:color w:val="auto"/>
        </w:rPr>
      </w:pPr>
    </w:p>
    <w:p>
      <w:pPr>
        <w:ind w:firstLine="509"/>
        <w:spacing w:after="0" w:line="274" w:lineRule="auto"/>
        <w:rPr>
          <w:sz w:val="20"/>
          <w:szCs w:val="20"/>
          <w:color w:val="auto"/>
        </w:rPr>
      </w:pPr>
      <w:r>
        <w:rPr>
          <w:rFonts w:ascii="Arial" w:cs="Arial" w:eastAsia="Arial" w:hAnsi="Arial"/>
          <w:sz w:val="17"/>
          <w:szCs w:val="17"/>
          <w:color w:val="auto"/>
        </w:rPr>
        <w:t>During the third quarter of 2021, the Company’s Board of Directors authorized the Company to acquire a number of shares of Common Stock having an aggregate market value of not greater than $100,000,000 from time to time. Repurchased shares of common stock are retired and included in “Repurchases of common stock” in cash flows from financing activities in the Consolidated Statements of Cash Flows.</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Earnings per Share</w:t>
      </w:r>
    </w:p>
    <w:p>
      <w:pPr>
        <w:spacing w:after="0" w:line="103"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Basic earnings per common share (“EPS”) is calculated by dividing Net income by the weighted average number of common shares outstanding during the year. Diluted earnings per common share is calculated using the if-converted method by dividing adjusted net income by adjusted weighted average outstanding shares, assuming conversion of all potentially dilutive securities. Upon contribution to the ESOP, the shares become outstanding and are included within the earnings per share computations.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 Recognition</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accordance with ASC 606, the Company follows the five-step process in ASC 606 to recognize revenue:</w:t>
      </w:r>
    </w:p>
    <w:p>
      <w:pPr>
        <w:spacing w:after="0" w:line="103" w:lineRule="exact"/>
        <w:rPr>
          <w:sz w:val="20"/>
          <w:szCs w:val="20"/>
          <w:color w:val="auto"/>
        </w:rPr>
      </w:pPr>
    </w:p>
    <w:p>
      <w:pPr>
        <w:ind w:left="1020" w:hanging="504"/>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 the contract</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 performance obligations</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Allocate the transaction price</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Recognize revenue</w:t>
      </w:r>
    </w:p>
    <w:p>
      <w:pPr>
        <w:spacing w:after="0" w:line="211"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Contracts</w:t>
      </w:r>
      <w:r>
        <w:rPr>
          <w:rFonts w:ascii="Arial" w:cs="Arial" w:eastAsia="Arial" w:hAnsi="Arial"/>
          <w:sz w:val="18"/>
          <w:szCs w:val="18"/>
          <w:color w:val="auto"/>
        </w:rPr>
        <w:t>—Revenue is derived from long-term contracts with customers whereby the Company provides planning, design,</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technical, and construction and program management services. The Company has contracts with the United States federal government that contain provisions requiring compliance with the United States Federal Acquisition Regulation (“FAR”) and the United States Cost Accounting Standards (“CAS”). These regulations are generally applicable to all of the Company’s federal government contracts and are partially or fully incorporated in some local and state agency contracts. Most of the Company’s federal government contracts are subject to termination at the convenience of the client. These contracts typically provide for reimbursement of costs incurred and payment of fees earned through the date of such termination.</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enters into the following types of contracts with its customers:</w:t>
      </w:r>
    </w:p>
    <w:p>
      <w:pPr>
        <w:spacing w:after="0" w:line="211"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Cost-Plus—Under cost-plus contracts, the Company is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176"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Time-and-Materials—Under time-and-materials contracts, hourly billing rates are negotiated and charged to clients based on the actual time spent on a project. In certain cases, these contracts may be subject to maximum contract values. In addition, clients reimburse actual out-of-pocket costs for materials and other direct incidental expenditures that are incurred in connection with the performance under the contract.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Fixed-Price—The Company enters into two types of fixed-price contracts: firm fixed-price (“FFP”) and fixed-price per unit (“FPPU”).</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Under FFP contracts, clients pay an agreed fixed-amount negotiated in advance for a specified scope of work.</w:t>
      </w:r>
    </w:p>
    <w:p>
      <w:pPr>
        <w:spacing w:after="0" w:line="193"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i w:val="1"/>
          <w:iCs w:val="1"/>
          <w:color w:val="auto"/>
        </w:rPr>
        <w:t>Contract Costs</w:t>
      </w:r>
      <w:r>
        <w:rPr>
          <w:rFonts w:ascii="Arial" w:cs="Arial" w:eastAsia="Arial" w:hAnsi="Arial"/>
          <w:sz w:val="17"/>
          <w:szCs w:val="17"/>
          <w:color w:val="auto"/>
        </w:rPr>
        <w:t>—Contract costs consist of direct costs on contracts, including labor and materials, amounts payable to subcontractors,</w:t>
      </w:r>
      <w:r>
        <w:rPr>
          <w:rFonts w:ascii="Arial" w:cs="Arial" w:eastAsia="Arial" w:hAnsi="Arial"/>
          <w:sz w:val="17"/>
          <w:szCs w:val="17"/>
          <w:i w:val="1"/>
          <w:iCs w:val="1"/>
          <w:color w:val="auto"/>
        </w:rPr>
        <w:t xml:space="preserve"> </w:t>
      </w:r>
      <w:r>
        <w:rPr>
          <w:rFonts w:ascii="Arial" w:cs="Arial" w:eastAsia="Arial" w:hAnsi="Arial"/>
          <w:sz w:val="17"/>
          <w:szCs w:val="17"/>
          <w:color w:val="auto"/>
        </w:rPr>
        <w:t>direct overhead costs and 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 Pre-contract costs are expensed as incurred unless they are expected to be recovered from the client, generate or enhance resources that will be used in satisfying performance obligations in the future and directly relate to an existing or anticipated contract. Costs to mobilize equipment and labor to a job site, prior to substantive work beginning (“mobilization costs”) are capitalized as incurred and amortized over the expected duration of the contract. Additionally, the Company may incur incremental costs to obtain certain contracts, such as selling and market costs, bid and proposal costs, sales commissions, and legal fees, certain of which can be capitalized if they are recoverable under the contract. Capitalized contract costs are included in other current assets on the consolidated balance sheets and were not material as of December 31, 2023 and December 31, 2022.</w:t>
      </w:r>
    </w:p>
    <w:p>
      <w:pPr>
        <w:spacing w:after="0" w:line="17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—A performance obligation is a promise in a contract to transfer a distinct good or service to the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and is the unit of account in ASC 606. The transaction price of a contract is allocated to each distinct performance obligation and recognized as revenue when, or as, the performance obligation is satisfied. To the extent a contract is deemed to have multiple performance obligations, the Company allocates the transaction price of the contract to each performance obligation using our best estimate of the standalone selling price of each distinct good or service in the contract. The Company determines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the Company provides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the Company is not liable for the construction of the asset, but has an overall responsibility to oversee, coordinate, measure, and evaluate the quality of construction work and the performance of the construction contractor on behalf of the customer. Customers are generally billed as the Company satisfies its performance obligations and payment terms typically range from 30 to 120 days from the invoice date. Billings under certain fixed-price contracts may be based upon the achievement of specified milestones, while some arrangements may require advance customer payment. The Company’s contracts generally do not include a significant financing component.</w:t>
      </w:r>
    </w:p>
    <w:p>
      <w:pPr>
        <w:spacing w:after="0" w:line="18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i w:val="1"/>
          <w:iCs w:val="1"/>
          <w:color w:val="auto"/>
        </w:rPr>
        <w:t>Variable Consideration</w:t>
      </w:r>
      <w:r>
        <w:rPr>
          <w:rFonts w:ascii="Arial" w:cs="Arial" w:eastAsia="Arial" w:hAnsi="Arial"/>
          <w:sz w:val="18"/>
          <w:szCs w:val="18"/>
          <w:color w:val="auto"/>
        </w:rPr>
        <w:t>—The transaction price for the Company’s contracts may include variable consideration,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to transaction price for approved and unpriced change orders, claims and incentives, and reductions to transaction price for liquidated damages. Change orders, claims and incentives are generally not distinct from the existing contract due to the significant integration service provided in the context of the contract and are accounted for as a modification of the existing contract and performance obligation. The Company estimates variable consideration for a performance obligation utilizing one of the two prescribed methods, depending on which method better predicts the amount of consideration to which the Company will be entitled (or the amount the Company expects to incur in the case of liquidated damages). Such methods are: (a) the expected value method, whereby the amount of variable consideration to be recognized represents the sum of probability 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 The expected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6" w:name="page107"/>
    <w:bookmarkEnd w:id="106"/>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value method is utilized in situations where a contract contains a large number of possible outcomes, while the most likely amount method is utilized in situations where a contract has only two possible outcomes.</w:t>
      </w:r>
    </w:p>
    <w:p>
      <w:pPr>
        <w:spacing w:after="0" w:line="153"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Company includes variable consideration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anticipated performance and all information (historical, current and forecasted) that is reasonably available. The effect of variable consideration on the transaction price of a performance obligation is recognized as an adjustment to revenue on a cumulative catch-up basis.</w:t>
      </w:r>
    </w:p>
    <w:p>
      <w:pPr>
        <w:spacing w:after="0" w:line="182"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i w:val="1"/>
          <w:iCs w:val="1"/>
          <w:color w:val="auto"/>
        </w:rPr>
        <w:t>Change Orders</w:t>
      </w:r>
      <w:r>
        <w:rPr>
          <w:rFonts w:ascii="Arial" w:cs="Arial" w:eastAsia="Arial" w:hAnsi="Arial"/>
          <w:sz w:val="18"/>
          <w:szCs w:val="18"/>
          <w:color w:val="auto"/>
        </w:rPr>
        <w:t>—Change orders, which are a normal and recurring part of business, may include changes in specifications or design,</w:t>
      </w:r>
      <w:r>
        <w:rPr>
          <w:rFonts w:ascii="Arial" w:cs="Arial" w:eastAsia="Arial" w:hAnsi="Arial"/>
          <w:sz w:val="18"/>
          <w:szCs w:val="18"/>
          <w:i w:val="1"/>
          <w:iCs w:val="1"/>
          <w:color w:val="auto"/>
        </w:rPr>
        <w:t xml:space="preserve"> </w:t>
      </w:r>
      <w:r>
        <w:rPr>
          <w:rFonts w:ascii="Arial" w:cs="Arial" w:eastAsia="Arial" w:hAnsi="Arial"/>
          <w:sz w:val="18"/>
          <w:szCs w:val="18"/>
          <w:color w:val="auto"/>
        </w:rPr>
        <w:t>manner of performance, facilities, equipment, materials, sites and period of completion of the work. The Company or customer may initiate change orders. Most change orders are not distinct from the existing contract and are accounted for as part of that existing contract. The effect of a change order on the transaction price and measure of progress for the performance obligation to which it relates is recognized as an adjustment to revenues (either as an increase in or a reduction of revenues) on a cumulative catch-up basis. Revenues from unpriced change orders are recognized to the extent of the amounts the Company expects to recover, consistent with the variable consideration policy discussed above. If it is probable that a reversal of revenues will occur, the costs attributable to change orders are treated as contract costs without incremental revenues. To the extent change orders included in the price are not resolved in the Company’s favor, there could be reductions in, or reversals of previously reported amounts of, revenues and profits, and charges against current earnings, which could be material.</w:t>
      </w:r>
    </w:p>
    <w:p>
      <w:pPr>
        <w:spacing w:after="0" w:line="18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i w:val="1"/>
          <w:iCs w:val="1"/>
          <w:color w:val="auto"/>
        </w:rPr>
        <w:t>Claims Revenue</w:t>
      </w:r>
      <w:r>
        <w:rPr>
          <w:rFonts w:ascii="Arial" w:cs="Arial" w:eastAsia="Arial" w:hAnsi="Arial"/>
          <w:sz w:val="18"/>
          <w:szCs w:val="18"/>
          <w:color w:val="auto"/>
        </w:rPr>
        <w:t>—Claims revenue are amounts in excess of agreed contract prices that the Company seeks to collect from clients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others for customer-caused delays, errors in specifications and designs, contract terminations, change orders that are in dispute, or other causes of unanticipated additional contract costs, including factors outside of our control, and therefore the Company believes it is entitled to additional compensation. Claims revenue, when recorded, is only recorded to the extent it is probable that a significant reversal of cumulative revenue recognized will not occur. The Company includes certain claims in the transaction price when the claims are legally enforceable, the Company considers collection to be probable and believes it can reliably estimate the ultimate value. The Company continues to engage in negotiations with its customers on outstanding claims. However, these claims may be resolved at amounts that differ from current estimates, which could result in increases or decreases in future estimated contract profits or losses.</w:t>
      </w:r>
    </w:p>
    <w:p>
      <w:pPr>
        <w:spacing w:after="0" w:line="185" w:lineRule="exact"/>
        <w:rPr>
          <w:sz w:val="20"/>
          <w:szCs w:val="20"/>
          <w:color w:val="auto"/>
        </w:rPr>
      </w:pPr>
    </w:p>
    <w:p>
      <w:pPr>
        <w:jc w:val="both"/>
        <w:ind w:right="120" w:firstLine="509"/>
        <w:spacing w:after="0" w:line="246" w:lineRule="auto"/>
        <w:rPr>
          <w:sz w:val="20"/>
          <w:szCs w:val="20"/>
          <w:color w:val="auto"/>
        </w:rPr>
      </w:pPr>
      <w:r>
        <w:rPr>
          <w:rFonts w:ascii="Arial" w:cs="Arial" w:eastAsia="Arial" w:hAnsi="Arial"/>
          <w:sz w:val="18"/>
          <w:szCs w:val="18"/>
          <w:i w:val="1"/>
          <w:iCs w:val="1"/>
          <w:color w:val="auto"/>
        </w:rPr>
        <w:t>Warranties</w:t>
      </w:r>
      <w:r>
        <w:rPr>
          <w:rFonts w:ascii="Arial" w:cs="Arial" w:eastAsia="Arial" w:hAnsi="Arial"/>
          <w:sz w:val="18"/>
          <w:szCs w:val="18"/>
          <w:color w:val="auto"/>
        </w:rPr>
        <w:t>—In most cases, contracts include assurance-type warranties that the Company’s performance is free from material defect</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consistent with the specifications of the Company’s contracts, which do not give rise to a separate performance obligation. To the extent the warranty terms provide the customer with an additional service, such as extended maintenance services, such warranty is accounted for as a separate performance obligation.</w:t>
      </w:r>
    </w:p>
    <w:p>
      <w:pPr>
        <w:spacing w:after="0" w:line="17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i w:val="1"/>
          <w:iCs w:val="1"/>
          <w:color w:val="auto"/>
        </w:rPr>
        <w:t>Revenue recognized over time</w:t>
      </w:r>
      <w:r>
        <w:rPr>
          <w:rFonts w:ascii="Arial" w:cs="Arial" w:eastAsia="Arial" w:hAnsi="Arial"/>
          <w:sz w:val="18"/>
          <w:szCs w:val="18"/>
          <w:color w:val="auto"/>
        </w:rPr>
        <w:t>—The Company’s performance obligations are generally satisfied over time as work progresses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continuous transfer of control to the customer and the Company has the right to bill the customer as costs are incurred. Typically, revenue is recognized over time using an input measure (i.e. costs incurred to date relative to total estimated costs at completion) to measure progress. The Company generally uses the cost-to-cost measure of progress method because it best depicts the transfer of control to the customer which occurs as the Company incurs costs on its contracts. Under the cost-to-cost measure of progress method, the extent of progress towards completion is measured based on the ratio of total costs incurred to-date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 The Company recognizes adjustments 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total loss in the period it is identified.</w:t>
      </w:r>
    </w:p>
    <w:p>
      <w:pPr>
        <w:spacing w:after="0" w:line="17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i w:val="1"/>
          <w:iCs w:val="1"/>
          <w:color w:val="auto"/>
        </w:rPr>
        <w:t>Right to invoice practical expedient</w:t>
      </w:r>
      <w:r>
        <w:rPr>
          <w:rFonts w:ascii="Arial" w:cs="Arial" w:eastAsia="Arial" w:hAnsi="Arial"/>
          <w:sz w:val="18"/>
          <w:szCs w:val="18"/>
          <w:color w:val="auto"/>
        </w:rPr>
        <w:t>—For performance obligations satisfied over time where the Company has a right to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 customer in an amount that corresponds directly with the value of the Company’s performance to-date, the Company recognizes revenue in the amount to which it has a right to invoice. For the Company’s reimbursable services contracts, revenue is recognized using the right to invoice practical expedient, or on a cost-to-cost measure of progress method. The Company will select the method that best represents progress on a project.</w:t>
      </w:r>
    </w:p>
    <w:p>
      <w:pPr>
        <w:spacing w:after="0" w:line="179"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i w:val="1"/>
          <w:iCs w:val="1"/>
          <w:color w:val="auto"/>
        </w:rPr>
        <w:t>Revenue recognized at a point in time</w:t>
      </w:r>
      <w:r>
        <w:rPr>
          <w:rFonts w:ascii="Arial" w:cs="Arial" w:eastAsia="Arial" w:hAnsi="Arial"/>
          <w:sz w:val="18"/>
          <w:szCs w:val="18"/>
          <w:color w:val="auto"/>
        </w:rPr>
        <w:t>—For performance obligations satisfied at a point in time, revenue is recognized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performed, control is transferred, and the performance obligation is complete. The Company recognizes revenue at a point in time for vehicle inspection services. Revenue related to the inspection service is recognized for each vehicle inspection at the point the Company has completed the inspection.</w:t>
      </w:r>
    </w:p>
    <w:p>
      <w:pPr>
        <w:spacing w:after="0" w:line="176"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In the Company’s industry, recognition of profit on long-term contracts requires the use of assumptions and estimates related to total contract revenue and in particular estimated claims revenue, total estimated cost at completion, and the measurement of progress towards completion. Estimates are continually evaluated as work progresses and are revised when necessary. When a change in estimate is determined to have an impact on contract profit, the Company records a positive or negative adjustment to the consolidated statements of income.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Cash Equivalents</w:t>
      </w:r>
    </w:p>
    <w:p>
      <w:pPr>
        <w:spacing w:after="0" w:line="103" w:lineRule="exact"/>
        <w:rPr>
          <w:sz w:val="20"/>
          <w:szCs w:val="20"/>
          <w:color w:val="auto"/>
        </w:rPr>
      </w:pPr>
    </w:p>
    <w:p>
      <w:pPr>
        <w:jc w:val="both"/>
        <w:ind w:right="220" w:firstLine="509"/>
        <w:spacing w:after="0" w:line="252" w:lineRule="auto"/>
        <w:rPr>
          <w:sz w:val="20"/>
          <w:szCs w:val="20"/>
          <w:color w:val="auto"/>
        </w:rPr>
      </w:pPr>
      <w:r>
        <w:rPr>
          <w:rFonts w:ascii="Arial" w:cs="Arial" w:eastAsia="Arial" w:hAnsi="Arial"/>
          <w:sz w:val="18"/>
          <w:szCs w:val="18"/>
          <w:color w:val="auto"/>
        </w:rPr>
        <w:t>The Company considers all highly liquid investments with original maturities of less than three months to be cash equivalents. Cash equivalent investments are carried at cost, which approximates fair value, and consist primarily of United States Treasuries, time deposits, and other forms of short-term fixed income investments.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Restricted Cash and Investments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cash and investments held in trust accounts represent collateral for certain incentive programs.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Accounts Receivable, Net</w:t>
      </w:r>
    </w:p>
    <w:p>
      <w:pPr>
        <w:spacing w:after="0" w:line="103"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Accounts receivable includes billed and unbilled amounts and are recognized in the period when the Company’s rights to receive consideration are unconditional.</w:t>
      </w:r>
    </w:p>
    <w:p>
      <w:pPr>
        <w:spacing w:after="0" w:line="153"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Company establishes an allowance for doubtful accounts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Past due receivable balances are written off when internal collection efforts have been unsuccessful in collecting the amounts due.</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103" w:lineRule="exact"/>
        <w:rPr>
          <w:sz w:val="20"/>
          <w:szCs w:val="20"/>
          <w:color w:val="auto"/>
        </w:rPr>
      </w:pPr>
    </w:p>
    <w:p>
      <w:pPr>
        <w:jc w:val="both"/>
        <w:ind w:right="80" w:firstLine="509"/>
        <w:spacing w:after="0" w:line="274" w:lineRule="auto"/>
        <w:rPr>
          <w:sz w:val="20"/>
          <w:szCs w:val="20"/>
          <w:color w:val="auto"/>
        </w:rPr>
      </w:pPr>
      <w:r>
        <w:rPr>
          <w:rFonts w:ascii="Arial" w:cs="Arial" w:eastAsia="Arial" w:hAnsi="Arial"/>
          <w:sz w:val="17"/>
          <w:szCs w:val="17"/>
          <w:color w:val="auto"/>
        </w:rPr>
        <w:t>Projects with performance obligations recognized over time that have revenue recognized to-date in excess of cumulative billings and unbilled accounts receivable are reported on our consolidated balance sheets as “Contract assets”. Contract retentions, included in contract assets, represent amounts withheld by clients, in accordance with underlying contract terms, until certain conditions are met or the project is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08" w:name="page109"/>
    <w:bookmarkEnd w:id="108"/>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color w:val="auto"/>
        </w:rPr>
        <w:t>completed. The operating cycle for certain long-term contracts may extend beyond one year, and, accordingly, collection of retainage on those contracts may extend beyond one year. Contract assets are reclassified to accounts receivable when the right to consideration becomes unconditional.</w:t>
      </w:r>
    </w:p>
    <w:p>
      <w:pPr>
        <w:spacing w:after="0" w:line="171"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Contract liabilities on uncompleted contracts represent the excess of cash collected from clients and billings to clients on contracts in advance of work performed over the amount of revenue recognized and provisions for losses. The majority of these amounts are expected to be earned within 12 months and are classified as current liabilities.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Concentration of Credit Risk</w:t>
      </w:r>
    </w:p>
    <w:p>
      <w:pPr>
        <w:spacing w:after="0" w:line="103"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cash equivalents and accounts receivables. The Company’s cash is primarily held with major banks and financial institutions throughout the world. At times, cash balances may be in excess of the amount insured.</w:t>
      </w:r>
    </w:p>
    <w:p>
      <w:pPr>
        <w:spacing w:after="0" w:line="17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Company is involved in a significant volume of contracts with the United States federal government and state and local governments. Approximately 55%, 53%, and 52% of consolidated revenues for the years ended December 31, 2023, December 31, 2022 and December 31, 2021, respectively, and approximately 18% and 17% of accounts receivable as of December 31, 2023 and December 31, 2022,respectively were derived from contracts with the United States federal government. No other customers represented 10% or more of consolidated revenues or accounts receivable in any of the periods presented.</w:t>
      </w:r>
    </w:p>
    <w:p>
      <w:pPr>
        <w:spacing w:after="0" w:line="179"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In order to mitigate the credit risk associated with customers, the Company performs periodic credit evaluations of its customers’ financial condition.</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Property and Equipment</w:t>
      </w:r>
    </w:p>
    <w:p>
      <w:pPr>
        <w:spacing w:after="0" w:line="103"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Property and equipment are stated at cost and are shown net of accumulated depreciation. Depreciation is computed using the straight-line method over the estimated useful lives of the assets. Depreciation of leasehold improvements is computed using the straight-line method over the shorter of their estimated useful lives or the remaining term of the lease.</w:t>
      </w:r>
    </w:p>
    <w:p>
      <w:pPr>
        <w:spacing w:after="0" w:line="17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cost of assets retired or otherwise disposed of and the related accumulated depreciation are eliminated from the accounts, and any gain or loss thereon is included in net income. Expenditures for maintenance and repairs are expensed as incurred. Property and equipment are reviewed for impairment when events or circumstances change that indicate they may not be recoverable. Impairment losses are recognized when estimated future cash flows expected to result from the use of the assets and their eventual disposition are less than their carrying amount, in which case the asset is written down to its fair value.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Leases</w:t>
      </w:r>
    </w:p>
    <w:p>
      <w:pPr>
        <w:spacing w:after="0" w:line="103" w:lineRule="exact"/>
        <w:rPr>
          <w:sz w:val="20"/>
          <w:szCs w:val="20"/>
          <w:color w:val="auto"/>
        </w:rPr>
      </w:pPr>
    </w:p>
    <w:p>
      <w:pPr>
        <w:jc w:val="both"/>
        <w:ind w:right="100" w:firstLine="509"/>
        <w:spacing w:after="0" w:line="252"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17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the Company’s leases do not provide an implicit rate, incremental borrowing rates are used based on the information available at commencement date 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right="320"/>
        <w:spacing w:after="0" w:line="252" w:lineRule="auto"/>
        <w:rPr>
          <w:sz w:val="20"/>
          <w:szCs w:val="20"/>
          <w:color w:val="auto"/>
        </w:rPr>
      </w:pPr>
      <w:r>
        <w:rPr>
          <w:rFonts w:ascii="Arial" w:cs="Arial" w:eastAsia="Arial" w:hAnsi="Arial"/>
          <w:sz w:val="18"/>
          <w:szCs w:val="18"/>
          <w:color w:val="auto"/>
        </w:rPr>
        <w:t>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have lease agreements with lease and non-lease components where the lease consideration is allocated between the components based on relative standalone prices. For real property leases, allocations of lease consideration between lease and non-lease components are immaterial.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Equity-Based Compensation</w:t>
      </w:r>
    </w:p>
    <w:p>
      <w:pPr>
        <w:spacing w:after="0" w:line="10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 measures the value of services received from employees and directors in exchange for an equity-based award based on the grant date fair value. The Company issues equity-based awards that settle in shares of the Company’s common stock. Awards containing performance measures are adjusted at each reporting period for the number of shares expected to be earned. Compensation cost for performance awards are trued-up at each reporting period for the number of shares expected to be earned pro-rated for the portion of the requisite service period rendered. The Company recognizes compensation costs for these awards on either a straight-line or accelerated basis over the vesting period of the award in selling, general and administrative expense in the consolidated statements of income. For awards that include market conditions, the grant date fair value is determined using a Monte Carlo simulation.</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Business Combinations</w:t>
      </w:r>
    </w:p>
    <w:p>
      <w:pPr>
        <w:spacing w:after="0" w:line="10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 accounts for business combinations using the acquisition method, under which the purchase price of an acquired company is allocated to the tangible and intangible assets acquired and the liabilities assumed on the basis of their fair values at the date of acquisition. Any excess of purchase price over the fair value of tangible and intangible assets acquired and liabilities assumed is allocated to goodwill. The determination of fair values of assets acquired and liabilities assumed requires the Company to make estimates and use valuation techniques when a market value is not readily available.</w:t>
      </w:r>
    </w:p>
    <w:p>
      <w:pPr>
        <w:spacing w:after="0" w:line="71"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In determining the fair value of acquired intangible assets from our business acquisitions, the Company uses the multi-period excess earnings method to value customer relationships and backlog and values developed technologies using the relief-from royalty method. The Company’s determination of the fair value of the intangible assets acquired involves the use of significant estimates and assumptions related to discount rates, revenue growth rates, projected margins, and customer revenue attrition rates.</w:t>
      </w:r>
    </w:p>
    <w:p>
      <w:pPr>
        <w:spacing w:after="0" w:line="6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Certain business acquisitions include contingent consideration. Contingent consideration is recorded at its fair value, using a Black-Scholes model, within other liabilities or other long-term liabilities, as appropriate. The fair value of contingent consideration involves the use of significant estimates and assumptions related to risks associated with earnout, i.e. risk in the underlying metric, risk in the earnout structure, counterparty credit risk, projected revenue, the revenue discount rate, the revenue volatility, and the Company's credit adjusted discount rate. Subsequent adjustments to these assumptions can cause changes to the measure of contingent consideration.</w:t>
      </w:r>
    </w:p>
    <w:p>
      <w:pPr>
        <w:spacing w:after="0" w:line="179"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The Company adjusts the preliminary purchase price allocation, as necessary, during the measurement period of up to one year after the acquisition closing date as the Company obtains more information as to facts and circumstances existing at the acquisition date. Acquisition-related costs are recognized separate from the acquisition and are expensed as incurred.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Consolidation of Joint Ventures and Variable Interest Entities</w:t>
      </w:r>
    </w:p>
    <w:p>
      <w:pPr>
        <w:spacing w:after="0" w:line="103" w:lineRule="exact"/>
        <w:rPr>
          <w:sz w:val="20"/>
          <w:szCs w:val="20"/>
          <w:color w:val="auto"/>
        </w:rPr>
      </w:pPr>
    </w:p>
    <w:p>
      <w:pPr>
        <w:ind w:firstLine="509"/>
        <w:spacing w:after="0" w:line="274" w:lineRule="auto"/>
        <w:rPr>
          <w:sz w:val="20"/>
          <w:szCs w:val="20"/>
          <w:color w:val="auto"/>
        </w:rPr>
      </w:pPr>
      <w:r>
        <w:rPr>
          <w:rFonts w:ascii="Arial" w:cs="Arial" w:eastAsia="Arial" w:hAnsi="Arial"/>
          <w:sz w:val="17"/>
          <w:szCs w:val="17"/>
          <w:color w:val="auto"/>
        </w:rPr>
        <w:t>The Company participates in joint ventures, which include partnerships and partially owned limited liability corporations, to bid, negotiate and complete specific projects. The Company is required to consolidate these joint ventures if it holds the majority voting interest or if the joint venture is determined to be a variable interest entity (“VIE”) for which the Company is the primary beneficiary, as described below.</w:t>
      </w:r>
    </w:p>
    <w:p>
      <w:pPr>
        <w:spacing w:after="0" w:line="153"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The Company’s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8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Company is considered the primary beneficiary and required to consolidate a VIE if it has the power to direct the activities that most significantly impact that VIE’s economic performance, and the obligation to absorb losses or the right to receive benefits of that VIE that could potentially be significant to the VIE. In determining whether the Company is the primary beneficiary,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and (6) reviewing the funding and operating agreements. Examples of significant activities currently being performed by the Company’s significant consolidated and unconsolidated joint ventures include engineering and design services; management consulting services; procurement and construction services; program management; construction management; and operations and maintenance services. If the Company determines that the power to direct the significant activities is shared by two or more joint venture parties, then there is no primary beneficiary and no party consolidates the VIE. In making the shared-power determination, the Company analyzes the key contractual terms, governance, related party and de facto agency as they are defined in the accounting standard, and other arrangements.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Goodwill</w:t>
      </w:r>
    </w:p>
    <w:p>
      <w:pPr>
        <w:spacing w:after="0" w:line="109" w:lineRule="exact"/>
        <w:rPr>
          <w:sz w:val="20"/>
          <w:szCs w:val="20"/>
          <w:color w:val="auto"/>
        </w:rPr>
      </w:pPr>
    </w:p>
    <w:p>
      <w:pPr>
        <w:jc w:val="both"/>
        <w:ind w:right="580" w:firstLine="509"/>
        <w:spacing w:after="0" w:line="234" w:lineRule="auto"/>
        <w:rPr>
          <w:sz w:val="20"/>
          <w:szCs w:val="20"/>
          <w:color w:val="auto"/>
        </w:rPr>
      </w:pPr>
      <w:r>
        <w:rPr>
          <w:rFonts w:ascii="Arial" w:cs="Arial" w:eastAsia="Arial" w:hAnsi="Arial"/>
          <w:sz w:val="17"/>
          <w:szCs w:val="17"/>
          <w:color w:val="auto"/>
        </w:rPr>
        <w:t>The Company performs a goodwill impairment test annually, on October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of each year and additionally, performs a quarterly qualitative assessment to address whether a triggering event has occurred that would require an impairment test in the interim period.</w:t>
      </w:r>
    </w:p>
    <w:p>
      <w:pPr>
        <w:spacing w:after="0" w:line="180"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For purposes of impairment testing, goodwill is allocated to the applicable reporting units based on the current reporting structure. Reporting units are operating segments or components of operating segments where discrete financial information is available and segment management regularly reviews the operating results. When evaluating goodwill for impairment, the Company may decide to first perform a qualitative assessment, or “step zero” impairment test, to determine whether it is more likely than not that impairment has occurred. If the Company does not perform a qualitative assessment, or if the Company determines that it is not more likely than not that the fair value of its reporting units exceeds their carrying amounts, the Company performs a quantitative assessment and calculates the estimated fair value of the respective reporting unit. If the carrying amount of a reporting unit exceeds its fair value, an impairment loss is recognized in the amount the carrying value exceeds its fair value, not to exceed the carrying amount of goodwill.</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Company’s decision to perform a qualitative impairment assessment in a given year is influenced by a number of factors, including the significance of the excess of the Company’s estimated fair value over carrying value at the last quantitative assessment date, the amount of time in between quantitative fair value assessments, and the date of its acquisitions, if any.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Intangible Assets</w:t>
      </w:r>
    </w:p>
    <w:p>
      <w:pPr>
        <w:spacing w:after="0" w:line="10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sixteen years. These primarily consist of customer relationships, developed technology, backlog, and covenants not to compete. When indicators of a potential impairment exist, the Company assesses the recoverability of the unamortized balance of its intangible assets by first comparing undiscounted expected cash flows associated with the asset, or the asset group they are part of, to its carrying value. Should the review indicate that the carrying value is not fully recoverable, the excess of the carrying value over the fair value of the intangible assets would be recognized as an impairment loss.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Income Taxes</w:t>
      </w:r>
    </w:p>
    <w:p>
      <w:pPr>
        <w:spacing w:after="0" w:line="10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Income taxes are accounted for under the asset and liability method. This approach requires the recognition of deferred tax liabilities and assets to reflect the tax effects of temporary differences between the financial statement carrying amounts and tax basis of the Company’s assets and liabilities. Deferred tax assets and liabilities are measured using enacted tax rates expected to be in effect when the asset or liability is recovered or settled. The effect of a change in tax rates on deferred tax assets and liabilities is recognized in income in the period that includes the enactment date. Deferred tax assets are evaluated for future realization and valuation allowances are established when, in our opinion, it is more likely than not that all or some portion of the asset will not be realized.</w:t>
      </w:r>
    </w:p>
    <w:p>
      <w:pPr>
        <w:spacing w:after="0" w:line="182"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on examination by the taxing authorities based on the technical merits of the position. The tax benefits recognized in the financial statements on a particular tax position are measured based on the largest benefit that is greater than 50 percent likely of being realized. The amount of unrecognized tax benefits (“UTB”) is adjusted as appropriate for changes in facts and circumstances, such as significant amendments to existing tax law, new regulations or interpretations by the taxing authorities, new information obtained during a tax examination, or resolution of an examination. The Company recognizes both accrued interest and penalties, where appropriate, related to UTBs in income tax expense.</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Foreign Currency Translation</w:t>
      </w:r>
    </w:p>
    <w:p>
      <w:pPr>
        <w:spacing w:after="0" w:line="10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Company’s reporting currency is the U.S. Dollar. The functional currency of the Company’s foreign entities is typically the currency of the primary environment in which they operate. For foreign entities whose functional currency is not the U.S. dollar, the assets and liabilities are translated based on exchange rates in effect at the balance sheet date, while the income and expense accounts are translated using the average exchange rates during the period. Translation gains or losses, net of income tax effects, are reflected in accumulated other comprehensive income on the consolidated balance sheets. Transaction gains and losses due to movements in exchange rates between the functional currency and the currency in which a foreign currency transaction is denominated are recognized as “Other income (expense), net” in the Company’s consolidated statements of income.</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Self-Insurance</w:t>
      </w:r>
    </w:p>
    <w:p>
      <w:pPr>
        <w:spacing w:after="0" w:line="10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Company typically utilizes third-party insurance subject to varying retention levels or self-insurance. The Company is self-insured for a portion of the losses and liabilities primarily associated with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workers’ compensation, general, professional, automobile, employee matters, certain medical plans, and project-specific liability claims. Losses are accrued based upon the Company’s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New Accounting Pronouncements</w:t>
      </w:r>
    </w:p>
    <w:p>
      <w:pPr>
        <w:spacing w:after="0" w:line="10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the fourth quarter of 2023, The Financial Accounting Standards Board ("FASB") Issued Accounting Standards Update (“ASU”) 2023-09, "Income Taxes (Topic 740)" ("ASU 2023-09"). ASU 2023-09 enhances the transparency and decision usefulness of income tax disclosures. The amendments in ASU 2023-09 addresses investor requests for more transparency about income tax information through improvements to income tax disclosures primarily related to the rate reconciliation and income taxes paid information. ASU 2023-09 also includes certain other amendments to improve the effectiveness of income tax disclosures. ASU 2023-09 is effective for fiscal years beginning after December 15, 2024. Early adoption is permitted. The adoption of this ASU will not have a material impact on the Company's consolidated financial statements.</w:t>
      </w:r>
    </w:p>
    <w:p>
      <w:pPr>
        <w:spacing w:after="0" w:line="75"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In the fourth quarter of 2023, The FASB Issued ASU 2023-07, "Segment Reporting (Topic 280)". ASU 2023-07 introduces enhanced disclosures about significant segment expenses along with other enhanced segment disclosures. ASU 2023-07 is effective for fiscal years beginning after December 15, 2023, and interim periods within fiscal years beginning after December 15, 2024. Early adoption is permitted. The adoption of this ASU will not have a material impact on the Company's consolidated financial statements.</w:t>
      </w:r>
    </w:p>
    <w:p>
      <w:pPr>
        <w:spacing w:after="0" w:line="6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During July 2023, the FASB Issued ASU 2023-03. ASU 2023-03 incorporates, into certain accounting standards, amendments to SEC paragraphs pursuant to SEC Staff Accounting Bulletin No. 120, SEC Staff Announcement at the March 24, 2022 EITF meeting, and Staff Accounting Bulletin Topic 6.B, Accounting Series Release 280—General Revisions of Regulation S-X: Income or Loss Applicable to Common Stock. These rules are effective immediately. The adoption of this ASU will not have a material impact on the Company's consolidated financial statements.</w:t>
      </w:r>
    </w:p>
    <w:p>
      <w:pPr>
        <w:spacing w:after="0" w:line="7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the first quarter of 2022, the Company early adopted ASU 2021-08, “Business Combinations (Topic 805) ("ASU 2021-08"): Accounting for Contract Assets and Contract Liabilities from Contracts with Customers”. The new guidance requires that the approach of ASC 606, Revenue from Contracts with Customers, should be used to measure an acquired revenue contract in a business combination. This guidance is to be applied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early adoption of ASU 2021-08 did not have a material impact on the Company's consolidated financial statements.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first quarter of 2021, the Company early adopted ASU 2020-06, "Debt – Debt with Conversion and Other Options (Subtopic 470-</w:t>
      </w:r>
    </w:p>
    <w:p>
      <w:pPr>
        <w:spacing w:after="0" w:line="13" w:lineRule="exact"/>
        <w:rPr>
          <w:sz w:val="20"/>
          <w:szCs w:val="20"/>
          <w:color w:val="auto"/>
        </w:rPr>
      </w:pPr>
    </w:p>
    <w:p>
      <w:pPr>
        <w:ind w:firstLine="8"/>
        <w:spacing w:after="0" w:line="237" w:lineRule="auto"/>
        <w:tabs>
          <w:tab w:leader="none" w:pos="31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and Derivatives and Hedging – Contracts in Entity’s Own Equity (Subtopic 815-40)" (“ASU 2020-06"). The update simplified the accounting for convertible debt instruments and convertible preferred stock by reducing the number of accounting models and limiting the number of embedded conversion features separately recognized from the primary contract. The guidance also included targeted improvements to the disclosures for convertible instruments and earnings per share. ASU 2020-06 was effective for fiscal years beginning after December 15, 2021, including interim periods within those fiscal years. Early adoption was permitted, but no earlier than fiscal years beginning after December 15, 2020. The Company adopted ASU 2020-06 in the first quarter of 2021 using the modified retrospective method which resulted in a reduction in non-cash interest expense and reclassification of the equity portion of the Convertible Senior Notes to “Long-term debt” on the Company's consolidated balance sheet.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13" w:name="page114"/>
    <w:bookmarkEnd w:id="113"/>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31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I.S. Engineers, LLC</w:t>
      </w:r>
    </w:p>
    <w:p>
      <w:pPr>
        <w:spacing w:after="0" w:line="103"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On October 31, 2023, the Company entered into a Membership Interest Purchase Agreement to acquired a 100% ownership interest in I.S. Engineers, LLC (“I.S. Engineers”), a privately-owned company, for $12.2 million in cash. Headquartered in Texas, I.S. Engineers provides full service consulting specializing in transportation engineering, including roads and highways, and program management. The acquisition was entirely funded by cash on-hand. In connection with this acquisition, the Company recognized $0.3 million of acquisition related “Selling, general and administrative expense” in the consolidated statements of income for the year ended December 31, 2023, including legal fees, consulting fees, and other miscellaneous direct expenses associated with the acquisition. The Company allocated the purchase price to the appropriate classes of tangible assets and liabilities and assigned the excess of $11.9 million entirely to goodwill. The entire value of goodwill was assigned to the Critical Infrastructure reporting unit and represents synergies expected to be realized from this business combination. No goodwill is deductible for income tax purposes. The amount of revenue generated by I.S. Engineers and included within consolidated revenues for 2023 is $1.0 million.</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Sealing Technologies, Inc.</w:t>
      </w:r>
    </w:p>
    <w:p>
      <w:pPr>
        <w:spacing w:after="0" w:line="10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 xml:space="preserve">On August 23, 2023, the Company acquired a 100% ownership interest in Sealing Technologies, Inc (“SealingTech”), a privately-owned company, for $179.3 million in cash and up to an additional $25 million in the event an earn out revenue target is exceeded. The Company borrowed $175 million under the Credit Agreement, as described in “Note 11 – </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to fund the acquisition. Headquartered in Maryland, SealingTech expands Parsons’ customer base across the Department of Defense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In connection with this acquisition, the Company recognized $3.3 million of acquisition-related expenses in “Selling, general and administrative expense” in the consolidated statements of income for the year ended December 31, 2023, including legal fees, consulting fees, and other miscellaneous direct expenses associated with the acquisition.</w:t>
      </w:r>
    </w:p>
    <w:p>
      <w:pPr>
        <w:spacing w:after="0" w:line="7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Company has agreed to pay the selling shareholders up to an additional $25 million in the event an earn out revenue target of $110 million is exceeded during the fiscal year ended December 31, 2024. The earn out payment due and payable by the Company to the selling shareholders shall be equal to (i) five-tenths (0.5), multiplied by (ii) the difference of (A) the actual earn out revenue minus (B) the earn out revenue target; provided, however, that in no event shall the earn out payment exceed $25 million. In the event that the earn out revenue is less than or equal to the earn out revenue target, the earn out payment shall be zero. The earn out payment, if any, shall be paid by the Company to the selling shareholders within 15 days following the date the earn out statement becomes final and binding on both parties. The fair value of the earn out (contingent consideration in the table below) was calculated using a Black-Scholes model. See "Note 2—</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Significant Accounting Policies" </w:t>
      </w:r>
      <w:r>
        <w:rPr>
          <w:rFonts w:ascii="Arial" w:cs="Arial" w:eastAsia="Arial" w:hAnsi="Arial"/>
          <w:sz w:val="18"/>
          <w:szCs w:val="18"/>
          <w:color w:val="auto"/>
        </w:rPr>
        <w:t>for further information on how the fair value of contingent consideration is determined.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acquisition date fair value of the purchase consideration transferred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at closing</w:t>
            </w: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179,259</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Fair value of contingent consideration to be achieved</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9"/>
                <w:szCs w:val="19"/>
                <w:color w:val="auto"/>
              </w:rPr>
            </w:pPr>
          </w:p>
        </w:tc>
      </w:tr>
      <w:tr>
        <w:trPr>
          <w:trHeight w:val="263"/>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purchase price</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182,490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120" w:firstLine="509"/>
        <w:spacing w:after="0" w:line="271" w:lineRule="auto"/>
        <w:rPr>
          <w:sz w:val="20"/>
          <w:szCs w:val="20"/>
          <w:color w:val="auto"/>
        </w:rPr>
      </w:pPr>
      <w:r>
        <w:rPr>
          <w:rFonts w:ascii="Arial" w:cs="Arial" w:eastAsia="Arial" w:hAnsi="Arial"/>
          <w:sz w:val="18"/>
          <w:szCs w:val="18"/>
          <w:color w:val="auto"/>
        </w:rPr>
        <w:t>The estimated fair value of the SealingTech contingent consideration as of December 31, 2023 is $2.3 million, a $0.9 million decrease from the quarter ended September 30, 2023. The change in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4" w:name="page115"/>
    <w:bookmarkEnd w:id="11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was recorded to "other income (expense), net" in the consolidated financial statements.</w:t>
      </w:r>
    </w:p>
    <w:p>
      <w:pPr>
        <w:spacing w:after="0" w:line="103"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90,593</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(15,987 )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(2,408 )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(668 )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(418 )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(1,418 )</w:t>
            </w:r>
          </w:p>
        </w:tc>
      </w:tr>
      <w:tr>
        <w:trPr>
          <w:trHeight w:val="263"/>
        </w:trPr>
        <w:tc>
          <w:tcPr>
            <w:tcW w:w="9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179,259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1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7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technologies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80" w:lineRule="exact"/>
        <w:rPr>
          <w:sz w:val="20"/>
          <w:szCs w:val="20"/>
          <w:color w:val="auto"/>
        </w:rPr>
      </w:pPr>
    </w:p>
    <w:p>
      <w:pPr>
        <w:jc w:val="both"/>
        <w:ind w:right="480" w:firstLine="509"/>
        <w:spacing w:after="0" w:line="252" w:lineRule="auto"/>
        <w:rPr>
          <w:sz w:val="20"/>
          <w:szCs w:val="20"/>
          <w:color w:val="auto"/>
        </w:rPr>
      </w:pPr>
      <w:r>
        <w:rPr>
          <w:rFonts w:ascii="Arial" w:cs="Arial" w:eastAsia="Arial" w:hAnsi="Arial"/>
          <w:sz w:val="18"/>
          <w:szCs w:val="18"/>
          <w:color w:val="auto"/>
        </w:rPr>
        <w:t>Amortization expense of $7.0 million related to these intangible assets was recorded for the year ended December 31, 2023. The entire value of goodwill was assigned to the Federal Solutions reporting unit and represents synergies expected to be realized from this business combination. The entire value of goodwill is deductible for tax purposes.</w:t>
      </w:r>
    </w:p>
    <w:p>
      <w:pPr>
        <w:spacing w:after="0" w:line="63" w:lineRule="exact"/>
        <w:rPr>
          <w:sz w:val="20"/>
          <w:szCs w:val="20"/>
          <w:color w:val="auto"/>
        </w:rPr>
      </w:pPr>
    </w:p>
    <w:p>
      <w:pPr>
        <w:ind w:right="280" w:firstLine="509"/>
        <w:spacing w:after="0" w:line="252" w:lineRule="auto"/>
        <w:rPr>
          <w:sz w:val="20"/>
          <w:szCs w:val="20"/>
          <w:color w:val="auto"/>
        </w:rPr>
      </w:pPr>
      <w:r>
        <w:rPr>
          <w:rFonts w:ascii="Arial" w:cs="Arial" w:eastAsia="Arial" w:hAnsi="Arial"/>
          <w:sz w:val="18"/>
          <w:szCs w:val="18"/>
          <w:color w:val="auto"/>
        </w:rPr>
        <w:t>The amount of revenue generated by SealingTech and included within consolidated revenue is $34.1 million for the year ended December 31, 2023. The Company has determined that the presentation of net income from the date of acquisition is impracticable due to the integration of general corporate functions upon acquisition.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net assets acquired.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3"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SealingTech acquisition had been consummated as of the beginning of fiscal year 2022 (in thousands)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82"/>
        </w:trPr>
        <w:tc>
          <w:tcPr>
            <w:tcW w:w="6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jc w:val="right"/>
              <w:ind w:right="519"/>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5,525,099</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4,262,525</w:t>
            </w:r>
          </w:p>
        </w:tc>
        <w:tc>
          <w:tcPr>
            <w:tcW w:w="100" w:type="dxa"/>
            <w:vAlign w:val="bottom"/>
            <w:shd w:val="clear" w:color="auto" w:fill="CFF0FC"/>
          </w:tcPr>
          <w:p>
            <w:pPr>
              <w:spacing w:after="0"/>
              <w:rPr>
                <w:sz w:val="19"/>
                <w:szCs w:val="19"/>
                <w:color w:val="auto"/>
              </w:rPr>
            </w:pPr>
          </w:p>
        </w:tc>
      </w:tr>
      <w:tr>
        <w:trPr>
          <w:trHeight w:val="239"/>
        </w:trPr>
        <w:tc>
          <w:tcPr>
            <w:tcW w:w="684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3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216,157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107,937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15" w:name="page116"/>
    <w:bookmarkEnd w:id="11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IPKeys Power Partners</w:t>
      </w:r>
    </w:p>
    <w:p>
      <w:pPr>
        <w:spacing w:after="0" w:line="10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in cash.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acquisition was entirely funded by cash on-hand. In connection with this acquisition, the Company recognized $0.6 million of acquisition-related expenses in “Selling, general and administrative expense” in the consolidated statements of income for the year ended December 31, 2023, respectively, including legal fees, consulting fees, and other miscellaneous direct expenses associated with the acquisition.</w:t>
      </w:r>
    </w:p>
    <w:p>
      <w:pPr>
        <w:spacing w:after="0" w:line="77"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22,407</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(541 )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(1,768 )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(1,936 )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(343 )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(3,713 )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(762 )</w:t>
            </w:r>
          </w:p>
        </w:tc>
      </w:tr>
      <w:tr>
        <w:trPr>
          <w:trHeight w:val="223"/>
        </w:trPr>
        <w:tc>
          <w:tcPr>
            <w:tcW w:w="918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43,039</w:t>
            </w:r>
          </w:p>
        </w:tc>
        <w:tc>
          <w:tcPr>
            <w:tcW w:w="100" w:type="dxa"/>
            <w:vAlign w:val="bottom"/>
            <w:tcBorders>
              <w:top w:val="single" w:sz="8" w:color="CFF0FC"/>
            </w:tcBorders>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9"/>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19"/>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7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0"/>
                <w:szCs w:val="10"/>
                <w:color w:val="auto"/>
              </w:rPr>
              <w:t>(1)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Developed technologies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r>
    </w:tbl>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The acquired business is a SaaS commercial business. Backlog for this type of business is included as customer relationships.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Amortization expense of $1.4 million related to these intangible assets was recorded for the year ended December 31, 2023. The entire value of goodwill was assigned to the Critical Infrastructure reporting unit and represents synergies expected to be realized from this business combination. $0.9 million of goodwill is deductible for tax purposes.</w:t>
      </w:r>
    </w:p>
    <w:p>
      <w:pPr>
        <w:spacing w:after="0" w:line="63" w:lineRule="exact"/>
        <w:rPr>
          <w:sz w:val="20"/>
          <w:szCs w:val="20"/>
          <w:color w:val="auto"/>
        </w:rPr>
      </w:pPr>
    </w:p>
    <w:p>
      <w:pPr>
        <w:ind w:right="280" w:firstLine="509"/>
        <w:spacing w:after="0" w:line="252" w:lineRule="auto"/>
        <w:rPr>
          <w:sz w:val="20"/>
          <w:szCs w:val="20"/>
          <w:color w:val="auto"/>
        </w:rPr>
      </w:pPr>
      <w:r>
        <w:rPr>
          <w:rFonts w:ascii="Arial" w:cs="Arial" w:eastAsia="Arial" w:hAnsi="Arial"/>
          <w:sz w:val="18"/>
          <w:szCs w:val="18"/>
          <w:color w:val="auto"/>
        </w:rPr>
        <w:t>The amount of revenue generated by IPKeys and included within consolidated revenue is $9.3 million for the year ended December 31, 2023. The Company has determined that the presentation of net income from the date of acquisition is impracticable due to the integration of general corporate functions upon acquisition.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3"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IPKeys acquisition had been consummated as of the beginning of fiscal year 2022 (in thousands)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82"/>
        </w:trPr>
        <w:tc>
          <w:tcPr>
            <w:tcW w:w="6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jc w:val="right"/>
              <w:ind w:right="519"/>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5,445,604</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4,207,967</w:t>
            </w:r>
          </w:p>
        </w:tc>
        <w:tc>
          <w:tcPr>
            <w:tcW w:w="100" w:type="dxa"/>
            <w:vAlign w:val="bottom"/>
            <w:shd w:val="clear" w:color="auto" w:fill="CFF0FC"/>
          </w:tcPr>
          <w:p>
            <w:pPr>
              <w:spacing w:after="0"/>
              <w:rPr>
                <w:sz w:val="19"/>
                <w:szCs w:val="19"/>
                <w:color w:val="auto"/>
              </w:rPr>
            </w:pPr>
          </w:p>
        </w:tc>
      </w:tr>
      <w:tr>
        <w:trPr>
          <w:trHeight w:val="239"/>
        </w:trPr>
        <w:tc>
          <w:tcPr>
            <w:tcW w:w="684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3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209,773</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123,257</w:t>
            </w:r>
          </w:p>
        </w:tc>
        <w:tc>
          <w:tcPr>
            <w:tcW w:w="100" w:type="dxa"/>
            <w:vAlign w:val="bottom"/>
          </w:tcPr>
          <w:p>
            <w:pPr>
              <w:spacing w:after="0"/>
              <w:rPr>
                <w:sz w:val="20"/>
                <w:szCs w:val="20"/>
                <w:color w:val="auto"/>
              </w:rPr>
            </w:pPr>
          </w:p>
        </w:tc>
      </w:tr>
    </w:tbl>
    <w:p>
      <w:pPr>
        <w:spacing w:after="0" w:line="80"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Xator Corporation</w:t>
      </w:r>
    </w:p>
    <w:p>
      <w:pPr>
        <w:spacing w:after="0" w:line="103"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 xml:space="preserve">On May 31, 2022, the Company acquired a 100% ownership interest in Xator Corporation (“Xator”), a privately-owned company, for $387.5 million in cash. The Company borrowed $300 million under the Credit Agreement, as described in “Note 11 – </w:t>
      </w:r>
      <w:r>
        <w:rPr>
          <w:rFonts w:ascii="Arial" w:cs="Arial" w:eastAsia="Arial" w:hAnsi="Arial"/>
          <w:sz w:val="18"/>
          <w:szCs w:val="18"/>
          <w:i w:val="1"/>
          <w:iCs w:val="1"/>
          <w:color w:val="auto"/>
        </w:rPr>
        <w:t>Debt and 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 to partially fund the acquisition. Xator expands Parsons’ customer base and brings differentiated technical capabilities in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protection, counter-unmanned aircraft systems (cUAS), intelligence and cyber solutions, biometrics, and global threat assessment and operations. In connection with this acquisition, the Company recognized $7.7 million of acquisition-related expenses in “Selling, general and administrative expense” in the consolidated statements of income for the year ended December 31, 2022, including legal fees, consulting fees, and other miscellaneous direct expenses associated with the acquisition.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7" w:name="page118"/>
    <w:bookmarkEnd w:id="117"/>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8,935</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24,332</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257,934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Investments in and advances to unconsolidated joint ventures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123,500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(6,626 )</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(31,309 )</w:t>
            </w: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(2,631 )</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3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(2,371 )</w:t>
            </w: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(5,146 )</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(9,156 )</w:t>
            </w:r>
          </w:p>
        </w:tc>
      </w:tr>
      <w:tr>
        <w:trPr>
          <w:trHeight w:val="263"/>
        </w:trPr>
        <w:tc>
          <w:tcPr>
            <w:tcW w:w="92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assets acquired</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387,540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1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7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Developed technologies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Non-compete agreements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r>
    </w:tbl>
    <w:p>
      <w:pPr>
        <w:spacing w:after="0" w:line="224"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Amortization expense of $18.1 million and $11.9 million related to these intangible assets was recorded for the year ended December 31, 2023 and December 31, 2022, respectively. The entire value of goodwill was assigned to the Federal Solutions reporting unit and represents synergies expected to be realized from this business combination. Goodwill in its entirety is deductible for tax purposes.</w:t>
      </w:r>
    </w:p>
    <w:p>
      <w:pPr>
        <w:spacing w:after="0" w:line="171"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color w:val="auto"/>
        </w:rPr>
        <w:t>The amount of revenue generated by Xator and included within consolidated revenue is $157.8 million for the year ended December 31, 2022. The Company has determined that the presentation of net income from the date of acquisition is impracticable due to the integration of general corporate functions upon acquisition.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3"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Xator acquisition had been consummated as of the beginning of fiscal year 2021 (in thousands)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82"/>
        </w:trPr>
        <w:tc>
          <w:tcPr>
            <w:tcW w:w="6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jc w:val="right"/>
              <w:ind w:right="519"/>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4,302,448</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3,949,562</w:t>
            </w:r>
          </w:p>
        </w:tc>
        <w:tc>
          <w:tcPr>
            <w:tcW w:w="100" w:type="dxa"/>
            <w:vAlign w:val="bottom"/>
            <w:shd w:val="clear" w:color="auto" w:fill="CFF0FC"/>
          </w:tcPr>
          <w:p>
            <w:pPr>
              <w:spacing w:after="0"/>
              <w:rPr>
                <w:sz w:val="19"/>
                <w:szCs w:val="19"/>
                <w:color w:val="auto"/>
              </w:rPr>
            </w:pPr>
          </w:p>
        </w:tc>
      </w:tr>
      <w:tr>
        <w:trPr>
          <w:trHeight w:val="239"/>
        </w:trPr>
        <w:tc>
          <w:tcPr>
            <w:tcW w:w="684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3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139,901</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91,770</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18" w:name="page119"/>
    <w:bookmarkEnd w:id="118"/>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 From the year ended December 31, 2022 the results of the acquisition have been included in full year results.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BlackHorse Solutions, Inc.</w:t>
      </w:r>
    </w:p>
    <w:p>
      <w:pPr>
        <w:spacing w:after="0" w:line="10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On July 6, 2021, the Company acquired a 100% ownership interest in BlackHorse Solutions, Inc (“BlackHorse”), a privately-owned company, for $205.0 million paid in cash. BlackHorse expands Parsons’ capabilities and products in next-generation military, intelligence, and space operations, specifically in cyber electronic warfare and information dominance. The acquisition was entirely funded by cash on-hand. In connection with this acquisition, the Company recognized $3.1 million of acquisition-related expenses in “Selling, general and administrative expense” in the consolidated statements of income for the year ended December 31, 2021, including legal fees, consulting fees, and other miscellaneous direct expenses associated with the acquisition.</w:t>
      </w:r>
    </w:p>
    <w:p>
      <w:pPr>
        <w:spacing w:after="0" w:line="182"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date of acquisition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15,428</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5,979</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143,086</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(2,326 )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(17,190 )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(1,011 )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(5,146 )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(10,916 )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(235 )</w:t>
            </w:r>
          </w:p>
        </w:tc>
      </w:tr>
      <w:tr>
        <w:trPr>
          <w:trHeight w:val="223"/>
        </w:trPr>
        <w:tc>
          <w:tcPr>
            <w:tcW w:w="918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205,033</w:t>
            </w:r>
          </w:p>
        </w:tc>
        <w:tc>
          <w:tcPr>
            <w:tcW w:w="100" w:type="dxa"/>
            <w:vAlign w:val="bottom"/>
            <w:tcBorders>
              <w:top w:val="single" w:sz="8" w:color="CFF0FC"/>
            </w:tcBorders>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37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1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37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37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2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4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Backlog</w:t>
            </w:r>
          </w:p>
        </w:tc>
        <w:tc>
          <w:tcPr>
            <w:tcW w:w="3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3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Developed technologies</w:t>
            </w:r>
          </w:p>
        </w:tc>
        <w:tc>
          <w:tcPr>
            <w:tcW w:w="3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Non-compete agreements</w:t>
            </w:r>
          </w:p>
        </w:tc>
        <w:tc>
          <w:tcPr>
            <w:tcW w:w="4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881"/>
        </w:trPr>
        <w:tc>
          <w:tcPr>
            <w:tcW w:w="3760" w:type="dxa"/>
            <w:vAlign w:val="bottom"/>
          </w:tcPr>
          <w:p>
            <w:pPr>
              <w:spacing w:after="0"/>
              <w:rPr>
                <w:sz w:val="24"/>
                <w:szCs w:val="24"/>
                <w:color w:val="auto"/>
              </w:rPr>
            </w:pPr>
          </w:p>
        </w:tc>
        <w:tc>
          <w:tcPr>
            <w:tcW w:w="4180" w:type="dxa"/>
            <w:vAlign w:val="bottom"/>
            <w:gridSpan w:val="2"/>
          </w:tcPr>
          <w:p>
            <w:pPr>
              <w:jc w:val="right"/>
              <w:ind w:right="2140"/>
              <w:spacing w:after="0"/>
              <w:rPr>
                <w:sz w:val="20"/>
                <w:szCs w:val="20"/>
                <w:color w:val="auto"/>
              </w:rPr>
            </w:pPr>
            <w:r>
              <w:rPr>
                <w:rFonts w:ascii="Arial" w:cs="Arial" w:eastAsia="Arial" w:hAnsi="Arial"/>
                <w:sz w:val="18"/>
                <w:szCs w:val="18"/>
                <w:color w:val="auto"/>
              </w:rPr>
              <w:t>F-26</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18"/>
        </w:trPr>
        <w:tc>
          <w:tcPr>
            <w:tcW w:w="37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Amortization expense of $14.0 million and $5.4 million related to these intangible assets was recorded for the year ended December 31, 2022 and December 31, 2021, respectively. The entire value of goodwill of $143.1 million was assigned to the Federal Solutions reporting unit and represents synergies expected to be realized from this business combination. Goodwill of $10.6 million is deductible for tax purposes.</w:t>
      </w:r>
    </w:p>
    <w:p>
      <w:pPr>
        <w:spacing w:after="0" w:line="176" w:lineRule="exact"/>
        <w:rPr>
          <w:sz w:val="20"/>
          <w:szCs w:val="20"/>
          <w:color w:val="auto"/>
        </w:rPr>
      </w:pPr>
    </w:p>
    <w:p>
      <w:pPr>
        <w:ind w:right="280" w:firstLine="509"/>
        <w:spacing w:after="0" w:line="252" w:lineRule="auto"/>
        <w:rPr>
          <w:sz w:val="20"/>
          <w:szCs w:val="20"/>
          <w:color w:val="auto"/>
        </w:rPr>
      </w:pPr>
      <w:r>
        <w:rPr>
          <w:rFonts w:ascii="Arial" w:cs="Arial" w:eastAsia="Arial" w:hAnsi="Arial"/>
          <w:sz w:val="18"/>
          <w:szCs w:val="18"/>
          <w:color w:val="auto"/>
        </w:rPr>
        <w:t>The amount of revenue generated by BlackHorse and included within consolidated revenues was $35.3 million for the year ended December 31, 2021. The Company has determined that the presentation of net income from the date of acquisition is impracticable due to the integration of general corporate functions upon acquisition.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information on an unaudited pro forma basis, as if the acquisition closed as of the beginning of the fiscal year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82"/>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319"/>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3,699,227</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3,966,809</w:t>
            </w:r>
          </w:p>
        </w:tc>
        <w:tc>
          <w:tcPr>
            <w:tcW w:w="100" w:type="dxa"/>
            <w:vAlign w:val="bottom"/>
            <w:shd w:val="clear" w:color="auto" w:fill="CFF0FC"/>
          </w:tcPr>
          <w:p>
            <w:pPr>
              <w:spacing w:after="0"/>
              <w:rPr>
                <w:sz w:val="19"/>
                <w:szCs w:val="19"/>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93,592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108,008</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 From the year ended December 31, 2021 the results of the acquisition have been included in full year results.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Echo Ridge LLC</w:t>
      </w:r>
    </w:p>
    <w:p>
      <w:pPr>
        <w:spacing w:after="0" w:line="103"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On July 30, 2021, the Company acquired a 100% ownership interest in Echo Ridge LLC (“Echo Ridge”), a privately-owned company, for $9.0 million in cash. Echo Ridge adds position, navigation, and timing devices; modeling, simulation, test, and measurement tools; and deployable software defined radio products and signal processing services to Parsons’ space portfolio. The acquisition was entirely funded by cash on-hand. In connection with this acquisition, the Company recognized $0.3 million of acquisition related “Selling, general and administrative expense” in the consolidated statements of income for the year ended December 31, 2021, including legal fees, consulting fees, and other miscellaneous direct expenses associated with the acquisition. The Company allocated the purchase price to the appropriate classes of tangible assets and liabilities and assigned the excess of $7.2 million entirely to goodwill. The entire value of goodwill was assigned to the Federal Solutions reporting unit and represents synergies expected to be realized from this business combination. Goodwill in its entirety is deductible for tax purposes. The amount of revenue generated by Echo Ridge and included within consolidated revenues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2021 was $2.9 million.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0" w:name="page121"/>
    <w:bookmarkEnd w:id="120"/>
    <w:p>
      <w:pPr>
        <w:jc w:val="center"/>
        <w:ind w:right="10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0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right="8460" w:hanging="512"/>
        <w:spacing w:after="0" w:line="380" w:lineRule="auto"/>
        <w:tabs>
          <w:tab w:leader="none" w:pos="521"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Contracts with Customers </w:t>
      </w:r>
      <w:r>
        <w:rPr>
          <w:rFonts w:ascii="Arial" w:cs="Arial" w:eastAsia="Arial" w:hAnsi="Arial"/>
          <w:sz w:val="17"/>
          <w:szCs w:val="17"/>
          <w:b w:val="1"/>
          <w:bCs w:val="1"/>
          <w:i w:val="1"/>
          <w:iCs w:val="1"/>
          <w:color w:val="auto"/>
        </w:rPr>
        <w:t>Disaggregation of Revenue</w:t>
      </w:r>
    </w:p>
    <w:p>
      <w:pPr>
        <w:spacing w:after="0" w:line="1" w:lineRule="exact"/>
        <w:rPr>
          <w:sz w:val="20"/>
          <w:szCs w:val="20"/>
          <w:color w:val="auto"/>
        </w:rPr>
      </w:pPr>
    </w:p>
    <w:p>
      <w:pPr>
        <w:ind w:right="400" w:firstLine="509"/>
        <w:spacing w:after="0" w:line="301" w:lineRule="auto"/>
        <w:rPr>
          <w:sz w:val="20"/>
          <w:szCs w:val="20"/>
          <w:color w:val="auto"/>
        </w:rPr>
      </w:pPr>
      <w:r>
        <w:rPr>
          <w:rFonts w:ascii="Arial" w:cs="Arial" w:eastAsia="Arial" w:hAnsi="Arial"/>
          <w:sz w:val="17"/>
          <w:szCs w:val="17"/>
          <w:color w:val="auto"/>
        </w:rPr>
        <w:t>The Company’s contracts contain both fixed price and cost reimbursable components. Contract types are based on the component that represents the majority of the contract. The following table presents revenue disaggregated by contract type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Fixed-price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1,810,499</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1,138,482</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964,927</w:t>
            </w:r>
          </w:p>
        </w:tc>
        <w:tc>
          <w:tcPr>
            <w:tcW w:w="100" w:type="dxa"/>
            <w:vAlign w:val="bottom"/>
            <w:shd w:val="clear" w:color="auto" w:fill="CFF0FC"/>
          </w:tcPr>
          <w:p>
            <w:pPr>
              <w:spacing w:after="0"/>
              <w:rPr>
                <w:sz w:val="19"/>
                <w:szCs w:val="19"/>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1,352,871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1,166,548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1,021,568</w:t>
            </w:r>
          </w:p>
        </w:tc>
        <w:tc>
          <w:tcPr>
            <w:tcW w:w="100" w:type="dxa"/>
            <w:vAlign w:val="bottom"/>
          </w:tcPr>
          <w:p>
            <w:pPr>
              <w:spacing w:after="0"/>
              <w:rPr>
                <w:sz w:val="19"/>
                <w:szCs w:val="19"/>
                <w:color w:val="auto"/>
              </w:rPr>
            </w:pPr>
          </w:p>
        </w:tc>
      </w:tr>
      <w:tr>
        <w:trPr>
          <w:trHeight w:val="22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Cost-plus</w:t>
            </w: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2,279,379</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1,890,242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1,674,276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6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5,442,749</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4,195,272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3,660,771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4697095</wp:posOffset>
            </wp:positionH>
            <wp:positionV relativeFrom="paragraph">
              <wp:posOffset>-161925</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-161925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20—</w:t>
      </w:r>
      <w:r>
        <w:rPr>
          <w:rFonts w:ascii="Arial" w:cs="Arial" w:eastAsia="Arial" w:hAnsi="Arial"/>
          <w:sz w:val="18"/>
          <w:szCs w:val="18"/>
          <w:i w:val="1"/>
          <w:iCs w:val="1"/>
          <w:color w:val="auto"/>
        </w:rPr>
        <w:t>Segments Information</w:t>
      </w:r>
      <w:r>
        <w:rPr>
          <w:rFonts w:ascii="Arial" w:cs="Arial" w:eastAsia="Arial" w:hAnsi="Arial"/>
          <w:sz w:val="18"/>
          <w:szCs w:val="18"/>
          <w:color w:val="auto"/>
        </w:rPr>
        <w:t>” for the Company’s revenues by business lines.</w:t>
      </w:r>
    </w:p>
    <w:p>
      <w:pPr>
        <w:spacing w:after="0" w:line="3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assets and contract liabilities balances at December 31, 2023 and December 31, 2022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vMerge w:val="restart"/>
          </w:tcPr>
          <w:p>
            <w:pPr>
              <w:ind w:left="20"/>
              <w:spacing w:after="0"/>
              <w:rPr>
                <w:sz w:val="20"/>
                <w:szCs w:val="20"/>
                <w:color w:val="auto"/>
              </w:rPr>
            </w:pPr>
            <w:r>
              <w:rPr>
                <w:rFonts w:ascii="Arial" w:cs="Arial" w:eastAsia="Arial" w:hAnsi="Arial"/>
                <w:sz w:val="18"/>
                <w:szCs w:val="18"/>
                <w:color w:val="auto"/>
              </w:rPr>
              <w:t>Contract assets</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757,515</w:t>
            </w:r>
          </w:p>
        </w:tc>
        <w:tc>
          <w:tcPr>
            <w:tcW w:w="66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634,033</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123,482</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301,107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213,064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88,043</w:t>
            </w:r>
          </w:p>
        </w:tc>
        <w:tc>
          <w:tcPr>
            <w:tcW w:w="2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8"/>
                <w:szCs w:val="18"/>
                <w:color w:val="auto"/>
              </w:rPr>
              <w:t>Net contract assets (liabilities) (1)</w:t>
            </w: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456,408</w:t>
            </w:r>
          </w:p>
        </w:tc>
        <w:tc>
          <w:tcPr>
            <w:tcW w:w="26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420,969</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35,439</w:t>
            </w:r>
          </w:p>
        </w:tc>
        <w:tc>
          <w:tcPr>
            <w:tcW w:w="2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4" w:lineRule="exact"/>
        <w:rPr>
          <w:sz w:val="20"/>
          <w:szCs w:val="20"/>
          <w:color w:val="auto"/>
        </w:rPr>
      </w:pPr>
    </w:p>
    <w:p>
      <w:pPr>
        <w:ind w:left="520" w:right="160" w:hanging="512"/>
        <w:spacing w:after="0" w:line="241" w:lineRule="auto"/>
        <w:tabs>
          <w:tab w:leader="none" w:pos="4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$73.8 million as of December 31, 2023, of which $32.1 million are not expected to be paid in 2024. Total contract retentions included in net contract assets (liabilities) were $73.5 million as of December 31, 2022. Contract assets at December 31, 2023 and December 31, 2022 include approximately $109.5 million and $127.9 million, respectively, related to net claim recovery estimates. For the years ended December 31, 2023 and December 31, 2022, there were no material losses recognized related to the collectability of claims, unapproved change orders, and requests for equitable adjustment.</w:t>
      </w:r>
    </w:p>
    <w:p>
      <w:pPr>
        <w:spacing w:after="0" w:line="182"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During the years ended December 31, 2023 and December 31, 2022, the Company recognized revenue of approximately $126.0 million and $94.1 million, respectively, that was included in the corresponding contract liability balance at December 31, 2022 and December 31, 2021, respectively. Certain changes in contract assets and contract liabilities consisted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December 31, 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223"/>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contract assets</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25,397</w:t>
            </w:r>
          </w:p>
        </w:tc>
        <w:tc>
          <w:tcPr>
            <w:tcW w:w="100" w:type="dxa"/>
            <w:vAlign w:val="bottom"/>
            <w:shd w:val="clear" w:color="auto" w:fill="CFF0FC"/>
          </w:tcPr>
          <w:p>
            <w:pPr>
              <w:spacing w:after="0"/>
              <w:rPr>
                <w:sz w:val="19"/>
                <w:szCs w:val="19"/>
                <w:color w:val="auto"/>
              </w:rPr>
            </w:pPr>
          </w:p>
        </w:tc>
      </w:tr>
      <w:tr>
        <w:trPr>
          <w:trHeight w:val="239"/>
        </w:trPr>
        <w:tc>
          <w:tcPr>
            <w:tcW w:w="6740" w:type="dxa"/>
            <w:vAlign w:val="bottom"/>
          </w:tcPr>
          <w:p>
            <w:pPr>
              <w:ind w:left="20"/>
              <w:spacing w:after="0"/>
              <w:rPr>
                <w:sz w:val="20"/>
                <w:szCs w:val="20"/>
                <w:color w:val="auto"/>
              </w:rPr>
            </w:pPr>
            <w:r>
              <w:rPr>
                <w:rFonts w:ascii="Arial" w:cs="Arial" w:eastAsia="Arial" w:hAnsi="Arial"/>
                <w:sz w:val="18"/>
                <w:szCs w:val="18"/>
                <w:color w:val="auto"/>
              </w:rPr>
              <w:t>Acquired contract liabilities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3,155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There was no significant impairment of contract assets recognized during the years ended December 31, 2023 and December 31,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93"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Revisions in estimates, such as changes in estimated claims or incentives, related to performance obligations partially satisfied in previous periods that individually had an impact of $5 million or more on revenue resulted in the following changes in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40" w:type="dxa"/>
            <w:vAlign w:val="bottom"/>
          </w:tcPr>
          <w:p>
            <w:pPr>
              <w:jc w:val="right"/>
              <w:ind w:right="73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860" w:type="dxa"/>
            <w:vAlign w:val="bottom"/>
          </w:tcPr>
          <w:p>
            <w:pPr>
              <w:jc w:val="right"/>
              <w:ind w:right="1199"/>
              <w:spacing w:after="0"/>
              <w:rPr>
                <w:sz w:val="20"/>
                <w:szCs w:val="20"/>
                <w:color w:val="auto"/>
              </w:rPr>
            </w:pPr>
            <w:r>
              <w:rPr>
                <w:rFonts w:ascii="Arial" w:cs="Arial" w:eastAsia="Arial" w:hAnsi="Arial"/>
                <w:sz w:val="14"/>
                <w:szCs w:val="14"/>
                <w:b w:val="1"/>
                <w:bCs w:val="1"/>
                <w:color w:val="auto"/>
              </w:rPr>
              <w:t>2022</w:t>
            </w:r>
          </w:p>
        </w:tc>
        <w:tc>
          <w:tcPr>
            <w:tcW w:w="1320" w:type="dxa"/>
            <w:vAlign w:val="bottom"/>
          </w:tcPr>
          <w:p>
            <w:pPr>
              <w:jc w:val="right"/>
              <w:ind w:right="659"/>
              <w:spacing w:after="0"/>
              <w:rPr>
                <w:sz w:val="20"/>
                <w:szCs w:val="20"/>
                <w:color w:val="auto"/>
              </w:rPr>
            </w:pPr>
            <w:r>
              <w:rPr>
                <w:rFonts w:ascii="Arial" w:cs="Arial" w:eastAsia="Arial" w:hAnsi="Arial"/>
                <w:sz w:val="14"/>
                <w:szCs w:val="14"/>
                <w:b w:val="1"/>
                <w:bCs w:val="1"/>
                <w:color w:val="auto"/>
              </w:rPr>
              <w:t>2021</w:t>
            </w:r>
          </w:p>
        </w:tc>
      </w:tr>
      <w:tr>
        <w:trPr>
          <w:trHeight w:val="229"/>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impact, net</w:t>
            </w:r>
          </w:p>
        </w:tc>
        <w:tc>
          <w:tcPr>
            <w:tcW w:w="24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5,428</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(30,828 )</w:t>
            </w:r>
          </w:p>
        </w:tc>
      </w:tr>
    </w:tbl>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financial statement impacts from revisions in estimates were as follows (in thousands):</w:t>
      </w: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121" w:name="page122"/>
    <w:bookmarkEnd w:id="121"/>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r>
      <w:tr>
        <w:trPr>
          <w:trHeight w:val="22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35,297</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ind w:left="150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(30,828 )</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26,261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ind w:left="15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(22,936 )</w:t>
            </w: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earnings (loss) per share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ind w:left="150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(0.20 )</w:t>
            </w:r>
          </w:p>
        </w:tc>
      </w:tr>
    </w:tbl>
    <w:p>
      <w:pPr>
        <w:spacing w:after="0" w:line="197"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The amounts for 2023, in the table above, include the impact from contracts in the Critical Infrastructure segment related to a change in estimate increasing direct costs of contracts by $8.0 million related to net write-downs and a decrease in direct costs of contracts of $37.9 million related to a legal matter. These impacts do not include the operating income impacts disclosed below in "Note 16—Investments in and Advances to Joint Ventures.</w:t>
      </w:r>
      <w:r>
        <w:rPr>
          <w:rFonts w:ascii="Arial" w:cs="Arial" w:eastAsia="Arial" w:hAnsi="Arial"/>
          <w:sz w:val="18"/>
          <w:szCs w:val="18"/>
          <w:i w:val="1"/>
          <w:iCs w:val="1"/>
          <w:color w:val="auto"/>
        </w:rPr>
        <w: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Accounts Receivable, Net</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net consisted of the following as of December 31, 2023 and December 31,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Billed</w:t>
            </w:r>
          </w:p>
        </w:tc>
        <w:tc>
          <w:tcPr>
            <w:tcW w:w="110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646,375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502,411</w:t>
            </w: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Unbilled</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273,215</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218,945</w:t>
            </w:r>
          </w:p>
        </w:tc>
        <w:tc>
          <w:tcPr>
            <w:tcW w:w="100" w:type="dxa"/>
            <w:vAlign w:val="bottom"/>
          </w:tcPr>
          <w:p>
            <w:pPr>
              <w:spacing w:after="0"/>
              <w:rPr>
                <w:sz w:val="19"/>
                <w:szCs w:val="19"/>
                <w:color w:val="auto"/>
              </w:rPr>
            </w:pPr>
          </w:p>
        </w:tc>
      </w:tr>
      <w:tr>
        <w:trPr>
          <w:trHeight w:val="223"/>
        </w:trPr>
        <w:tc>
          <w:tcPr>
            <w:tcW w:w="7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919,590</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721,356</w:t>
            </w: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(3,952 )</w:t>
            </w:r>
          </w:p>
        </w:tc>
        <w:tc>
          <w:tcPr>
            <w:tcW w:w="4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(4,011 )</w:t>
            </w:r>
          </w:p>
        </w:tc>
      </w:tr>
      <w:tr>
        <w:trPr>
          <w:trHeight w:val="263"/>
        </w:trPr>
        <w:tc>
          <w:tcPr>
            <w:tcW w:w="73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1100" w:type="dxa"/>
            <w:vAlign w:val="bottom"/>
            <w:tcBorders>
              <w:top w:val="single" w:sz="8" w:color="auto"/>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915,638</w:t>
            </w:r>
          </w:p>
        </w:tc>
        <w:tc>
          <w:tcPr>
            <w:tcW w:w="2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717,345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 Receivables from contracts with the U.S. federal government and its agencies were 18% and 17% as of December 31, 2023 and December 31, 2022, respectively.</w:t>
      </w:r>
    </w:p>
    <w:p>
      <w:pPr>
        <w:spacing w:after="0" w:line="176"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1" w:lineRule="exact"/>
        <w:rPr>
          <w:sz w:val="20"/>
          <w:szCs w:val="20"/>
          <w:color w:val="auto"/>
        </w:rPr>
      </w:pPr>
    </w:p>
    <w:p>
      <w:pPr>
        <w:ind w:right="280" w:firstLine="509"/>
        <w:spacing w:after="0" w:line="252" w:lineRule="auto"/>
        <w:rPr>
          <w:sz w:val="20"/>
          <w:szCs w:val="20"/>
          <w:color w:val="auto"/>
        </w:rPr>
      </w:pPr>
      <w:r>
        <w:rPr>
          <w:rFonts w:ascii="Arial" w:cs="Arial" w:eastAsia="Arial" w:hAnsi="Arial"/>
          <w:sz w:val="18"/>
          <w:szCs w:val="18"/>
          <w:color w:val="auto"/>
        </w:rPr>
        <w:t>The Company’s remaining unsatisfied performance obligations (“RUPO”) as of December 31, 2023 represent a measure of the total dollar value of work to be performed on contracts awarded and in progress. The Company had $6.4 billion in RUPO as of December 31, 2023.</w:t>
      </w:r>
    </w:p>
    <w:p>
      <w:pPr>
        <w:spacing w:after="0" w:line="171"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task orders have not been issued.</w:t>
      </w:r>
    </w:p>
    <w:p>
      <w:pPr>
        <w:spacing w:after="0" w:line="176"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2" w:name="page123"/>
    <w:bookmarkEnd w:id="122"/>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expects to satisfy its RUPO as of December 31, 2023 over the following periods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257"/>
              <w:spacing w:after="0"/>
              <w:rPr>
                <w:sz w:val="20"/>
                <w:szCs w:val="20"/>
                <w:color w:val="auto"/>
              </w:rPr>
            </w:pPr>
            <w:r>
              <w:rPr>
                <w:rFonts w:ascii="Arial" w:cs="Arial" w:eastAsia="Arial" w:hAnsi="Arial"/>
                <w:sz w:val="14"/>
                <w:szCs w:val="14"/>
                <w:b w:val="1"/>
                <w:bCs w:val="1"/>
                <w:color w:val="auto"/>
              </w:rPr>
              <w:t>Within One to</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760" w:type="dxa"/>
            <w:vAlign w:val="bottom"/>
          </w:tcPr>
          <w:p>
            <w:pPr>
              <w:ind w:left="60"/>
              <w:spacing w:after="0"/>
              <w:rPr>
                <w:sz w:val="20"/>
                <w:szCs w:val="20"/>
                <w:color w:val="auto"/>
              </w:rPr>
            </w:pPr>
            <w:r>
              <w:rPr>
                <w:rFonts w:ascii="Arial" w:cs="Arial" w:eastAsia="Arial" w:hAnsi="Arial"/>
                <w:sz w:val="14"/>
                <w:szCs w:val="14"/>
                <w:b w:val="1"/>
                <w:bCs w:val="1"/>
                <w:color w:val="auto"/>
              </w:rPr>
              <w:t>Period RUPO Will Be Satisfied</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r>
      <w:tr>
        <w:trPr>
          <w:trHeight w:val="223"/>
        </w:trPr>
        <w:tc>
          <w:tcPr>
            <w:tcW w:w="5760" w:type="dxa"/>
            <w:vAlign w:val="bottom"/>
            <w:shd w:val="clear" w:color="auto" w:fill="CFF0FC"/>
          </w:tcPr>
          <w:p>
            <w:pPr>
              <w:ind w:left="80"/>
              <w:spacing w:after="0"/>
              <w:rPr>
                <w:sz w:val="20"/>
                <w:szCs w:val="20"/>
                <w:color w:val="auto"/>
              </w:rPr>
            </w:pPr>
            <w:r>
              <w:rPr>
                <w:rFonts w:ascii="Arial" w:cs="Arial" w:eastAsia="Arial" w:hAnsi="Arial"/>
                <w:sz w:val="18"/>
                <w:szCs w:val="18"/>
                <w:color w:val="auto"/>
              </w:rPr>
              <w:t>Federal Solutions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1,762,399</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377,117</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215,435</w:t>
            </w:r>
          </w:p>
        </w:tc>
        <w:tc>
          <w:tcPr>
            <w:tcW w:w="100" w:type="dxa"/>
            <w:vAlign w:val="bottom"/>
            <w:shd w:val="clear" w:color="auto" w:fill="CFF0FC"/>
          </w:tcPr>
          <w:p>
            <w:pPr>
              <w:spacing w:after="0"/>
              <w:rPr>
                <w:sz w:val="19"/>
                <w:szCs w:val="19"/>
                <w:color w:val="auto"/>
              </w:rPr>
            </w:pPr>
          </w:p>
        </w:tc>
      </w:tr>
      <w:tr>
        <w:trPr>
          <w:trHeight w:val="229"/>
        </w:trPr>
        <w:tc>
          <w:tcPr>
            <w:tcW w:w="5760" w:type="dxa"/>
            <w:vAlign w:val="bottom"/>
          </w:tcPr>
          <w:p>
            <w:pPr>
              <w:ind w:left="80"/>
              <w:spacing w:after="0"/>
              <w:rPr>
                <w:sz w:val="20"/>
                <w:szCs w:val="20"/>
                <w:color w:val="auto"/>
              </w:rPr>
            </w:pPr>
            <w:r>
              <w:rPr>
                <w:rFonts w:ascii="Arial" w:cs="Arial" w:eastAsia="Arial" w:hAnsi="Arial"/>
                <w:sz w:val="18"/>
                <w:szCs w:val="18"/>
                <w:color w:val="auto"/>
              </w:rPr>
              <w:t>Critical Infrastructure</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2,053,887</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1,131,669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837,677</w:t>
            </w:r>
          </w:p>
        </w:tc>
        <w:tc>
          <w:tcPr>
            <w:tcW w:w="100" w:type="dxa"/>
            <w:vAlign w:val="bottom"/>
          </w:tcPr>
          <w:p>
            <w:pPr>
              <w:spacing w:after="0"/>
              <w:rPr>
                <w:sz w:val="19"/>
                <w:szCs w:val="19"/>
                <w:color w:val="auto"/>
              </w:rPr>
            </w:pPr>
          </w:p>
        </w:tc>
      </w:tr>
      <w:tr>
        <w:trPr>
          <w:trHeight w:val="263"/>
        </w:trPr>
        <w:tc>
          <w:tcPr>
            <w:tcW w:w="57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3,816,286</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1,508,786</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1,053,112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4697095</wp:posOffset>
            </wp:positionH>
            <wp:positionV relativeFrom="paragraph">
              <wp:posOffset>-24765</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-7620</wp:posOffset>
            </wp:positionV>
            <wp:extent cx="768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3"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Company has operating and finance leases for corporate and project office spaces, vehicles, heavy machinery and office equipment. Our leases have remaining lease terms of one year to eight years, some of which may include options to extend the leases for 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five years, and some of which may include options to terminate the leases after the third year.</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costs for the years ended December 31, 2023 and December 31,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67,181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67,033</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13,782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14,008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right-of-use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Interest on lease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Sublease income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(4,718 )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(5,045 )</w:t>
            </w:r>
          </w:p>
        </w:tc>
      </w:tr>
      <w:tr>
        <w:trPr>
          <w:trHeight w:val="223"/>
        </w:trPr>
        <w:tc>
          <w:tcPr>
            <w:tcW w:w="774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lease cost</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79,217</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78,416</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40" w:firstLine="509"/>
        <w:spacing w:after="0" w:line="271" w:lineRule="auto"/>
        <w:rPr>
          <w:sz w:val="20"/>
          <w:szCs w:val="20"/>
          <w:color w:val="auto"/>
        </w:rPr>
      </w:pPr>
      <w:r>
        <w:rPr>
          <w:rFonts w:ascii="Arial" w:cs="Arial" w:eastAsia="Arial" w:hAnsi="Arial"/>
          <w:sz w:val="18"/>
          <w:szCs w:val="18"/>
          <w:color w:val="auto"/>
        </w:rPr>
        <w:t>Supplemental cash flow information related to leases for the years ended December 31, 2023 and December 31, 2022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400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71,432</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73,169</w:t>
            </w:r>
          </w:p>
        </w:tc>
        <w:tc>
          <w:tcPr>
            <w:tcW w:w="100" w:type="dxa"/>
            <w:vAlign w:val="bottom"/>
            <w:shd w:val="clear" w:color="auto" w:fill="CFF0FC"/>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Operating cash flows for finance leases</w:t>
            </w:r>
          </w:p>
        </w:tc>
        <w:tc>
          <w:tcPr>
            <w:tcW w:w="3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r>
      <w:tr>
        <w:trPr>
          <w:trHeight w:val="229"/>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cash flows for finance leases</w:t>
            </w:r>
          </w:p>
        </w:tc>
        <w:tc>
          <w:tcPr>
            <w:tcW w:w="3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FF0FC"/>
          </w:tcPr>
          <w:p>
            <w:pPr>
              <w:spacing w:after="0"/>
              <w:rPr>
                <w:sz w:val="19"/>
                <w:szCs w:val="19"/>
                <w:color w:val="auto"/>
              </w:rPr>
            </w:pPr>
          </w:p>
        </w:tc>
      </w:tr>
      <w:tr>
        <w:trPr>
          <w:trHeight w:val="197"/>
        </w:trPr>
        <w:tc>
          <w:tcPr>
            <w:tcW w:w="4700" w:type="dxa"/>
            <w:vAlign w:val="bottom"/>
          </w:tcPr>
          <w:p>
            <w:pPr>
              <w:ind w:left="20"/>
              <w:spacing w:after="0" w:line="197" w:lineRule="exact"/>
              <w:rPr>
                <w:sz w:val="20"/>
                <w:szCs w:val="20"/>
                <w:color w:val="auto"/>
              </w:rPr>
            </w:pPr>
            <w:r>
              <w:rPr>
                <w:rFonts w:ascii="Arial" w:cs="Arial" w:eastAsia="Arial" w:hAnsi="Arial"/>
                <w:sz w:val="18"/>
                <w:szCs w:val="18"/>
                <w:color w:val="auto"/>
              </w:rPr>
              <w:t>Right-of-use assets obtained in exchange for new</w:t>
            </w:r>
          </w:p>
        </w:tc>
        <w:tc>
          <w:tcPr>
            <w:tcW w:w="3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7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62,856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26,607</w:t>
            </w:r>
          </w:p>
        </w:tc>
        <w:tc>
          <w:tcPr>
            <w:tcW w:w="100" w:type="dxa"/>
            <w:vAlign w:val="bottom"/>
          </w:tcPr>
          <w:p>
            <w:pPr>
              <w:spacing w:after="0"/>
              <w:rPr>
                <w:sz w:val="20"/>
                <w:szCs w:val="20"/>
                <w:color w:val="auto"/>
              </w:rPr>
            </w:pPr>
          </w:p>
        </w:tc>
      </w:tr>
      <w:tr>
        <w:trPr>
          <w:trHeight w:val="197"/>
        </w:trPr>
        <w:tc>
          <w:tcPr>
            <w:tcW w:w="470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Right-of-use assets obtained in exchange for new</w:t>
            </w:r>
          </w:p>
        </w:tc>
        <w:tc>
          <w:tcPr>
            <w:tcW w:w="30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finance lease liabilities</w:t>
            </w:r>
          </w:p>
        </w:tc>
        <w:tc>
          <w:tcPr>
            <w:tcW w:w="400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FF0FC"/>
          </w:tcPr>
          <w:p>
            <w:pPr>
              <w:spacing w:after="0"/>
              <w:rPr>
                <w:sz w:val="20"/>
                <w:szCs w:val="20"/>
                <w:color w:val="auto"/>
              </w:rPr>
            </w:pPr>
          </w:p>
        </w:tc>
      </w:tr>
      <w:tr>
        <w:trPr>
          <w:trHeight w:val="881"/>
        </w:trPr>
        <w:tc>
          <w:tcPr>
            <w:tcW w:w="4700" w:type="dxa"/>
            <w:vAlign w:val="bottom"/>
          </w:tcPr>
          <w:p>
            <w:pPr>
              <w:spacing w:after="0"/>
              <w:rPr>
                <w:sz w:val="24"/>
                <w:szCs w:val="24"/>
                <w:color w:val="auto"/>
              </w:rPr>
            </w:pPr>
          </w:p>
        </w:tc>
        <w:tc>
          <w:tcPr>
            <w:tcW w:w="4000" w:type="dxa"/>
            <w:vAlign w:val="bottom"/>
            <w:gridSpan w:val="2"/>
          </w:tcPr>
          <w:p>
            <w:pPr>
              <w:jc w:val="right"/>
              <w:ind w:right="2828"/>
              <w:spacing w:after="0"/>
              <w:rPr>
                <w:sz w:val="20"/>
                <w:szCs w:val="20"/>
                <w:color w:val="auto"/>
              </w:rPr>
            </w:pPr>
            <w:r>
              <w:rPr>
                <w:rFonts w:ascii="Arial" w:cs="Arial" w:eastAsia="Arial" w:hAnsi="Arial"/>
                <w:sz w:val="18"/>
                <w:szCs w:val="18"/>
                <w:color w:val="auto"/>
              </w:rPr>
              <w:t>F-30</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7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3" w:name="page124"/>
    <w:bookmarkEnd w:id="123"/>
    <w:p>
      <w:pPr>
        <w:jc w:val="center"/>
        <w:ind w:right="10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0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December 31, 2023 and December 31, 2022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159,211</w:t>
            </w:r>
          </w:p>
        </w:tc>
        <w:tc>
          <w:tcPr>
            <w:tcW w:w="2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155,090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Current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58,556</w:t>
            </w:r>
          </w:p>
        </w:tc>
        <w:tc>
          <w:tcPr>
            <w:tcW w:w="2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59,144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Long-term</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117,505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111,417</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176,061</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7,779</w:t>
            </w:r>
          </w:p>
        </w:tc>
        <w:tc>
          <w:tcPr>
            <w:tcW w:w="2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5,129</w:t>
            </w:r>
          </w:p>
        </w:tc>
        <w:tc>
          <w:tcPr>
            <w:tcW w:w="2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3.9 Years</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3.6 years</w:t>
            </w:r>
          </w:p>
        </w:tc>
        <w:tc>
          <w:tcPr>
            <w:tcW w:w="60" w:type="dxa"/>
            <w:vAlign w:val="bottom"/>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3.1 years</w:t>
            </w:r>
          </w:p>
        </w:tc>
        <w:tc>
          <w:tcPr>
            <w:tcW w:w="360" w:type="dxa"/>
            <w:vAlign w:val="bottom"/>
          </w:tcPr>
          <w:p>
            <w:pPr>
              <w:spacing w:after="0"/>
              <w:rPr>
                <w:sz w:val="19"/>
                <w:szCs w:val="19"/>
                <w:color w:val="auto"/>
              </w:rPr>
            </w:pP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2.6 years</w:t>
            </w:r>
          </w:p>
        </w:tc>
        <w:tc>
          <w:tcPr>
            <w:tcW w:w="6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Discount Rate: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4.2 %</w:t>
            </w:r>
          </w:p>
        </w:tc>
        <w:tc>
          <w:tcPr>
            <w:tcW w:w="3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4.6 %</w:t>
            </w:r>
          </w:p>
        </w:tc>
        <w:tc>
          <w:tcPr>
            <w:tcW w:w="3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-1780540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-1780540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2023, the Company has no additional operating leases that have not yet commenced.</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is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Operating</w:t>
            </w:r>
          </w:p>
        </w:tc>
        <w:tc>
          <w:tcPr>
            <w:tcW w:w="32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Finance</w:t>
            </w:r>
          </w:p>
        </w:tc>
      </w:tr>
      <w:tr>
        <w:trPr>
          <w:trHeight w:val="185"/>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Leases</w:t>
            </w:r>
          </w:p>
        </w:tc>
        <w:tc>
          <w:tcPr>
            <w:tcW w:w="320" w:type="dxa"/>
            <w:vAlign w:val="bottom"/>
          </w:tcPr>
          <w:p>
            <w:pPr>
              <w:spacing w:after="0"/>
              <w:rPr>
                <w:sz w:val="16"/>
                <w:szCs w:val="16"/>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Leases</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64,525</w:t>
            </w:r>
          </w:p>
        </w:tc>
        <w:tc>
          <w:tcPr>
            <w:tcW w:w="28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48,633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18,809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12,806</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191,023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8,414</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(14,962 )</w:t>
            </w: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(603 )</w:t>
            </w:r>
          </w:p>
        </w:tc>
      </w:tr>
      <w:tr>
        <w:trPr>
          <w:trHeight w:val="263"/>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present value of lease liabilities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176,061</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0" w:lineRule="exact"/>
        <w:rPr>
          <w:sz w:val="20"/>
          <w:szCs w:val="20"/>
          <w:color w:val="auto"/>
        </w:rPr>
      </w:pPr>
    </w:p>
    <w:p>
      <w:pPr>
        <w:jc w:val="both"/>
        <w:ind w:right="120" w:firstLine="509"/>
        <w:spacing w:after="0" w:line="301" w:lineRule="auto"/>
        <w:rPr>
          <w:sz w:val="20"/>
          <w:szCs w:val="20"/>
          <w:color w:val="auto"/>
        </w:rPr>
      </w:pPr>
      <w:r>
        <w:rPr>
          <w:rFonts w:ascii="Arial" w:cs="Arial" w:eastAsia="Arial" w:hAnsi="Arial"/>
          <w:sz w:val="17"/>
          <w:szCs w:val="17"/>
          <w:color w:val="auto"/>
        </w:rPr>
        <w:t>Rental expense for the years ended December 31, 2023, December 31, 2022 and December 31, 2021 was $81.0 million, $81.0 million and $73.1 million, respectively, and is recorded in “Selling, general and administrative expenses” in the consolidated statements of income.</w:t>
      </w:r>
    </w:p>
    <w:p>
      <w:pPr>
        <w:spacing w:after="0" w:line="35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124" w:name="page125"/>
    <w:bookmarkEnd w:id="12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right="5080" w:hanging="512"/>
        <w:spacing w:after="0" w:line="422" w:lineRule="auto"/>
        <w:tabs>
          <w:tab w:leader="none" w:pos="521"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and Equity-Based Compensation Plans Equity Compensation Plan Information</w:t>
      </w:r>
    </w:p>
    <w:p>
      <w:pPr>
        <w:ind w:right="60" w:firstLine="509"/>
        <w:spacing w:after="0" w:line="271" w:lineRule="auto"/>
        <w:rPr>
          <w:sz w:val="20"/>
          <w:szCs w:val="20"/>
          <w:color w:val="auto"/>
        </w:rPr>
      </w:pPr>
      <w:r>
        <w:rPr>
          <w:rFonts w:ascii="Arial" w:cs="Arial" w:eastAsia="Arial" w:hAnsi="Arial"/>
          <w:sz w:val="18"/>
          <w:szCs w:val="18"/>
          <w:color w:val="auto"/>
        </w:rPr>
        <w:t>The following table provides information as of December 31, 2023 regarding compensation plans under which our equity securities are authorized for issuance.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Number of Securities to be</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Weighted-Average Exercise</w:t>
            </w:r>
          </w:p>
        </w:tc>
        <w:tc>
          <w:tcPr>
            <w:tcW w:w="20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Issued upon Exercise of</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Price of Outstanding</w:t>
            </w:r>
          </w:p>
        </w:tc>
        <w:tc>
          <w:tcPr>
            <w:tcW w:w="20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under Equity Compensation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Outstanding Options,</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Options, Warrants and</w:t>
            </w:r>
          </w:p>
        </w:tc>
        <w:tc>
          <w:tcPr>
            <w:tcW w:w="20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Warrants and Rights</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c>
          <w:tcPr>
            <w:tcW w:w="20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Plan Category</w:t>
            </w:r>
          </w:p>
        </w:tc>
        <w:tc>
          <w:tcPr>
            <w:tcW w:w="2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(a)</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Equity compensation plans approved by</w:t>
            </w:r>
          </w:p>
        </w:tc>
        <w:tc>
          <w:tcPr>
            <w:tcW w:w="2120" w:type="dxa"/>
            <w:vAlign w:val="bottom"/>
            <w:tcBorders>
              <w:top w:val="single" w:sz="8" w:color="auto"/>
            </w:tcBorders>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360" w:type="dxa"/>
            <w:vAlign w:val="bottom"/>
            <w:tcBorders>
              <w:top w:val="single" w:sz="8" w:color="auto"/>
            </w:tcBorders>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security holders (1)</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1,463,790</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7"/>
        </w:trPr>
        <w:tc>
          <w:tcPr>
            <w:tcW w:w="3600" w:type="dxa"/>
            <w:vAlign w:val="bottom"/>
          </w:tcPr>
          <w:p>
            <w:pPr>
              <w:ind w:left="20"/>
              <w:spacing w:after="0" w:line="197" w:lineRule="exact"/>
              <w:rPr>
                <w:sz w:val="20"/>
                <w:szCs w:val="20"/>
                <w:color w:val="auto"/>
              </w:rPr>
            </w:pPr>
            <w:r>
              <w:rPr>
                <w:rFonts w:ascii="Arial" w:cs="Arial" w:eastAsia="Arial" w:hAnsi="Arial"/>
                <w:sz w:val="18"/>
                <w:szCs w:val="18"/>
                <w:color w:val="auto"/>
              </w:rPr>
              <w:t>Equity compensation plans not approved</w:t>
            </w:r>
          </w:p>
        </w:tc>
        <w:tc>
          <w:tcPr>
            <w:tcW w:w="26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2,093,336  (3)</w:t>
            </w:r>
          </w:p>
        </w:tc>
        <w:tc>
          <w:tcPr>
            <w:tcW w:w="2020" w:type="dxa"/>
            <w:vAlign w:val="bottom"/>
          </w:tcPr>
          <w:p>
            <w:pPr>
              <w:spacing w:after="0"/>
              <w:rPr>
                <w:sz w:val="17"/>
                <w:szCs w:val="17"/>
                <w:color w:val="auto"/>
              </w:rPr>
            </w:pPr>
          </w:p>
        </w:tc>
        <w:tc>
          <w:tcPr>
            <w:tcW w:w="2560" w:type="dxa"/>
            <w:vAlign w:val="bottom"/>
            <w:gridSpan w:val="2"/>
            <w:vMerge w:val="restart"/>
          </w:tcPr>
          <w:p>
            <w:pPr>
              <w:jc w:val="right"/>
              <w:spacing w:after="0"/>
              <w:rPr>
                <w:sz w:val="20"/>
                <w:szCs w:val="20"/>
                <w:color w:val="auto"/>
              </w:rPr>
            </w:pPr>
            <w:r>
              <w:rPr>
                <w:rFonts w:ascii="Arial" w:cs="Arial" w:eastAsia="Arial" w:hAnsi="Arial"/>
                <w:sz w:val="18"/>
                <w:szCs w:val="18"/>
                <w:color w:val="auto"/>
              </w:rPr>
              <w:t>8,238,003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00" w:type="dxa"/>
            <w:vAlign w:val="bottom"/>
          </w:tcPr>
          <w:p>
            <w:pPr>
              <w:ind w:left="20"/>
              <w:spacing w:after="0"/>
              <w:rPr>
                <w:sz w:val="20"/>
                <w:szCs w:val="20"/>
                <w:color w:val="auto"/>
              </w:rPr>
            </w:pPr>
            <w:r>
              <w:rPr>
                <w:rFonts w:ascii="Arial" w:cs="Arial" w:eastAsia="Arial" w:hAnsi="Arial"/>
                <w:sz w:val="18"/>
                <w:szCs w:val="18"/>
                <w:color w:val="auto"/>
              </w:rPr>
              <w:t>by security holders</w:t>
            </w:r>
          </w:p>
        </w:tc>
        <w:tc>
          <w:tcPr>
            <w:tcW w:w="262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2560" w:type="dxa"/>
            <w:vAlign w:val="bottom"/>
            <w:gridSpan w:val="2"/>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2,093,336</w:t>
            </w:r>
          </w:p>
        </w:tc>
        <w:tc>
          <w:tcPr>
            <w:tcW w:w="500" w:type="dxa"/>
            <w:vAlign w:val="bottom"/>
            <w:tcBorders>
              <w:bottom w:val="single" w:sz="8" w:color="CFF0FC"/>
            </w:tcBorders>
            <w:shd w:val="clear" w:color="auto" w:fill="CFF0FC"/>
          </w:tcPr>
          <w:p>
            <w:pPr>
              <w:spacing w:after="0"/>
              <w:rPr>
                <w:sz w:val="22"/>
                <w:szCs w:val="22"/>
                <w:color w:val="auto"/>
              </w:rPr>
            </w:pPr>
          </w:p>
        </w:tc>
        <w:tc>
          <w:tcPr>
            <w:tcW w:w="20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9,701,793</w:t>
            </w:r>
          </w:p>
        </w:tc>
        <w:tc>
          <w:tcPr>
            <w:tcW w:w="4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-24765</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-7620</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-24765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-7620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Consists of the 2020 Employee Stock Purchase Plan.</w:t>
      </w:r>
    </w:p>
    <w:p>
      <w:pPr>
        <w:spacing w:after="0" w:line="14" w:lineRule="exact"/>
        <w:rPr>
          <w:rFonts w:ascii="Arial" w:cs="Arial" w:eastAsia="Arial" w:hAnsi="Arial"/>
          <w:sz w:val="14"/>
          <w:szCs w:val="14"/>
          <w:color w:val="auto"/>
        </w:rPr>
      </w:pPr>
    </w:p>
    <w:p>
      <w:pPr>
        <w:ind w:left="520" w:right="180" w:hanging="512"/>
        <w:spacing w:after="0" w:line="241"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 represents 1,463,790 shares remaining available for future issuance under the 2020 Employee Stock Purchase Plan (of which 52,364 shares were purchased pursuant to the offering period that ended on December 31, 2023).</w:t>
      </w:r>
    </w:p>
    <w:p>
      <w:pPr>
        <w:ind w:left="520" w:right="500" w:hanging="512"/>
        <w:spacing w:after="0" w:line="241"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 represents the sum of 2,093,336 shares of common stock subject to outstanding RSU and PSU awards under the 2019 Incentive Plan (with PSU awards reflected at “target” levels),</w:t>
      </w:r>
    </w:p>
    <w:p>
      <w:pPr>
        <w:ind w:left="520" w:hanging="512"/>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 represents 8,238,003 shares remaining available for future issuance under the 2019 Incentive Plan.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Employee Stock Purchase Plan</w:t>
      </w:r>
    </w:p>
    <w:p>
      <w:pPr>
        <w:spacing w:after="0" w:line="103" w:lineRule="exact"/>
        <w:rPr>
          <w:sz w:val="20"/>
          <w:szCs w:val="20"/>
          <w:color w:val="auto"/>
        </w:rPr>
      </w:pPr>
    </w:p>
    <w:p>
      <w:pPr>
        <w:jc w:val="both"/>
        <w:ind w:right="340" w:firstLine="509"/>
        <w:spacing w:after="0" w:line="252" w:lineRule="auto"/>
        <w:rPr>
          <w:sz w:val="20"/>
          <w:szCs w:val="20"/>
          <w:color w:val="auto"/>
        </w:rPr>
      </w:pPr>
      <w:r>
        <w:rPr>
          <w:rFonts w:ascii="Arial" w:cs="Arial" w:eastAsia="Arial" w:hAnsi="Arial"/>
          <w:sz w:val="18"/>
          <w:szCs w:val="18"/>
          <w:color w:val="auto"/>
        </w:rPr>
        <w:t>The Parsons Corporation Employee Stock Purchase Plan (“ESPP”) was adopted effective March 1, 2020. Under the ESPP, eligible employees who elect to participate are granted the right to purchase shares of Parsons common stock at a discount of 5% of the market value on the last trading day of the offering period.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stock issuance activity for the years ended December 31, 2023 and December 31, 2022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8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price paid for shares sold</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6,059</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5,377</w:t>
            </w:r>
          </w:p>
        </w:tc>
        <w:tc>
          <w:tcPr>
            <w:tcW w:w="100" w:type="dxa"/>
            <w:vAlign w:val="bottom"/>
            <w:shd w:val="clear" w:color="auto" w:fill="CFF0FC"/>
          </w:tcPr>
          <w:p>
            <w:pPr>
              <w:spacing w:after="0"/>
              <w:rPr>
                <w:sz w:val="19"/>
                <w:szCs w:val="19"/>
                <w:color w:val="auto"/>
              </w:rPr>
            </w:pPr>
          </w:p>
        </w:tc>
      </w:tr>
      <w:tr>
        <w:trPr>
          <w:trHeight w:val="239"/>
        </w:trPr>
        <w:tc>
          <w:tcPr>
            <w:tcW w:w="8320" w:type="dxa"/>
            <w:vAlign w:val="bottom"/>
          </w:tcPr>
          <w:p>
            <w:pPr>
              <w:ind w:left="20"/>
              <w:spacing w:after="0"/>
              <w:rPr>
                <w:sz w:val="20"/>
                <w:szCs w:val="20"/>
                <w:color w:val="auto"/>
              </w:rPr>
            </w:pPr>
            <w:r>
              <w:rPr>
                <w:rFonts w:ascii="Arial" w:cs="Arial" w:eastAsia="Arial" w:hAnsi="Arial"/>
                <w:sz w:val="18"/>
                <w:szCs w:val="18"/>
                <w:color w:val="auto"/>
              </w:rPr>
              <w:t>Number of shares sold</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 average purchase price for the year ended December 31, 2023 and December 31, 2022 was $51.94 and $40.95 per share, respectively.</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Equity-Based Compensation Plans</w:t>
      </w:r>
    </w:p>
    <w:p>
      <w:pPr>
        <w:spacing w:after="0" w:line="103"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Company issues stock-based awards through the Incentive Award Plan. The compensation expense for these awards is recorded in “Selling, general and administrative expenses” in the Company’s consolidated financial statements.</w:t>
      </w:r>
    </w:p>
    <w:p>
      <w:pPr>
        <w:spacing w:after="0" w:line="153" w:lineRule="exact"/>
        <w:rPr>
          <w:sz w:val="20"/>
          <w:szCs w:val="20"/>
          <w:color w:val="auto"/>
        </w:rPr>
      </w:pPr>
    </w:p>
    <w:p>
      <w:pPr>
        <w:ind w:right="400" w:firstLine="509"/>
        <w:spacing w:after="0" w:line="246" w:lineRule="auto"/>
        <w:rPr>
          <w:sz w:val="20"/>
          <w:szCs w:val="20"/>
          <w:color w:val="auto"/>
        </w:rPr>
      </w:pPr>
      <w:r>
        <w:rPr>
          <w:rFonts w:ascii="Arial" w:cs="Arial" w:eastAsia="Arial" w:hAnsi="Arial"/>
          <w:sz w:val="18"/>
          <w:szCs w:val="18"/>
          <w:color w:val="auto"/>
        </w:rPr>
        <w:t>Stock-based compensation expense was $27.5 million, $20.0 million, and $16.8 million for the years ended December 31, 2023, December 31, 2022 and December 31, 2021, respectively, net of recognized tax benefits of $8.6 million, $4.4 million, and $2.8 million for 2023, 2022 and 2021, respectively. The tax benefit realized related to awards vested during 2023, 2022, and 2021 was $4.3 million, $2.7 million, and $6.3 million, respectively. We recognize forfeitures as they occur.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5" w:name="page126"/>
    <w:bookmarkEnd w:id="12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At December 31, 2023, the amount of compensation cost relating to non-vested awards not yet recognized in the consolidated financial statements is $43.4 million. The majority of these unrecognized compensation costs will be recognized by the fourth quarter of fiscal 2025.</w:t>
      </w:r>
    </w:p>
    <w:p>
      <w:pPr>
        <w:spacing w:after="0" w:line="63"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Prior to the adoption of the Incentive Award Plan on April 15, 2019, the Company issued awards under the Shareholder Value Plan, Long-Term Growth Plan and Restricted Award Plan. With the adoption of the Incentive Award Plan, the Company discontinued issuing awards under the Shareholder Value Plan, Long-Term Growth Plan and Restricted Award Plan. Awards granted out of the discontinued plans settled in cash.</w:t>
      </w:r>
    </w:p>
    <w:p>
      <w:pPr>
        <w:spacing w:after="0" w:line="203"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The following table presents the final amount paid for cash settled awards through the discontinued Shareholder Value Plan, Long-Term Growth Plan and Restricted Award Plan, by award type, for the year ended December 31, 2021 (there were no awards outstanding as of the year ended 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60" w:type="dxa"/>
            <w:vAlign w:val="bottom"/>
          </w:tcPr>
          <w:p>
            <w:pPr>
              <w:ind w:left="334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12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Appreciation Rights</w:t>
            </w: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15,798</w:t>
            </w:r>
          </w:p>
        </w:tc>
        <w:tc>
          <w:tcPr>
            <w:tcW w:w="100" w:type="dxa"/>
            <w:vAlign w:val="bottom"/>
            <w:shd w:val="clear" w:color="auto" w:fill="CFF0FC"/>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Long-Term Growth</w:t>
            </w:r>
          </w:p>
        </w:tc>
        <w:tc>
          <w:tcPr>
            <w:tcW w:w="5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r>
      <w:tr>
        <w:trPr>
          <w:trHeight w:val="229"/>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Award Units</w:t>
            </w:r>
          </w:p>
        </w:tc>
        <w:tc>
          <w:tcPr>
            <w:tcW w:w="580" w:type="dxa"/>
            <w:vAlign w:val="bottom"/>
            <w:tcBorders>
              <w:bottom w:val="single" w:sz="8" w:color="auto"/>
            </w:tcBorders>
            <w:shd w:val="clear" w:color="auto" w:fill="CFF0FC"/>
          </w:tcPr>
          <w:p>
            <w:pPr>
              <w:spacing w:after="0"/>
              <w:rPr>
                <w:sz w:val="19"/>
                <w:szCs w:val="19"/>
                <w:color w:val="auto"/>
              </w:rPr>
            </w:pPr>
          </w:p>
        </w:tc>
        <w:tc>
          <w:tcPr>
            <w:tcW w:w="2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26,643</w:t>
            </w:r>
          </w:p>
        </w:tc>
        <w:tc>
          <w:tcPr>
            <w:tcW w:w="10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Restricted Stock Units</w:t>
      </w:r>
    </w:p>
    <w:p>
      <w:pPr>
        <w:spacing w:after="0" w:line="103"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Restricted Stock Units awards are issued under the Incentive Award Plan and are settled by the issuance of the Company’s common stock. Outstanding awards have been granted based on either service or service and performance conditions. Awards vest over three-year periods, either annually or cliff. Expense is recognized on an accelerated basis for awards with service conditions only and on a straight-line basis for awards that include performance conditions. Expense recognition of awards with performance criteria are subject to the probability of meeting the performance conditions and adjusted for the number of shares expected to be earned. Compensation cost for awards with performance conditions are trued-up at each reporting period for changes in the expected shares pro-rated for the portion of the requisite service period rendered.</w:t>
      </w:r>
    </w:p>
    <w:p>
      <w:pPr>
        <w:spacing w:after="0" w:line="183"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 following table presents the number of shares of restricted stock units granted (at target shares for awards with performance conditions) for the years ended December 31, 2023, December 31, 2022 and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620" w:type="dxa"/>
            <w:vAlign w:val="bottom"/>
          </w:tcPr>
          <w:p>
            <w:pPr>
              <w:jc w:val="right"/>
              <w:ind w:right="259"/>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62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72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680" w:type="dxa"/>
            <w:vAlign w:val="bottom"/>
          </w:tcPr>
          <w:p>
            <w:pPr>
              <w:spacing w:after="0"/>
              <w:rPr>
                <w:sz w:val="16"/>
                <w:szCs w:val="16"/>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6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6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 (service condition)</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616,337</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666,184</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450,675</w:t>
            </w:r>
          </w:p>
        </w:tc>
        <w:tc>
          <w:tcPr>
            <w:tcW w:w="100" w:type="dxa"/>
            <w:vAlign w:val="bottom"/>
            <w:shd w:val="clear" w:color="auto" w:fill="CFF0FC"/>
          </w:tcPr>
          <w:p>
            <w:pPr>
              <w:spacing w:after="0"/>
              <w:rPr>
                <w:sz w:val="19"/>
                <w:szCs w:val="19"/>
                <w:color w:val="auto"/>
              </w:rPr>
            </w:pPr>
          </w:p>
        </w:tc>
      </w:tr>
      <w:tr>
        <w:trPr>
          <w:trHeight w:val="239"/>
        </w:trPr>
        <w:tc>
          <w:tcPr>
            <w:tcW w:w="5680" w:type="dxa"/>
            <w:vAlign w:val="bottom"/>
          </w:tcPr>
          <w:p>
            <w:pPr>
              <w:ind w:left="20"/>
              <w:spacing w:after="0"/>
              <w:rPr>
                <w:sz w:val="20"/>
                <w:szCs w:val="20"/>
                <w:color w:val="auto"/>
              </w:rPr>
            </w:pPr>
            <w:r>
              <w:rPr>
                <w:rFonts w:ascii="Arial" w:cs="Arial" w:eastAsia="Arial" w:hAnsi="Arial"/>
                <w:sz w:val="18"/>
                <w:szCs w:val="18"/>
                <w:color w:val="auto"/>
              </w:rPr>
              <w:t>Restricted Stock Units (service and performance condition)</w:t>
            </w:r>
          </w:p>
        </w:tc>
        <w:tc>
          <w:tcPr>
            <w:tcW w:w="1620" w:type="dxa"/>
            <w:vAlign w:val="bottom"/>
          </w:tcPr>
          <w:p>
            <w:pPr>
              <w:jc w:val="right"/>
              <w:spacing w:after="0"/>
              <w:rPr>
                <w:sz w:val="20"/>
                <w:szCs w:val="20"/>
                <w:color w:val="auto"/>
              </w:rPr>
            </w:pPr>
            <w:r>
              <w:rPr>
                <w:rFonts w:ascii="Arial" w:cs="Arial" w:eastAsia="Arial" w:hAnsi="Arial"/>
                <w:sz w:val="18"/>
                <w:szCs w:val="18"/>
                <w:color w:val="auto"/>
              </w:rPr>
              <w:t>452,179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402,436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374,535</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number of units granted for awards with performance conditions in the above table is based on performance at the target amount. The number of shares ultimately issued, which could be greater or less than target, will be based on achieving specific performance conditions related to the awards. During the year ended December 31, 2023, certain restricted stock unit grants with performance conditions vested with performance different from the target share amounts. As a result, 97,551 additional shares were granted and vested.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6" w:name="page127"/>
    <w:bookmarkEnd w:id="126"/>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The following table presents the number and weighted average grant-date fair value of restricted stock units (at target shares for awards with performance conditions) for the years ended December 31, 2023, December 31, 2022 and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 Average Grant-</w:t>
            </w:r>
          </w:p>
        </w:tc>
      </w:tr>
      <w:tr>
        <w:trPr>
          <w:trHeight w:val="185"/>
        </w:trPr>
        <w:tc>
          <w:tcPr>
            <w:tcW w:w="6840" w:type="dxa"/>
            <w:vAlign w:val="bottom"/>
          </w:tcPr>
          <w:p>
            <w:pPr>
              <w:spacing w:after="0"/>
              <w:rPr>
                <w:sz w:val="16"/>
                <w:szCs w:val="16"/>
                <w:color w:val="auto"/>
              </w:rPr>
            </w:pPr>
          </w:p>
        </w:tc>
        <w:tc>
          <w:tcPr>
            <w:tcW w:w="23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Number of Units</w:t>
            </w:r>
          </w:p>
        </w:tc>
        <w:tc>
          <w:tcPr>
            <w:tcW w:w="120" w:type="dxa"/>
            <w:vAlign w:val="bottom"/>
          </w:tcPr>
          <w:p>
            <w:pPr>
              <w:spacing w:after="0"/>
              <w:rPr>
                <w:sz w:val="16"/>
                <w:szCs w:val="16"/>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Date Fair Value</w:t>
            </w:r>
          </w:p>
        </w:tc>
      </w:tr>
      <w:tr>
        <w:trPr>
          <w:trHeight w:val="263"/>
        </w:trPr>
        <w:tc>
          <w:tcPr>
            <w:tcW w:w="6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2020</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931,785</w:t>
            </w: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825,210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18"/>
                <w:szCs w:val="18"/>
                <w:color w:val="auto"/>
              </w:rPr>
            </w:pP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2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(222,228 )</w:t>
            </w:r>
          </w:p>
        </w:tc>
        <w:tc>
          <w:tcPr>
            <w:tcW w:w="12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320" w:type="dxa"/>
            <w:vAlign w:val="bottom"/>
            <w:gridSpan w:val="2"/>
          </w:tcPr>
          <w:p>
            <w:pPr>
              <w:jc w:val="right"/>
              <w:ind w:right="260"/>
              <w:spacing w:after="0"/>
              <w:rPr>
                <w:sz w:val="20"/>
                <w:szCs w:val="20"/>
                <w:color w:val="auto"/>
              </w:rPr>
            </w:pPr>
            <w:r>
              <w:rPr>
                <w:rFonts w:ascii="Arial" w:cs="Arial" w:eastAsia="Arial" w:hAnsi="Arial"/>
                <w:sz w:val="18"/>
                <w:szCs w:val="18"/>
                <w:color w:val="auto"/>
              </w:rPr>
              <w:t>(175,524 )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19"/>
                <w:szCs w:val="19"/>
                <w:color w:val="auto"/>
              </w:rPr>
            </w:pPr>
          </w:p>
        </w:tc>
      </w:tr>
      <w:tr>
        <w:trPr>
          <w:trHeight w:val="263"/>
        </w:trPr>
        <w:tc>
          <w:tcPr>
            <w:tcW w:w="6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1,359,243</w:t>
            </w: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1,068,620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18"/>
                <w:szCs w:val="18"/>
                <w:color w:val="auto"/>
              </w:rPr>
            </w:pP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2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(497,200 )</w:t>
            </w:r>
          </w:p>
        </w:tc>
        <w:tc>
          <w:tcPr>
            <w:tcW w:w="12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320" w:type="dxa"/>
            <w:vAlign w:val="bottom"/>
            <w:gridSpan w:val="2"/>
          </w:tcPr>
          <w:p>
            <w:pPr>
              <w:jc w:val="right"/>
              <w:ind w:right="260"/>
              <w:spacing w:after="0"/>
              <w:rPr>
                <w:sz w:val="20"/>
                <w:szCs w:val="20"/>
                <w:color w:val="auto"/>
              </w:rPr>
            </w:pPr>
            <w:r>
              <w:rPr>
                <w:rFonts w:ascii="Arial" w:cs="Arial" w:eastAsia="Arial" w:hAnsi="Arial"/>
                <w:sz w:val="18"/>
                <w:szCs w:val="18"/>
                <w:color w:val="auto"/>
              </w:rPr>
              <w:t>(309,508 )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19"/>
                <w:szCs w:val="19"/>
                <w:color w:val="auto"/>
              </w:rPr>
            </w:pPr>
          </w:p>
        </w:tc>
      </w:tr>
      <w:tr>
        <w:trPr>
          <w:trHeight w:val="263"/>
        </w:trPr>
        <w:tc>
          <w:tcPr>
            <w:tcW w:w="6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1,621,155</w:t>
            </w: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6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1,068,516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18"/>
                <w:szCs w:val="18"/>
                <w:color w:val="auto"/>
              </w:rPr>
            </w:pP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2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(372,962 )</w:t>
            </w:r>
          </w:p>
        </w:tc>
        <w:tc>
          <w:tcPr>
            <w:tcW w:w="12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320" w:type="dxa"/>
            <w:vAlign w:val="bottom"/>
            <w:gridSpan w:val="2"/>
          </w:tcPr>
          <w:p>
            <w:pPr>
              <w:jc w:val="right"/>
              <w:ind w:right="260"/>
              <w:spacing w:after="0"/>
              <w:rPr>
                <w:sz w:val="20"/>
                <w:szCs w:val="20"/>
                <w:color w:val="auto"/>
              </w:rPr>
            </w:pPr>
            <w:r>
              <w:rPr>
                <w:rFonts w:ascii="Arial" w:cs="Arial" w:eastAsia="Arial" w:hAnsi="Arial"/>
                <w:sz w:val="18"/>
                <w:szCs w:val="18"/>
                <w:color w:val="auto"/>
              </w:rPr>
              <w:t>(223,373 )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19"/>
                <w:szCs w:val="19"/>
                <w:color w:val="auto"/>
              </w:rPr>
            </w:pPr>
          </w:p>
        </w:tc>
      </w:tr>
      <w:tr>
        <w:trPr>
          <w:trHeight w:val="263"/>
        </w:trPr>
        <w:tc>
          <w:tcPr>
            <w:tcW w:w="6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2023</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2,093,336</w:t>
            </w: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43.11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5604510</wp:posOffset>
            </wp:positionH>
            <wp:positionV relativeFrom="paragraph">
              <wp:posOffset>-1874520</wp:posOffset>
            </wp:positionV>
            <wp:extent cx="76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-1857375</wp:posOffset>
            </wp:positionV>
            <wp:extent cx="76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-1257935</wp:posOffset>
            </wp:positionV>
            <wp:extent cx="76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-1240790</wp:posOffset>
            </wp:positionV>
            <wp:extent cx="768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-641350</wp:posOffset>
            </wp:positionV>
            <wp:extent cx="768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-624205</wp:posOffset>
            </wp:positionV>
            <wp:extent cx="768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-24765</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-7620</wp:posOffset>
            </wp:positionV>
            <wp:extent cx="768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2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For the year ended December 31, 2023, 484,988 shares of restricted stock units were issued, and 159,281 shares of common stock related to employee statutory income tax withholding were retired. For the year ended December 31, 2022, 458,952 shares of restricted stock units were issued, and 160,212 shares of common stock related to employee statutory income tax withholding were retired. For the year ended December 31, 2021, 188,408 shares of restricted stock units were issued, and 63,482 shares of common stock related to employee statutory income tax withholding were retired.</w:t>
      </w:r>
    </w:p>
    <w:p>
      <w:pPr>
        <w:spacing w:after="0" w:line="179"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The following table presents the number of shares of restricted stock outstanding (at target shares for awards with performance conditions) at December 31, 2023, December 31, 2022 and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620" w:type="dxa"/>
            <w:vAlign w:val="bottom"/>
          </w:tcPr>
          <w:p>
            <w:pPr>
              <w:jc w:val="right"/>
              <w:ind w:right="259"/>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62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72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680" w:type="dxa"/>
            <w:vAlign w:val="bottom"/>
          </w:tcPr>
          <w:p>
            <w:pPr>
              <w:spacing w:after="0"/>
              <w:rPr>
                <w:sz w:val="16"/>
                <w:szCs w:val="16"/>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16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6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 (service condition)</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1,085,203</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817,278</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526,349</w:t>
            </w:r>
          </w:p>
        </w:tc>
        <w:tc>
          <w:tcPr>
            <w:tcW w:w="100" w:type="dxa"/>
            <w:vAlign w:val="bottom"/>
            <w:shd w:val="clear" w:color="auto" w:fill="CFF0FC"/>
          </w:tcPr>
          <w:p>
            <w:pPr>
              <w:spacing w:after="0"/>
              <w:rPr>
                <w:sz w:val="19"/>
                <w:szCs w:val="19"/>
                <w:color w:val="auto"/>
              </w:rPr>
            </w:pPr>
          </w:p>
        </w:tc>
      </w:tr>
      <w:tr>
        <w:trPr>
          <w:trHeight w:val="239"/>
        </w:trPr>
        <w:tc>
          <w:tcPr>
            <w:tcW w:w="5680" w:type="dxa"/>
            <w:vAlign w:val="bottom"/>
          </w:tcPr>
          <w:p>
            <w:pPr>
              <w:ind w:left="20"/>
              <w:spacing w:after="0"/>
              <w:rPr>
                <w:sz w:val="20"/>
                <w:szCs w:val="20"/>
                <w:color w:val="auto"/>
              </w:rPr>
            </w:pPr>
            <w:r>
              <w:rPr>
                <w:rFonts w:ascii="Arial" w:cs="Arial" w:eastAsia="Arial" w:hAnsi="Arial"/>
                <w:sz w:val="18"/>
                <w:szCs w:val="18"/>
                <w:color w:val="auto"/>
              </w:rPr>
              <w:t>Restricted Stock Units (service and performance condition)</w:t>
            </w:r>
          </w:p>
        </w:tc>
        <w:tc>
          <w:tcPr>
            <w:tcW w:w="1620" w:type="dxa"/>
            <w:vAlign w:val="bottom"/>
          </w:tcPr>
          <w:p>
            <w:pPr>
              <w:jc w:val="right"/>
              <w:spacing w:after="0"/>
              <w:rPr>
                <w:sz w:val="20"/>
                <w:szCs w:val="20"/>
                <w:color w:val="auto"/>
              </w:rPr>
            </w:pPr>
            <w:r>
              <w:rPr>
                <w:rFonts w:ascii="Arial" w:cs="Arial" w:eastAsia="Arial" w:hAnsi="Arial"/>
                <w:sz w:val="18"/>
                <w:szCs w:val="18"/>
                <w:color w:val="auto"/>
              </w:rPr>
              <w:t>1,008,133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803,877</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832,894</w:t>
            </w:r>
          </w:p>
        </w:tc>
        <w:tc>
          <w:tcPr>
            <w:tcW w:w="100" w:type="dxa"/>
            <w:vAlign w:val="bottom"/>
          </w:tcPr>
          <w:p>
            <w:pPr>
              <w:spacing w:after="0"/>
              <w:rPr>
                <w:sz w:val="20"/>
                <w:szCs w:val="20"/>
                <w:color w:val="auto"/>
              </w:rPr>
            </w:pPr>
          </w:p>
        </w:tc>
      </w:tr>
    </w:tbl>
    <w:p>
      <w:pPr>
        <w:spacing w:after="0" w:line="322" w:lineRule="exact"/>
        <w:rPr>
          <w:sz w:val="20"/>
          <w:szCs w:val="20"/>
          <w:color w:val="auto"/>
        </w:rPr>
      </w:pPr>
    </w:p>
    <w:p>
      <w:pPr>
        <w:ind w:left="400" w:hanging="392"/>
        <w:spacing w:after="0"/>
        <w:tabs>
          <w:tab w:leader="none" w:pos="4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3"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following table summarizes the changes in the carrying value of goodwill by reporting segment for the years ended December 31, 2023 and December 31, 2022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Acquisitions</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Exchange</w:t>
            </w:r>
          </w:p>
        </w:tc>
        <w:tc>
          <w:tcPr>
            <w:tcW w:w="120" w:type="dxa"/>
            <w:vAlign w:val="bottom"/>
          </w:tcPr>
          <w:p>
            <w:pPr>
              <w:spacing w:after="0"/>
              <w:rPr>
                <w:sz w:val="16"/>
                <w:szCs w:val="16"/>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Solutions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1,591,563</w:t>
            </w: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95,338</w:t>
            </w:r>
          </w:p>
        </w:tc>
        <w:tc>
          <w:tcPr>
            <w:tcW w:w="2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1,686,901</w:t>
            </w:r>
          </w:p>
        </w:tc>
        <w:tc>
          <w:tcPr>
            <w:tcW w:w="100" w:type="dxa"/>
            <w:vAlign w:val="bottom"/>
            <w:shd w:val="clear" w:color="auto" w:fill="CFF0FC"/>
          </w:tcPr>
          <w:p>
            <w:pPr>
              <w:spacing w:after="0"/>
              <w:rPr>
                <w:sz w:val="19"/>
                <w:szCs w:val="19"/>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Critical Infrastructure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70,287</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105,764</w:t>
            </w:r>
          </w:p>
        </w:tc>
        <w:tc>
          <w:tcPr>
            <w:tcW w:w="100" w:type="dxa"/>
            <w:vAlign w:val="bottom"/>
          </w:tcPr>
          <w:p>
            <w:pPr>
              <w:spacing w:after="0"/>
              <w:rPr>
                <w:sz w:val="19"/>
                <w:szCs w:val="19"/>
                <w:color w:val="auto"/>
              </w:rPr>
            </w:pPr>
          </w:p>
        </w:tc>
      </w:tr>
      <w:tr>
        <w:trPr>
          <w:trHeight w:val="263"/>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1,661,850</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129,599</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1,792,665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335"/>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24"/>
                <w:szCs w:val="2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r>
      <w:tr>
        <w:trPr>
          <w:trHeight w:val="185"/>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Acquisitions</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Exchange</w:t>
            </w:r>
          </w:p>
        </w:tc>
        <w:tc>
          <w:tcPr>
            <w:tcW w:w="120" w:type="dxa"/>
            <w:vAlign w:val="bottom"/>
          </w:tcPr>
          <w:p>
            <w:pPr>
              <w:spacing w:after="0"/>
              <w:rPr>
                <w:sz w:val="16"/>
                <w:szCs w:val="16"/>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Solutions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1,339,117</w:t>
            </w: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252,446</w:t>
            </w:r>
          </w:p>
        </w:tc>
        <w:tc>
          <w:tcPr>
            <w:tcW w:w="2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1,591,563</w:t>
            </w:r>
          </w:p>
        </w:tc>
        <w:tc>
          <w:tcPr>
            <w:tcW w:w="100" w:type="dxa"/>
            <w:vAlign w:val="bottom"/>
            <w:shd w:val="clear" w:color="auto" w:fill="CFF0FC"/>
          </w:tcPr>
          <w:p>
            <w:pPr>
              <w:spacing w:after="0"/>
              <w:rPr>
                <w:sz w:val="19"/>
                <w:szCs w:val="19"/>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Critical Infrastructure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73,573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(3,286 )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70,287</w:t>
            </w:r>
          </w:p>
        </w:tc>
        <w:tc>
          <w:tcPr>
            <w:tcW w:w="100" w:type="dxa"/>
            <w:vAlign w:val="bottom"/>
          </w:tcPr>
          <w:p>
            <w:pPr>
              <w:spacing w:after="0"/>
              <w:rPr>
                <w:sz w:val="19"/>
                <w:szCs w:val="19"/>
                <w:color w:val="auto"/>
              </w:rPr>
            </w:pPr>
          </w:p>
        </w:tc>
      </w:tr>
      <w:tr>
        <w:trPr>
          <w:trHeight w:val="263"/>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1,412,690</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252,446</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1,661,850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-847090</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-829945</wp:posOffset>
            </wp:positionV>
            <wp:extent cx="76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-847090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-829945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-847090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-829945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-24765</wp:posOffset>
            </wp:positionV>
            <wp:extent cx="768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-7620</wp:posOffset>
            </wp:positionV>
            <wp:extent cx="768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-24765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27" w:name="page128"/>
    <w:bookmarkEnd w:id="127"/>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color w:val="auto"/>
        </w:rPr>
        <w:t>For the years ended December 31, 2023 and December 31, 2022, the Company performed a quantitative impairment analysis for all reporting units. It was determined that the fair value of all reporting units exceeded their carrying values. No goodwill impairments were identified for the three years ended December 31, 2023, December 31, 2022 and December 31, 2021.</w:t>
      </w:r>
    </w:p>
    <w:p>
      <w:pPr>
        <w:spacing w:after="0" w:line="278"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3"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gross amount and accumulated amortization of acquired identifiable intangible assets included in “Intangible assets, net” on the consolidated balance sheets were as follows (in thousands except for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7"/>
              </w:rPr>
              <w:t>December 31, 2023</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gridSpan w:val="4"/>
            <w:vMerge w:val="restart"/>
          </w:tcPr>
          <w:p>
            <w:pPr>
              <w:jc w:val="right"/>
              <w:ind w:right="140"/>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24"/>
        </w:trPr>
        <w:tc>
          <w:tcPr>
            <w:tcW w:w="3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ind w:right="90"/>
              <w:spacing w:after="0" w:line="124"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820" w:type="dxa"/>
            <w:vAlign w:val="bottom"/>
          </w:tcPr>
          <w:p>
            <w:pPr>
              <w:jc w:val="center"/>
              <w:ind w:right="110"/>
              <w:spacing w:after="0" w:line="124" w:lineRule="exact"/>
              <w:rPr>
                <w:sz w:val="20"/>
                <w:szCs w:val="20"/>
                <w:color w:val="auto"/>
              </w:rPr>
            </w:pPr>
            <w:r>
              <w:rPr>
                <w:rFonts w:ascii="Arial" w:cs="Arial" w:eastAsia="Arial" w:hAnsi="Arial"/>
                <w:sz w:val="13"/>
                <w:szCs w:val="13"/>
                <w:b w:val="1"/>
                <w:bCs w:val="1"/>
                <w:color w:val="auto"/>
                <w:w w:val="95"/>
              </w:rPr>
              <w:t>Net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ind w:right="90"/>
              <w:spacing w:after="0" w:line="124"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116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760" w:type="dxa"/>
            <w:vAlign w:val="bottom"/>
          </w:tcPr>
          <w:p>
            <w:pPr>
              <w:jc w:val="center"/>
              <w:ind w:right="90"/>
              <w:spacing w:after="0" w:line="124" w:lineRule="exact"/>
              <w:rPr>
                <w:sz w:val="20"/>
                <w:szCs w:val="20"/>
                <w:color w:val="auto"/>
              </w:rPr>
            </w:pPr>
            <w:r>
              <w:rPr>
                <w:rFonts w:ascii="Arial" w:cs="Arial" w:eastAsia="Arial" w:hAnsi="Arial"/>
                <w:sz w:val="13"/>
                <w:szCs w:val="13"/>
                <w:b w:val="1"/>
                <w:bCs w:val="1"/>
                <w:color w:val="auto"/>
                <w:w w:val="95"/>
              </w:rPr>
              <w:t>Net</w:t>
            </w:r>
          </w:p>
        </w:tc>
        <w:tc>
          <w:tcPr>
            <w:tcW w:w="200" w:type="dxa"/>
            <w:vAlign w:val="bottom"/>
          </w:tcPr>
          <w:p>
            <w:pPr>
              <w:spacing w:after="0"/>
              <w:rPr>
                <w:sz w:val="10"/>
                <w:szCs w:val="10"/>
                <w:color w:val="auto"/>
              </w:rPr>
            </w:pPr>
          </w:p>
        </w:tc>
        <w:tc>
          <w:tcPr>
            <w:tcW w:w="114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Period</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5"/>
              </w:rPr>
              <w:t>Amortization</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6"/>
              </w:rPr>
              <w:t>(in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Backlog</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(45,964 )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84,036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142,200</w:t>
            </w:r>
          </w:p>
        </w:tc>
        <w:tc>
          <w:tcPr>
            <w:tcW w:w="440" w:type="dxa"/>
            <w:vAlign w:val="bottom"/>
            <w:gridSpan w:val="2"/>
            <w:shd w:val="clear" w:color="auto" w:fill="CFF0FC"/>
          </w:tcPr>
          <w:p>
            <w:pPr>
              <w:jc w:val="right"/>
              <w:ind w:right="77"/>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(45,903 )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96,297</w:t>
            </w:r>
          </w:p>
        </w:tc>
        <w:tc>
          <w:tcPr>
            <w:tcW w:w="124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297,120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(124,194 )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172,926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293,730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(146,032 )</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147,698</w:t>
            </w:r>
          </w:p>
        </w:tc>
        <w:tc>
          <w:tcPr>
            <w:tcW w:w="1240" w:type="dxa"/>
            <w:vAlign w:val="bottom"/>
            <w:gridSpan w:val="2"/>
          </w:tcPr>
          <w:p>
            <w:pPr>
              <w:ind w:left="102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(106 )</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(87 )</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24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Arial" w:cs="Arial" w:eastAsia="Arial" w:hAnsi="Arial"/>
                <w:sz w:val="14"/>
                <w:szCs w:val="14"/>
                <w:color w:val="auto"/>
              </w:rPr>
              <w:t>Developed technology</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31,600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(15,823 )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15,777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16,600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(11,560 )</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5,040</w:t>
            </w:r>
          </w:p>
        </w:tc>
        <w:tc>
          <w:tcPr>
            <w:tcW w:w="1240" w:type="dxa"/>
            <w:vAlign w:val="bottom"/>
            <w:gridSpan w:val="2"/>
          </w:tcPr>
          <w:p>
            <w:pPr>
              <w:ind w:left="102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Trade name</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(417 )</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(3,083 )</w:t>
            </w: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1,917</w:t>
            </w:r>
          </w:p>
        </w:tc>
        <w:tc>
          <w:tcPr>
            <w:tcW w:w="124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Arial" w:cs="Arial" w:eastAsia="Arial" w:hAnsi="Arial"/>
                <w:sz w:val="14"/>
                <w:szCs w:val="14"/>
                <w:color w:val="auto"/>
              </w:rPr>
              <w:t>Non-compete agreements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(1,097 )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3,350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(2,074 )</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1,276</w:t>
            </w:r>
          </w:p>
        </w:tc>
        <w:tc>
          <w:tcPr>
            <w:tcW w:w="1240" w:type="dxa"/>
            <w:vAlign w:val="bottom"/>
            <w:gridSpan w:val="2"/>
          </w:tcPr>
          <w:p>
            <w:pPr>
              <w:ind w:left="102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 process research and development</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ind w:left="8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Arial" w:cs="Arial" w:eastAsia="Arial" w:hAnsi="Arial"/>
                <w:sz w:val="14"/>
                <w:szCs w:val="14"/>
                <w:color w:val="auto"/>
              </w:rPr>
              <w:t>Other intangibles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(348 )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(209 )</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w:t>
            </w:r>
          </w:p>
        </w:tc>
        <w:tc>
          <w:tcPr>
            <w:tcW w:w="1240" w:type="dxa"/>
            <w:vAlign w:val="bottom"/>
            <w:gridSpan w:val="2"/>
          </w:tcPr>
          <w:p>
            <w:pPr>
              <w:ind w:left="1020"/>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intangible assets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463,515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(187,949 )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275,566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463,075</w:t>
            </w:r>
          </w:p>
        </w:tc>
        <w:tc>
          <w:tcPr>
            <w:tcW w:w="440" w:type="dxa"/>
            <w:vAlign w:val="bottom"/>
            <w:gridSpan w:val="2"/>
            <w:shd w:val="clear" w:color="auto" w:fill="CFF0FC"/>
          </w:tcPr>
          <w:p>
            <w:pPr>
              <w:jc w:val="right"/>
              <w:ind w:right="77"/>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(208,948 )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254,127</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-7620</wp:posOffset>
            </wp:positionV>
            <wp:extent cx="768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-7620</wp:posOffset>
            </wp:positionV>
            <wp:extent cx="768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-7620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-7620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9"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 aggregate amortization expense of intangible assets was $76.6 million, $78.2 million, and $103.2 million for the years ended December 31, 2023, December 31, 2022 and December 31, 2021, respectively.</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amortization expense in each of the next five years and beyond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r>
      <w:tr>
        <w:trPr>
          <w:trHeight w:val="223"/>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6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49,870</w:t>
            </w:r>
          </w:p>
        </w:tc>
        <w:tc>
          <w:tcPr>
            <w:tcW w:w="100" w:type="dxa"/>
            <w:vAlign w:val="bottom"/>
            <w:shd w:val="clear" w:color="auto" w:fill="CFF0FC"/>
          </w:tcPr>
          <w:p>
            <w:pPr>
              <w:spacing w:after="0"/>
              <w:rPr>
                <w:sz w:val="19"/>
                <w:szCs w:val="19"/>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2025</w:t>
            </w:r>
          </w:p>
        </w:tc>
        <w:tc>
          <w:tcPr>
            <w:tcW w:w="5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43,429</w:t>
            </w:r>
          </w:p>
        </w:tc>
        <w:tc>
          <w:tcPr>
            <w:tcW w:w="100" w:type="dxa"/>
            <w:vAlign w:val="bottom"/>
          </w:tcPr>
          <w:p>
            <w:pPr>
              <w:spacing w:after="0"/>
              <w:rPr>
                <w:sz w:val="19"/>
                <w:szCs w:val="19"/>
                <w:color w:val="auto"/>
              </w:rPr>
            </w:pPr>
          </w:p>
        </w:tc>
      </w:tr>
      <w:tr>
        <w:trPr>
          <w:trHeight w:val="22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5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37,003</w:t>
            </w:r>
          </w:p>
        </w:tc>
        <w:tc>
          <w:tcPr>
            <w:tcW w:w="100" w:type="dxa"/>
            <w:vAlign w:val="bottom"/>
            <w:shd w:val="clear" w:color="auto" w:fill="CFF0FC"/>
          </w:tcPr>
          <w:p>
            <w:pPr>
              <w:spacing w:after="0"/>
              <w:rPr>
                <w:sz w:val="19"/>
                <w:szCs w:val="19"/>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2027</w:t>
            </w:r>
          </w:p>
        </w:tc>
        <w:tc>
          <w:tcPr>
            <w:tcW w:w="5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32,522</w:t>
            </w:r>
          </w:p>
        </w:tc>
        <w:tc>
          <w:tcPr>
            <w:tcW w:w="100" w:type="dxa"/>
            <w:vAlign w:val="bottom"/>
          </w:tcPr>
          <w:p>
            <w:pPr>
              <w:spacing w:after="0"/>
              <w:rPr>
                <w:sz w:val="19"/>
                <w:szCs w:val="19"/>
                <w:color w:val="auto"/>
              </w:rPr>
            </w:pPr>
          </w:p>
        </w:tc>
      </w:tr>
      <w:tr>
        <w:trPr>
          <w:trHeight w:val="22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5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24,324</w:t>
            </w:r>
          </w:p>
        </w:tc>
        <w:tc>
          <w:tcPr>
            <w:tcW w:w="100" w:type="dxa"/>
            <w:vAlign w:val="bottom"/>
            <w:shd w:val="clear" w:color="auto" w:fill="CFF0FC"/>
          </w:tcPr>
          <w:p>
            <w:pPr>
              <w:spacing w:after="0"/>
              <w:rPr>
                <w:sz w:val="19"/>
                <w:szCs w:val="19"/>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86,619</w:t>
            </w:r>
          </w:p>
        </w:tc>
        <w:tc>
          <w:tcPr>
            <w:tcW w:w="100" w:type="dxa"/>
            <w:vAlign w:val="bottom"/>
          </w:tcPr>
          <w:p>
            <w:pPr>
              <w:spacing w:after="0"/>
              <w:rPr>
                <w:sz w:val="19"/>
                <w:szCs w:val="19"/>
                <w:color w:val="auto"/>
              </w:rPr>
            </w:pPr>
          </w:p>
        </w:tc>
      </w:tr>
      <w:tr>
        <w:trPr>
          <w:trHeight w:val="263"/>
        </w:trPr>
        <w:tc>
          <w:tcPr>
            <w:tcW w:w="3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58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861"/>
        </w:trPr>
        <w:tc>
          <w:tcPr>
            <w:tcW w:w="3140" w:type="dxa"/>
            <w:vAlign w:val="bottom"/>
          </w:tcPr>
          <w:p>
            <w:pPr>
              <w:spacing w:after="0"/>
              <w:rPr>
                <w:sz w:val="24"/>
                <w:szCs w:val="24"/>
                <w:color w:val="auto"/>
              </w:rPr>
            </w:pPr>
          </w:p>
        </w:tc>
        <w:tc>
          <w:tcPr>
            <w:tcW w:w="6080" w:type="dxa"/>
            <w:vAlign w:val="bottom"/>
            <w:gridSpan w:val="2"/>
          </w:tcPr>
          <w:p>
            <w:pPr>
              <w:jc w:val="right"/>
              <w:ind w:right="3330"/>
              <w:spacing w:after="0"/>
              <w:rPr>
                <w:sz w:val="20"/>
                <w:szCs w:val="20"/>
                <w:color w:val="auto"/>
              </w:rPr>
            </w:pPr>
            <w:r>
              <w:rPr>
                <w:rFonts w:ascii="Arial" w:cs="Arial" w:eastAsia="Arial" w:hAnsi="Arial"/>
                <w:sz w:val="18"/>
                <w:szCs w:val="18"/>
                <w:color w:val="auto"/>
              </w:rPr>
              <w:t>F-35</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314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December 31, 2023 and December 31,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right"/>
              <w:ind w:right="396"/>
              <w:spacing w:after="0"/>
              <w:rPr>
                <w:sz w:val="20"/>
                <w:szCs w:val="20"/>
                <w:color w:val="auto"/>
              </w:rPr>
            </w:pPr>
            <w:r>
              <w:rPr>
                <w:rFonts w:ascii="Arial" w:cs="Arial" w:eastAsia="Arial" w:hAnsi="Arial"/>
                <w:sz w:val="14"/>
                <w:szCs w:val="14"/>
                <w:b w:val="1"/>
                <w:bCs w:val="1"/>
                <w:color w:val="auto"/>
              </w:rPr>
              <w:t>Useful life</w:t>
            </w:r>
          </w:p>
        </w:tc>
      </w:tr>
      <w:tr>
        <w:trPr>
          <w:trHeight w:val="185"/>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 2023</w:t>
            </w:r>
          </w:p>
        </w:tc>
        <w:tc>
          <w:tcPr>
            <w:tcW w:w="1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December 31, 2022</w:t>
            </w:r>
          </w:p>
        </w:tc>
        <w:tc>
          <w:tcPr>
            <w:tcW w:w="1640" w:type="dxa"/>
            <w:vAlign w:val="bottom"/>
          </w:tcPr>
          <w:p>
            <w:pPr>
              <w:jc w:val="right"/>
              <w:ind w:right="496"/>
              <w:spacing w:after="0"/>
              <w:rPr>
                <w:sz w:val="20"/>
                <w:szCs w:val="20"/>
                <w:color w:val="auto"/>
              </w:rPr>
            </w:pPr>
            <w:r>
              <w:rPr>
                <w:rFonts w:ascii="Arial" w:cs="Arial" w:eastAsia="Arial" w:hAnsi="Arial"/>
                <w:sz w:val="14"/>
                <w:szCs w:val="14"/>
                <w:b w:val="1"/>
                <w:bCs w:val="1"/>
                <w:color w:val="auto"/>
              </w:rPr>
              <w:t>(years)</w:t>
            </w:r>
          </w:p>
        </w:tc>
      </w:tr>
      <w:tr>
        <w:trPr>
          <w:trHeight w:val="22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 and leasehold improvements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102,372</w:t>
            </w:r>
          </w:p>
        </w:tc>
        <w:tc>
          <w:tcPr>
            <w:tcW w:w="280" w:type="dxa"/>
            <w:vAlign w:val="bottom"/>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103,071</w:t>
            </w:r>
          </w:p>
        </w:tc>
        <w:tc>
          <w:tcPr>
            <w:tcW w:w="240" w:type="dxa"/>
            <w:vAlign w:val="bottom"/>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84,244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85,088</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systems and equipment</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168,926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152,511</w:t>
            </w: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Construction equipment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6,173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5,271</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21,030</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21,952</w:t>
            </w:r>
          </w:p>
        </w:tc>
        <w:tc>
          <w:tcPr>
            <w:tcW w:w="24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r>
      <w:tr>
        <w:trPr>
          <w:trHeight w:val="223"/>
        </w:trPr>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382,745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367,893</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(283,788 )</w:t>
            </w:r>
          </w:p>
        </w:tc>
        <w:tc>
          <w:tcPr>
            <w:tcW w:w="4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(271,843 )</w:t>
            </w:r>
          </w:p>
        </w:tc>
        <w:tc>
          <w:tcPr>
            <w:tcW w:w="1640" w:type="dxa"/>
            <w:vAlign w:val="bottom"/>
            <w:shd w:val="clear" w:color="auto" w:fill="CFF0FC"/>
          </w:tcPr>
          <w:p>
            <w:pPr>
              <w:spacing w:after="0"/>
              <w:rPr>
                <w:sz w:val="19"/>
                <w:szCs w:val="19"/>
                <w:color w:val="auto"/>
              </w:rPr>
            </w:pPr>
          </w:p>
        </w:tc>
      </w:tr>
      <w:tr>
        <w:trPr>
          <w:trHeight w:val="223"/>
        </w:trPr>
        <w:tc>
          <w:tcPr>
            <w:tcW w:w="604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98,957</w:t>
            </w:r>
          </w:p>
        </w:tc>
        <w:tc>
          <w:tcPr>
            <w:tcW w:w="28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96,050</w:t>
            </w:r>
          </w:p>
        </w:tc>
        <w:tc>
          <w:tcPr>
            <w:tcW w:w="240" w:type="dxa"/>
            <w:vAlign w:val="bottom"/>
            <w:tcBorders>
              <w:top w:val="single" w:sz="8" w:color="CFF0FC"/>
            </w:tcBorders>
          </w:tcPr>
          <w:p>
            <w:pPr>
              <w:spacing w:after="0"/>
              <w:rPr>
                <w:sz w:val="19"/>
                <w:szCs w:val="19"/>
                <w:color w:val="auto"/>
              </w:rPr>
            </w:pPr>
          </w:p>
        </w:tc>
        <w:tc>
          <w:tcPr>
            <w:tcW w:w="1640" w:type="dxa"/>
            <w:vAlign w:val="bottom"/>
            <w:tcBorders>
              <w:top w:val="single" w:sz="8" w:color="CFF0FC"/>
            </w:tcBorders>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-478790</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-478790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-179070</wp:posOffset>
            </wp:positionV>
            <wp:extent cx="768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-179070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760" w:firstLine="509"/>
        <w:spacing w:after="0" w:line="271" w:lineRule="auto"/>
        <w:rPr>
          <w:sz w:val="20"/>
          <w:szCs w:val="20"/>
          <w:color w:val="auto"/>
        </w:rPr>
      </w:pPr>
      <w:r>
        <w:rPr>
          <w:rFonts w:ascii="Arial" w:cs="Arial" w:eastAsia="Arial" w:hAnsi="Arial"/>
          <w:sz w:val="18"/>
          <w:szCs w:val="18"/>
          <w:color w:val="auto"/>
        </w:rPr>
        <w:t>Depreciation expense of $39.1 million, $39.0 million, and $38.6 million was recorded for the years ended December 31, 2023, December 31, 2022 and December 31, 2021, respectively.</w:t>
      </w:r>
    </w:p>
    <w:p>
      <w:pPr>
        <w:spacing w:after="0" w:line="261"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03" w:lineRule="exact"/>
        <w:rPr>
          <w:sz w:val="20"/>
          <w:szCs w:val="20"/>
          <w:color w:val="auto"/>
        </w:rPr>
      </w:pPr>
    </w:p>
    <w:p>
      <w:pPr>
        <w:ind w:right="980" w:firstLine="509"/>
        <w:spacing w:after="0" w:line="271" w:lineRule="auto"/>
        <w:rPr>
          <w:sz w:val="20"/>
          <w:szCs w:val="20"/>
          <w:color w:val="auto"/>
        </w:rPr>
      </w:pPr>
      <w:r>
        <w:rPr>
          <w:rFonts w:ascii="Arial" w:cs="Arial" w:eastAsia="Arial" w:hAnsi="Arial"/>
          <w:sz w:val="18"/>
          <w:szCs w:val="18"/>
          <w:color w:val="auto"/>
        </w:rPr>
        <w:t>Accrued expenses and other current liabilities consisted of the following at December 31, 2023 and December 31, 2022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Salaries and wages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102,779</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85,328</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Employee benefits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342,707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298,914</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Self-insurance liability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Project cost accruals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254,070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147,378</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77,674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80"/>
              <w:spacing w:after="0"/>
              <w:rPr>
                <w:sz w:val="20"/>
                <w:szCs w:val="20"/>
                <w:color w:val="auto"/>
              </w:rPr>
            </w:pPr>
            <w:r>
              <w:rPr>
                <w:rFonts w:ascii="Arial" w:cs="Arial" w:eastAsia="Arial" w:hAnsi="Arial"/>
                <w:sz w:val="18"/>
                <w:szCs w:val="18"/>
                <w:color w:val="auto"/>
              </w:rPr>
              <w:t>Total accrued expenses and other current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801,423</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630,193</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8"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at December 31, 2023 and December 31, 2022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December 31, 2023</w:t>
            </w:r>
          </w:p>
        </w:tc>
        <w:tc>
          <w:tcPr>
            <w:tcW w:w="200" w:type="dxa"/>
            <w:vAlign w:val="bottom"/>
          </w:tcPr>
          <w:p>
            <w:pPr>
              <w:spacing w:after="0"/>
              <w:rPr>
                <w:sz w:val="16"/>
                <w:szCs w:val="16"/>
                <w:color w:val="auto"/>
              </w:rPr>
            </w:pPr>
          </w:p>
        </w:tc>
        <w:tc>
          <w:tcPr>
            <w:tcW w:w="1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 2022</w:t>
            </w:r>
          </w:p>
        </w:tc>
      </w:tr>
      <w:tr>
        <w:trPr>
          <w:trHeight w:val="243"/>
        </w:trPr>
        <w:tc>
          <w:tcPr>
            <w:tcW w:w="6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1800" w:type="dxa"/>
            <w:vAlign w:val="bottom"/>
            <w:tcBorders>
              <w:top w:val="single" w:sz="8" w:color="auto"/>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172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70"/>
        </w:trPr>
        <w:tc>
          <w:tcPr>
            <w:tcW w:w="6880" w:type="dxa"/>
            <w:vAlign w:val="bottom"/>
          </w:tcPr>
          <w:p>
            <w:pPr>
              <w:ind w:left="140"/>
              <w:spacing w:after="0"/>
              <w:rPr>
                <w:sz w:val="20"/>
                <w:szCs w:val="20"/>
                <w:color w:val="auto"/>
              </w:rPr>
            </w:pPr>
            <w:r>
              <w:rPr>
                <w:rFonts w:ascii="Arial" w:cs="Arial" w:eastAsia="Arial" w:hAnsi="Arial"/>
                <w:sz w:val="18"/>
                <w:szCs w:val="18"/>
                <w:color w:val="auto"/>
              </w:rPr>
              <w:t>Delayed draw term loan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350,000</w:t>
            </w:r>
          </w:p>
        </w:tc>
        <w:tc>
          <w:tcPr>
            <w:tcW w:w="3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3"/>
                <w:szCs w:val="23"/>
                <w:color w:val="auto"/>
              </w:rPr>
            </w:pPr>
          </w:p>
        </w:tc>
      </w:tr>
      <w:tr>
        <w:trPr>
          <w:trHeight w:val="229"/>
        </w:trPr>
        <w:tc>
          <w:tcPr>
            <w:tcW w:w="6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senior notes</w:t>
            </w:r>
          </w:p>
        </w:tc>
        <w:tc>
          <w:tcPr>
            <w:tcW w:w="24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9"/>
                <w:szCs w:val="19"/>
                <w:color w:val="auto"/>
              </w:rPr>
            </w:pPr>
          </w:p>
        </w:tc>
      </w:tr>
      <w:tr>
        <w:trPr>
          <w:trHeight w:val="229"/>
        </w:trPr>
        <w:tc>
          <w:tcPr>
            <w:tcW w:w="6880" w:type="dxa"/>
            <w:vAlign w:val="bottom"/>
          </w:tcPr>
          <w:p>
            <w:pPr>
              <w:ind w:left="140"/>
              <w:spacing w:after="0"/>
              <w:rPr>
                <w:sz w:val="20"/>
                <w:szCs w:val="20"/>
                <w:color w:val="auto"/>
              </w:rPr>
            </w:pPr>
            <w:r>
              <w:rPr>
                <w:rFonts w:ascii="Arial" w:cs="Arial" w:eastAsia="Arial" w:hAnsi="Arial"/>
                <w:sz w:val="18"/>
                <w:szCs w:val="18"/>
                <w:color w:val="auto"/>
              </w:rPr>
              <w:t>Revolving credit facility</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(4,037 )</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(6,395 )</w:t>
            </w:r>
          </w:p>
        </w:tc>
      </w:tr>
      <w:tr>
        <w:trPr>
          <w:trHeight w:val="223"/>
        </w:trPr>
        <w:tc>
          <w:tcPr>
            <w:tcW w:w="6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745,963</w:t>
            </w:r>
          </w:p>
        </w:tc>
        <w:tc>
          <w:tcPr>
            <w:tcW w:w="30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743,605</w:t>
            </w:r>
          </w:p>
        </w:tc>
        <w:tc>
          <w:tcPr>
            <w:tcW w:w="100" w:type="dxa"/>
            <w:vAlign w:val="bottom"/>
            <w:tcBorders>
              <w:top w:val="single" w:sz="8" w:color="CFF0FC"/>
            </w:tcBorders>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-179070</wp:posOffset>
            </wp:positionV>
            <wp:extent cx="768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0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 foreign currencies, and each other currency that may be approved in accordance with the 2021 Facility. The borrowings under</w:t>
      </w: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29" w:name="page130"/>
    <w:bookmarkEnd w:id="129"/>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bear interest at either a eurocurrency rate plus a margin between 1.0% and 1.625% or a base rate (as defined in the Credit Agreement) plus a margin of between 0% and 0.625%. The rates on December 31, 2023 and December 31, 2022 were 6.7% and 5.7%, respectively. Borrowings under this Credit Agreement are guaranteed by certain Company operating subsidiaries. Letters of credit commitments outstanding under this agreement aggregated approximately $43.8 million and $44.5 million at December 31, 2023 and December 31, 2022, respectively, which reduced borrowing limits available to the Company. Interest expense related to the Credit Agreement was $3.9 million, $4.3 million and $0.7 million, for the years ended December 31, 2023, December 31, 2022 and December 31, 2021, respectively. There were no loan amounts outstanding under the Credit Agreement at December 31, 2023 and December 31, 2022.</w:t>
      </w:r>
    </w:p>
    <w:p>
      <w:pPr>
        <w:spacing w:after="0" w:line="183"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December 31, 2023 and December 31, 2022.</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0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7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9"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76"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45" w:lineRule="exact"/>
        <w:rPr>
          <w:sz w:val="20"/>
          <w:szCs w:val="20"/>
          <w:color w:val="auto"/>
        </w:rPr>
      </w:pPr>
    </w:p>
    <w:p>
      <w:pPr>
        <w:ind w:left="1020" w:hanging="504"/>
        <w:spacing w:after="0" w:line="246" w:lineRule="auto"/>
        <w:tabs>
          <w:tab w:leader="none" w:pos="10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2020,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7" w:lineRule="exact"/>
        <w:rPr>
          <w:rFonts w:ascii="Times New Roman" w:cs="Times New Roman" w:eastAsia="Times New Roman" w:hAnsi="Times New Roman"/>
          <w:sz w:val="18"/>
          <w:szCs w:val="18"/>
          <w:color w:val="auto"/>
        </w:rPr>
      </w:pPr>
    </w:p>
    <w:p>
      <w:pPr>
        <w:ind w:left="1020" w:right="20" w:hanging="504"/>
        <w:spacing w:after="0" w:line="252" w:lineRule="auto"/>
        <w:tabs>
          <w:tab w:leader="none" w:pos="10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30" w:name="page131"/>
    <w:bookmarkEnd w:id="130"/>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firstLine="509"/>
        <w:spacing w:after="0" w:line="231"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81"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7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7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Under existing GAAP at the time of issuance during 2020, convertible debt instruments that may be settled in cash on conversion were required to be separated into liability and equity components in a manner that reflects the issuer’s non-convertible debt borrowing rate. The carrying amount of the liability component was based on the fair value of a similar instrument that does not contain an equity conversion option. The carrying amount allocated to the equity component, which was recognized as a debt discount, represents the difference between the proceeds from the issuance of the notes and the fair value of the liability component of the notes. Based on this debt-to-equity ratio, debt issuance costs are then allocated to the liability and equity components in a similar manner. Accordingly, at issuance the Company allocated $336.1 million to the debt liability and $53.6 million to additional paid-in capital. The difference between the principal amount of the Convertible Senior Notes and the liability component, inclusive of issuance costs, represents the debt discount, which the Company amortized to interest expense over the term of the Convertible Senior Notes using an effective interest rate of 3.25%. The Company recognized interest expense of $3.1 million and $3.0 million for the years ended December 31, 2023 and December 31, 2022, respectively. As of December 31, 2023 and December 31, 2022 the carrying value of the Notes was $400.0 million, respectively.</w:t>
      </w:r>
    </w:p>
    <w:p>
      <w:pPr>
        <w:spacing w:after="0" w:line="183" w:lineRule="exact"/>
        <w:rPr>
          <w:sz w:val="20"/>
          <w:szCs w:val="20"/>
          <w:color w:val="auto"/>
        </w:rPr>
      </w:pPr>
    </w:p>
    <w:p>
      <w:pPr>
        <w:ind w:right="220" w:firstLine="509"/>
        <w:spacing w:after="0" w:line="261" w:lineRule="auto"/>
        <w:rPr>
          <w:sz w:val="20"/>
          <w:szCs w:val="20"/>
          <w:color w:val="auto"/>
        </w:rPr>
      </w:pPr>
      <w:r>
        <w:rPr>
          <w:rFonts w:ascii="Arial" w:cs="Arial" w:eastAsia="Arial" w:hAnsi="Arial"/>
          <w:sz w:val="17"/>
          <w:szCs w:val="17"/>
          <w:color w:val="auto"/>
        </w:rPr>
        <w:t>In the first quarter of 2021, the Company early adopted ASU 2020-06. The Company used the modified retrospective method which resulted in a reduction in non-cash interest expense and reclassification of the equity component of the convertible senior notes of $55.0 million and equity component of the debt issuance costs of $1.4 million to liabilities on the consolidated balance sheet. The Company also adjusted the carrying amount of the convertible senior notes to what it would have been if the Company had applied ASU 2020-06 from the inception of the Notes and recorded the offset of the carrying amount adjustment of $3.7 million in retained earnings on January 1, 2021.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Delayed Draw Term Loan</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million (the “2022 Delayed Draw Term Loan”). The 2022 Delayed Draw Term Loan may be borrowed in a single draw during the period</w:t>
      </w:r>
    </w:p>
    <w:p>
      <w:pPr>
        <w:spacing w:after="0" w:line="234" w:lineRule="auto"/>
        <w:rPr>
          <w:sz w:val="20"/>
          <w:szCs w:val="20"/>
          <w:color w:val="auto"/>
        </w:rPr>
      </w:pPr>
      <w:r>
        <w:rPr>
          <w:rFonts w:ascii="Arial" w:cs="Arial" w:eastAsia="Arial" w:hAnsi="Arial"/>
          <w:sz w:val="18"/>
          <w:szCs w:val="18"/>
          <w:color w:val="auto"/>
        </w:rPr>
        <w:t>from and including the Closing Date to the earlier to occur of (a) the date of termination of the 2022 Delayed Draw Term Loan by the</w:t>
      </w:r>
    </w:p>
    <w:p>
      <w:pPr>
        <w:spacing w:after="0" w:line="235" w:lineRule="auto"/>
        <w:rPr>
          <w:sz w:val="20"/>
          <w:szCs w:val="20"/>
          <w:color w:val="auto"/>
        </w:rPr>
      </w:pPr>
      <w:r>
        <w:rPr>
          <w:rFonts w:ascii="Arial" w:cs="Arial" w:eastAsia="Arial" w:hAnsi="Arial"/>
          <w:sz w:val="18"/>
          <w:szCs w:val="18"/>
          <w:color w:val="auto"/>
        </w:rPr>
        <w:t>Company pursuant to the terms of the 2022 Delayed Draw Term Loan Agreement and (b) six (6) months following the Closing Date.</w:t>
      </w:r>
    </w:p>
    <w:p>
      <w:pPr>
        <w:spacing w:after="0" w:line="234" w:lineRule="auto"/>
        <w:rPr>
          <w:sz w:val="20"/>
          <w:szCs w:val="20"/>
          <w:color w:val="auto"/>
        </w:rPr>
      </w:pPr>
      <w:r>
        <w:rPr>
          <w:rFonts w:ascii="Arial" w:cs="Arial" w:eastAsia="Arial" w:hAnsi="Arial"/>
          <w:sz w:val="18"/>
          <w:szCs w:val="18"/>
          <w:color w:val="auto"/>
        </w:rPr>
        <w:t>Proceeds of the 2022 Delayed Draw Term Loan Agreement may be used (a) to pay off in full, or partially payoff, the Company’s existing</w:t>
      </w:r>
    </w:p>
    <w:p>
      <w:pPr>
        <w:spacing w:after="0" w:line="235" w:lineRule="auto"/>
        <w:rPr>
          <w:sz w:val="20"/>
          <w:szCs w:val="20"/>
          <w:color w:val="auto"/>
        </w:rPr>
      </w:pPr>
      <w:r>
        <w:rPr>
          <w:rFonts w:ascii="Arial" w:cs="Arial" w:eastAsia="Arial" w:hAnsi="Arial"/>
          <w:sz w:val="18"/>
          <w:szCs w:val="18"/>
          <w:color w:val="auto"/>
        </w:rPr>
        <w:t>Senior Notes, (b) to prepay revolving loans outstanding under the Revolving Credit Agreement (as defined below), or (c) for working capital,</w:t>
      </w:r>
    </w:p>
    <w:p>
      <w:pPr>
        <w:spacing w:after="0" w:line="234" w:lineRule="auto"/>
        <w:rPr>
          <w:sz w:val="20"/>
          <w:szCs w:val="20"/>
          <w:color w:val="auto"/>
        </w:rPr>
      </w:pPr>
      <w:r>
        <w:rPr>
          <w:rFonts w:ascii="Arial" w:cs="Arial" w:eastAsia="Arial" w:hAnsi="Arial"/>
          <w:sz w:val="18"/>
          <w:szCs w:val="18"/>
          <w:color w:val="auto"/>
        </w:rPr>
        <w:t>capital expenditures and other lawful corporate purposes. The Company drew $350.0 million from the 2022 Delayed Draw Term Loan in</w:t>
      </w:r>
    </w:p>
    <w:p>
      <w:pPr>
        <w:spacing w:after="0" w:line="235" w:lineRule="auto"/>
        <w:rPr>
          <w:sz w:val="20"/>
          <w:szCs w:val="20"/>
          <w:color w:val="auto"/>
        </w:rPr>
      </w:pPr>
      <w:r>
        <w:rPr>
          <w:rFonts w:ascii="Arial" w:cs="Arial" w:eastAsia="Arial" w:hAnsi="Arial"/>
          <w:sz w:val="18"/>
          <w:szCs w:val="18"/>
          <w:color w:val="auto"/>
        </w:rPr>
        <w:t>November 2022. The Company incurred $0.9 million of debt issuance costs in connection with the delayed draw term loan as of December</w:t>
      </w:r>
    </w:p>
    <w:p>
      <w:pPr>
        <w:spacing w:after="0" w:line="234" w:lineRule="auto"/>
        <w:rPr>
          <w:sz w:val="20"/>
          <w:szCs w:val="20"/>
          <w:color w:val="auto"/>
        </w:rPr>
      </w:pPr>
      <w:r>
        <w:rPr>
          <w:rFonts w:ascii="Arial" w:cs="Arial" w:eastAsia="Arial" w:hAnsi="Arial"/>
          <w:sz w:val="18"/>
          <w:szCs w:val="18"/>
          <w:color w:val="auto"/>
        </w:rPr>
        <w:t>31, 2022. These costs are presented as a direct deduction from the debt on the face of the balance sheet. Interest expense related to the</w:t>
      </w:r>
    </w:p>
    <w:p>
      <w:pPr>
        <w:spacing w:after="0" w:line="235" w:lineRule="auto"/>
        <w:rPr>
          <w:sz w:val="20"/>
          <w:szCs w:val="20"/>
          <w:color w:val="auto"/>
        </w:rPr>
      </w:pPr>
      <w:r>
        <w:rPr>
          <w:rFonts w:ascii="Arial" w:cs="Arial" w:eastAsia="Arial" w:hAnsi="Arial"/>
          <w:sz w:val="18"/>
          <w:szCs w:val="18"/>
          <w:color w:val="auto"/>
        </w:rPr>
        <w:t>Delayed Draw Term Loan was $22.4 million and $3.3 million for the years ended December 31, 2023 and December 31, 2022, respectively.</w:t>
      </w:r>
    </w:p>
    <w:p>
      <w:pPr>
        <w:spacing w:after="0"/>
        <w:rPr>
          <w:sz w:val="20"/>
          <w:szCs w:val="20"/>
          <w:color w:val="auto"/>
        </w:rPr>
      </w:pPr>
      <w:r>
        <w:rPr>
          <w:rFonts w:ascii="Arial" w:cs="Arial" w:eastAsia="Arial" w:hAnsi="Arial"/>
          <w:sz w:val="17"/>
          <w:szCs w:val="17"/>
          <w:color w:val="auto"/>
        </w:rPr>
        <w:t>The amortization of debt issuance costs and interest expense is recorded in “Interest expense” on the consolidated statements of income. 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of December 31, 2023 and December 31, 2022, there was $350.0 million outstanding under the Delayed Draw Term Loan.</w:t>
      </w:r>
    </w:p>
    <w:p>
      <w:pPr>
        <w:spacing w:after="0" w:line="19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 The interest rates on December 31, 2023 and December 31, 2022 were 6.6% and 5.6%, respectively.</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Letters of Credit</w:t>
      </w:r>
    </w:p>
    <w:p>
      <w:pPr>
        <w:spacing w:after="0" w:line="103" w:lineRule="exact"/>
        <w:rPr>
          <w:sz w:val="20"/>
          <w:szCs w:val="20"/>
          <w:color w:val="auto"/>
        </w:rPr>
      </w:pPr>
    </w:p>
    <w:p>
      <w:pPr>
        <w:ind w:right="420" w:firstLine="509"/>
        <w:spacing w:after="0" w:line="252"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$320.7 million and $222.5 million at December 31, 2023 and December 31, 2022,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Hedge and Warrant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w:t>
      </w:r>
    </w:p>
    <w:p>
      <w:pPr>
        <w:spacing w:after="0" w:line="10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82" w:lineRule="exact"/>
        <w:rPr>
          <w:sz w:val="20"/>
          <w:szCs w:val="20"/>
          <w:color w:val="auto"/>
        </w:rPr>
      </w:pPr>
    </w:p>
    <w:p>
      <w:pPr>
        <w:jc w:val="both"/>
        <w:ind w:right="360" w:firstLine="509"/>
        <w:spacing w:after="0" w:line="252"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32" w:name="page133"/>
    <w:bookmarkEnd w:id="132"/>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occurrence of certain events, such as the payment of dividends. The Company received $13.8 million in cash proceeds from the sales of these warrants.</w:t>
      </w:r>
    </w:p>
    <w:p>
      <w:pPr>
        <w:spacing w:after="0" w:line="153" w:lineRule="exact"/>
        <w:rPr>
          <w:sz w:val="20"/>
          <w:szCs w:val="20"/>
          <w:color w:val="auto"/>
        </w:rPr>
      </w:pPr>
    </w:p>
    <w:p>
      <w:pPr>
        <w:jc w:val="both"/>
        <w:ind w:right="440" w:firstLine="509"/>
        <w:spacing w:after="0" w:line="252"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71" w:lineRule="exact"/>
        <w:rPr>
          <w:sz w:val="20"/>
          <w:szCs w:val="20"/>
          <w:color w:val="auto"/>
        </w:rPr>
      </w:pPr>
    </w:p>
    <w:p>
      <w:pPr>
        <w:jc w:val="both"/>
        <w:ind w:right="340" w:firstLine="509"/>
        <w:spacing w:after="0" w:line="252"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7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ASU2020-06, the Company reversed the deferred tax liability of $13.9 million that the Company had recorded at issuance related to the Convertible Senior Note debt discount and recorded an additional deferred tax liability of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293"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Liabilities</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Other long-term liabilities consisted of the following at December 31, 2023 and December 31,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Self-insurance liability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81,795</w:t>
            </w:r>
          </w:p>
        </w:tc>
        <w:tc>
          <w:tcPr>
            <w:tcW w:w="6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77,307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Reserve for uncertain tax positions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22,815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21,508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obligations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other long-term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120,295</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109,220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Refer to “Note 13—</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 of the Company’s reconciliation of the beginning and ending balances of uncertain tax positions.</w:t>
      </w:r>
    </w:p>
    <w:p>
      <w:pPr>
        <w:spacing w:after="0" w:line="261"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components of our income from continuing operations before income taxes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 earnings</w:t>
            </w:r>
          </w:p>
        </w:tc>
        <w:tc>
          <w:tcPr>
            <w:tcW w:w="3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179,522</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77,110</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24,687</w:t>
            </w:r>
          </w:p>
        </w:tc>
        <w:tc>
          <w:tcPr>
            <w:tcW w:w="100" w:type="dxa"/>
            <w:vAlign w:val="bottom"/>
            <w:shd w:val="clear" w:color="auto" w:fill="CFF0FC"/>
          </w:tcPr>
          <w:p>
            <w:pPr>
              <w:spacing w:after="0"/>
              <w:rPr>
                <w:sz w:val="19"/>
                <w:szCs w:val="19"/>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Foreign earnings</w:t>
            </w:r>
          </w:p>
        </w:tc>
        <w:tc>
          <w:tcPr>
            <w:tcW w:w="3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84,531</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89,112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87,901</w:t>
            </w:r>
          </w:p>
        </w:tc>
        <w:tc>
          <w:tcPr>
            <w:tcW w:w="100" w:type="dxa"/>
            <w:vAlign w:val="bottom"/>
          </w:tcPr>
          <w:p>
            <w:pPr>
              <w:spacing w:after="0"/>
              <w:rPr>
                <w:sz w:val="19"/>
                <w:szCs w:val="19"/>
                <w:color w:val="auto"/>
              </w:rPr>
            </w:pPr>
          </w:p>
        </w:tc>
      </w:tr>
      <w:tr>
        <w:trPr>
          <w:trHeight w:val="263"/>
        </w:trPr>
        <w:tc>
          <w:tcPr>
            <w:tcW w:w="3640" w:type="dxa"/>
            <w:vAlign w:val="bottom"/>
            <w:tcBorders>
              <w:bottom w:val="single" w:sz="8" w:color="CFF0FC"/>
            </w:tcBorders>
            <w:shd w:val="clear" w:color="auto" w:fill="CFF0FC"/>
          </w:tcPr>
          <w:p>
            <w:pPr>
              <w:spacing w:after="0"/>
              <w:rPr>
                <w:sz w:val="22"/>
                <w:szCs w:val="22"/>
                <w:color w:val="auto"/>
              </w:rPr>
            </w:pPr>
          </w:p>
        </w:tc>
        <w:tc>
          <w:tcPr>
            <w:tcW w:w="30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264,053</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166,222</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112,588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861"/>
        </w:trPr>
        <w:tc>
          <w:tcPr>
            <w:tcW w:w="3640" w:type="dxa"/>
            <w:vAlign w:val="bottom"/>
          </w:tcPr>
          <w:p>
            <w:pPr>
              <w:spacing w:after="0"/>
              <w:rPr>
                <w:sz w:val="24"/>
                <w:szCs w:val="24"/>
                <w:color w:val="auto"/>
              </w:rPr>
            </w:pPr>
          </w:p>
        </w:tc>
        <w:tc>
          <w:tcPr>
            <w:tcW w:w="3320" w:type="dxa"/>
            <w:vAlign w:val="bottom"/>
            <w:gridSpan w:val="2"/>
          </w:tcPr>
          <w:p>
            <w:pPr>
              <w:jc w:val="right"/>
              <w:ind w:right="1070"/>
              <w:spacing w:after="0"/>
              <w:rPr>
                <w:sz w:val="20"/>
                <w:szCs w:val="20"/>
                <w:color w:val="auto"/>
              </w:rPr>
            </w:pPr>
            <w:r>
              <w:rPr>
                <w:rFonts w:ascii="Arial" w:cs="Arial" w:eastAsia="Arial" w:hAnsi="Arial"/>
                <w:sz w:val="18"/>
                <w:szCs w:val="18"/>
                <w:color w:val="auto"/>
              </w:rPr>
              <w:t>F-40</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1"/>
        </w:trPr>
        <w:tc>
          <w:tcPr>
            <w:tcW w:w="36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-1061085</wp:posOffset>
            </wp:positionV>
            <wp:extent cx="768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-1043940</wp:posOffset>
            </wp:positionV>
            <wp:extent cx="768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-1061085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-1043940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3" w:name="page134"/>
    <w:bookmarkEnd w:id="133"/>
    <w:p>
      <w:pPr>
        <w:jc w:val="center"/>
        <w:ind w:right="10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0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income tax expense (benefit) attributable to income from continuing operations for the years ended December 31, 2023,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December 31, 2021 consists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37,699</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21,323</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14,013</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19,621</w:t>
            </w:r>
          </w:p>
        </w:tc>
        <w:tc>
          <w:tcPr>
            <w:tcW w:w="100" w:type="dxa"/>
            <w:vAlign w:val="bottom"/>
          </w:tcPr>
          <w:p>
            <w:pPr>
              <w:spacing w:after="0"/>
              <w:rPr>
                <w:sz w:val="19"/>
                <w:szCs w:val="19"/>
                <w:color w:val="auto"/>
              </w:rPr>
            </w:pPr>
          </w:p>
        </w:tc>
      </w:tr>
      <w:tr>
        <w:trPr>
          <w:trHeight w:val="223"/>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current income tax expense</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65,052</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40,501</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(5,974 )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(2,902 )</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(590 )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(623 )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(1,263 )</w:t>
            </w: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(2,350 )</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(3,829 )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20" w:type="dxa"/>
            <w:vAlign w:val="bottom"/>
          </w:tcPr>
          <w:p>
            <w:pPr>
              <w:ind w:left="280"/>
              <w:spacing w:after="0"/>
              <w:rPr>
                <w:sz w:val="20"/>
                <w:szCs w:val="20"/>
                <w:color w:val="auto"/>
              </w:rPr>
            </w:pPr>
            <w:r>
              <w:rPr>
                <w:rFonts w:ascii="Arial" w:cs="Arial" w:eastAsia="Arial" w:hAnsi="Arial"/>
                <w:sz w:val="18"/>
                <w:szCs w:val="18"/>
                <w:color w:val="auto"/>
              </w:rPr>
              <w:t>Total deferred tax benefit</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(8,914 )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(844 )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(3,468 )</w:t>
            </w:r>
          </w:p>
        </w:tc>
      </w:tr>
      <w:tr>
        <w:trPr>
          <w:trHeight w:val="263"/>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income tax expense</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56,138</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39,657</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23,636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-923925</wp:posOffset>
            </wp:positionV>
            <wp:extent cx="768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-923925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-333375</wp:posOffset>
            </wp:positionV>
            <wp:extent cx="768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-333375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Income tax expense (benefit) was different from the amount computed by applying the United States federal statutory rate to pre-tax income from continuing operations as a result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 expense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264,053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166,222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112,588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Tax at federal statutory tax rate</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55,451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21.0 %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34,907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21.0 %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23,644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State taxes, net of federal tax benefit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7,530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0.8 %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Change in uncertain tax positions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(80 )</w:t>
            </w: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Foreign tax rate differential</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(6,258 )</w:t>
            </w: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-2.4 %</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(1,787 )</w:t>
            </w: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-1.1 %</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(388 )</w:t>
            </w: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Tax cost of foreign operations, net of credits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0.5 %</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(5,151 )</w:t>
            </w: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Foreign-Derived Intangible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(4,736 )</w:t>
            </w: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(76 )</w:t>
            </w: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0.0 %</w:t>
            </w:r>
          </w:p>
        </w:tc>
        <w:tc>
          <w:tcPr>
            <w:tcW w:w="140" w:type="dxa"/>
            <w:vAlign w:val="bottom"/>
          </w:tcPr>
          <w:p>
            <w:pPr>
              <w:spacing w:after="0"/>
              <w:rPr>
                <w:sz w:val="19"/>
                <w:szCs w:val="19"/>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(9,821 )</w:t>
            </w: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-3.7 %</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(6,279 )</w:t>
            </w: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-3.8 %</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(5,225 )</w:t>
            </w: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Federal business credits</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(2,731 )</w:t>
            </w: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(1,926 )</w:t>
            </w: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(2,538 )</w:t>
            </w: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Executive compensation</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0.6 %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0.2 %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0.9 %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80"/>
              <w:spacing w:after="0"/>
              <w:rPr>
                <w:sz w:val="20"/>
                <w:szCs w:val="20"/>
                <w:color w:val="auto"/>
              </w:rPr>
            </w:pPr>
            <w:r>
              <w:rPr>
                <w:rFonts w:ascii="Arial" w:cs="Arial" w:eastAsia="Arial" w:hAnsi="Arial"/>
                <w:sz w:val="18"/>
                <w:szCs w:val="18"/>
                <w:color w:val="auto"/>
              </w:rPr>
              <w:t>Total income tax expense</w:t>
            </w: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56,138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21.3 % $</w:t>
            </w:r>
          </w:p>
        </w:tc>
        <w:tc>
          <w:tcPr>
            <w:tcW w:w="680" w:type="dxa"/>
            <w:vAlign w:val="bottom"/>
          </w:tcPr>
          <w:p>
            <w:pPr>
              <w:jc w:val="right"/>
              <w:spacing w:after="0"/>
              <w:rPr>
                <w:sz w:val="20"/>
                <w:szCs w:val="20"/>
                <w:color w:val="auto"/>
              </w:rPr>
            </w:pPr>
            <w:r>
              <w:rPr>
                <w:rFonts w:ascii="Arial" w:cs="Arial" w:eastAsia="Arial" w:hAnsi="Arial"/>
                <w:sz w:val="18"/>
                <w:szCs w:val="18"/>
                <w:color w:val="auto"/>
              </w:rPr>
              <w:t>39,657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23.9 % $</w:t>
            </w:r>
          </w:p>
        </w:tc>
        <w:tc>
          <w:tcPr>
            <w:tcW w:w="680" w:type="dxa"/>
            <w:vAlign w:val="bottom"/>
          </w:tcPr>
          <w:p>
            <w:pPr>
              <w:jc w:val="right"/>
              <w:spacing w:after="0"/>
              <w:rPr>
                <w:sz w:val="20"/>
                <w:szCs w:val="20"/>
                <w:color w:val="auto"/>
              </w:rPr>
            </w:pPr>
            <w:r>
              <w:rPr>
                <w:rFonts w:ascii="Arial" w:cs="Arial" w:eastAsia="Arial" w:hAnsi="Arial"/>
                <w:sz w:val="18"/>
                <w:szCs w:val="18"/>
                <w:color w:val="auto"/>
              </w:rPr>
              <w:t>23,636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-1634490</wp:posOffset>
            </wp:positionV>
            <wp:extent cx="7132320" cy="1454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-1343660</wp:posOffset>
            </wp:positionV>
            <wp:extent cx="7132320" cy="1454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454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7"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The effective tax rate in 2023 decreased to 21.3% from 23.9% in 2022. The change in the effective tax rate was due primarily to tax benefits related to increases in the foreign-derived intangible income (FDII) deduction and a change in jurisdictional mix of earnings, partially offset by an increase in valuation allowance on foreign tax credits originating from foreign withholding taxes.</w:t>
      </w:r>
    </w:p>
    <w:p>
      <w:pPr>
        <w:spacing w:after="0" w:line="17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effective tax rate in 2022 increased to 23.9% from 21.0% in 2021. The change in the effective tax rate was due primarily to a net increase of uncertain tax positions during 2022, an income tax benefit recognized in 2021 for foreign tax credits which did not reoccur in 2022, partially offset by a decrease in valuation allowance on foreign tax credit carryovers originating from foreign withholding taxes, a benefit from a change in jurisdictional mix of earnings, and a tax expense recognized in 2021 related to a nonrecurring write down of a foreign tax receivable.</w:t>
      </w:r>
    </w:p>
    <w:p>
      <w:pPr>
        <w:spacing w:after="0" w:line="179" w:lineRule="exact"/>
        <w:rPr>
          <w:sz w:val="20"/>
          <w:szCs w:val="20"/>
          <w:color w:val="auto"/>
        </w:rPr>
      </w:pPr>
    </w:p>
    <w:p>
      <w:pPr>
        <w:jc w:val="both"/>
        <w:ind w:right="400" w:firstLine="509"/>
        <w:spacing w:after="0" w:line="252" w:lineRule="auto"/>
        <w:rPr>
          <w:sz w:val="20"/>
          <w:szCs w:val="20"/>
          <w:color w:val="auto"/>
        </w:rPr>
      </w:pPr>
      <w:r>
        <w:rPr>
          <w:rFonts w:ascii="Arial" w:cs="Arial" w:eastAsia="Arial" w:hAnsi="Arial"/>
          <w:sz w:val="18"/>
          <w:szCs w:val="18"/>
          <w:color w:val="auto"/>
        </w:rPr>
        <w:t>The effective tax rate for the year ended December 31, 2023 differs from the federal statutory tax rate primarily due to state income taxes, valuation allowance on foreign tax credit carryovers originating from foreign withholding taxes partially offset by benefits related to untaxed income attributable to</w:t>
      </w: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134" w:name="page135"/>
    <w:bookmarkEnd w:id="13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 earnings in lower tax jurisdictions, the FDII deduction, and federal business tax credits.</w:t>
      </w:r>
    </w:p>
    <w:p>
      <w:pPr>
        <w:spacing w:after="0" w:line="211" w:lineRule="exact"/>
        <w:rPr>
          <w:sz w:val="20"/>
          <w:szCs w:val="20"/>
          <w:color w:val="auto"/>
        </w:rPr>
      </w:pPr>
    </w:p>
    <w:p>
      <w:pPr>
        <w:ind w:right="340" w:firstLine="509"/>
        <w:spacing w:after="0" w:line="252" w:lineRule="auto"/>
        <w:rPr>
          <w:sz w:val="20"/>
          <w:szCs w:val="20"/>
          <w:color w:val="auto"/>
        </w:rPr>
      </w:pPr>
      <w:r>
        <w:rPr>
          <w:rFonts w:ascii="Arial" w:cs="Arial" w:eastAsia="Arial" w:hAnsi="Arial"/>
          <w:sz w:val="18"/>
          <w:szCs w:val="18"/>
          <w:color w:val="auto"/>
        </w:rPr>
        <w:t>The effective tax rate for the year ended December 31, 2022 differs from the federal statutory tax rate primarily due to state income taxes and a recorded valuation allowance on foreign tax credit carryovers, partially offset by benefits related to income attributable to noncontrolling interests, earnings in lower tax jurisdictions and federal business tax credits.</w:t>
      </w:r>
    </w:p>
    <w:p>
      <w:pPr>
        <w:spacing w:after="0" w:line="171"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 components of deferred tax assets and liabilities consists of the following at December 31, 2023 and December 31, 2022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Project and non-project reserves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23,555</w:t>
            </w:r>
          </w:p>
        </w:tc>
        <w:tc>
          <w:tcPr>
            <w:tcW w:w="2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20,862</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compensation and benefits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55,103</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Revenue and cost recognition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37,616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43,629</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 accruals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Net operating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8,663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8,928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44,285</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31,727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22,333</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8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233,279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213,054</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(34,779 )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(28,705 )</w:t>
            </w:r>
          </w:p>
        </w:tc>
      </w:tr>
      <w:tr>
        <w:trPr>
          <w:trHeight w:val="223"/>
        </w:trPr>
        <w:tc>
          <w:tcPr>
            <w:tcW w:w="774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198,500</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184,349</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(18,783 )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(12,131 )</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(40,131 )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(40,111 )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Profit remittance tax</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(5,822 )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(5,498 )</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(3,378 )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(1,370 )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tcPr>
          <w:p>
            <w:pPr>
              <w:ind w:left="2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(68,114 )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(59,110 )</w:t>
            </w:r>
          </w:p>
        </w:tc>
      </w:tr>
      <w:tr>
        <w:trPr>
          <w:trHeight w:val="263"/>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130,386</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125,239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-1540510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-1240790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-333375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20" w:firstLine="509"/>
        <w:spacing w:after="0" w:line="261" w:lineRule="auto"/>
        <w:rPr>
          <w:sz w:val="20"/>
          <w:szCs w:val="20"/>
          <w:color w:val="auto"/>
        </w:rPr>
      </w:pPr>
      <w:r>
        <w:rPr>
          <w:rFonts w:ascii="Arial" w:cs="Arial" w:eastAsia="Arial" w:hAnsi="Arial"/>
          <w:sz w:val="17"/>
          <w:szCs w:val="17"/>
          <w:color w:val="auto"/>
        </w:rPr>
        <w:t>The Company assesses the realizability of its deferred tax assets each reporting period through an analysis of potential sources of taxable income, including prior year taxable income available to absorb carryback of tax losses, reversals of existing taxable temporary differences, tax planning strategies, and forecasts of taxable income. The Company considers all negative and positive evidence, including the weight of the evidence, to determine if a valuation allowance against deferred tax assets is required. A valuation allowance is recorded against deferred tax assets to reflect the amount of deferred tax assets that is determined to be more-likely-than-not to be realized.</w:t>
      </w:r>
    </w:p>
    <w:p>
      <w:pPr>
        <w:spacing w:after="0" w:line="164"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The Company is not asserting that any of the earnings of the foreign subsidiaries will be permanently reinvested. Therefore, the Company has recorded a deferred tax liability for the undistributed earnings net of applicable foreign tax credits.</w:t>
      </w:r>
    </w:p>
    <w:p>
      <w:pPr>
        <w:spacing w:after="0" w:line="153"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As of December 31, 2023, and December 31, 2022, the Company’s valuation allowance against deferred tax assets was $34.8 million and $28.7 million, respectively. The Company has recorded a valuation allowance against certain tax attributes that the Company has determined are not more-likely-than-not to be realized, including certain foreign net operating loss carryforwards, foreign tax credit carryforwards, and capital loss carryforwards. From December 31, 2022 to December 31, 2023, the Company’s valuation allowance increased by $6.1 million. This increase relates to deferred tax assets recorded for foreign tax credit carryforwards, offset in part by a decrease related to net operating loss carryforwards. The valuation allowance is recorded because the Company does not expect to have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5" w:name="page136"/>
    <w:bookmarkEnd w:id="13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sufficient taxable income and foreign source income to support the net operating loss carryforwards and the foreign tax credit carryforwards before they expire.</w:t>
      </w:r>
    </w:p>
    <w:p>
      <w:pPr>
        <w:spacing w:after="0" w:line="153"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As of December 31, 2023, the Company has NOLs of $1.6 million, $30.5 million, and $30.8 million for U.S. Federal, U.S. states and foreign jurisdictions, respectively. The utilization of the U.S. federal and U.S. state NOLs are subject to certain annual limitations. Of these NOL amounts, $1.6 million, $16.7 million and $14.5 million in U.S. Federal, U.S. states and foreign jurisdictions, respectively, do not expire. The remaining amounts of NOLs in U.S. states and in foreign jurisdictions will expire if not used between 2024 and 2044.</w:t>
      </w:r>
    </w:p>
    <w:p>
      <w:pPr>
        <w:spacing w:after="0" w:line="176"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As of December 31, 2023, the Company has foreign tax credit carryforwards of $29.8 million. The Company has provided a valuation allowance of $29.8 million as the Company considers it is not more likely than not that these credits will be realized. These foreign tax credits start expiring in the year 2030.</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balances of unrecognized tax benefits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Beginning of year</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16,395</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Increases—current year tax positions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Increases—prior year tax positions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Decreases—prior year tax positions</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(1,589 )</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(3,537 )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(2,929 )</w:t>
            </w:r>
          </w:p>
        </w:tc>
      </w:tr>
      <w:tr>
        <w:trPr>
          <w:trHeight w:val="22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(1,026 )</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(1,447 )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Lapse of statute of limitations</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(364 )</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(319 )</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End of year</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25,497</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22,798</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-24765</wp:posOffset>
            </wp:positionV>
            <wp:extent cx="768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768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At December 31, 2023, and December 31, 2022, there are $25.1 million and $21.8 million of unrecognized tax benefits that if recognized would affect the Company’s effective tax rate.</w:t>
      </w:r>
    </w:p>
    <w:p>
      <w:pPr>
        <w:spacing w:after="0" w:line="153"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The Company recognizes interest and penalties related to unrecognized tax benefits as part of its income tax expense. During the years ended December 31, 2023, December 31, 2022, and December 31, 2021, the Company recognized approximately $0.5 million, $0.7 million, and $(0.9) million in interest and penalties, respectively, in the consolidated statements of income. The total amount of interest and penalties accrued in the consolidated balance sheets was $4.6 million, $4.1 million, and $3.5 million at December 31, 2023, December 31, 2022, and December 31, 2021, respectively.</w:t>
      </w:r>
    </w:p>
    <w:p>
      <w:pPr>
        <w:spacing w:after="0" w:line="17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 conducts business globally and, as a result, the Company or one or more of its subsidiaries file income tax returns in the U.S. federal jurisdiction, various U.S. states, and foreign jurisdictions. The Company is subject to examination by tax authorities in several jurisdictions, including jurisdictions where the Company has significant activities, such as Canada, Qatar, Saudi Arabia and the United States. As of December 31, 2023, the Company’s U.S. federal income tax returns for tax years 2020 and forward remain subject to examination. U.S. states and foreign income tax returns remain subject to examination based on varying local statutes of limitations.</w:t>
      </w:r>
    </w:p>
    <w:p>
      <w:pPr>
        <w:spacing w:after="0" w:line="179"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Company estimates that, within 12 months, it may decrease its uncertain tax positions by approximately $5.5 million as a result of concluding various tax audits and closing tax years.</w:t>
      </w:r>
    </w:p>
    <w:p>
      <w:pPr>
        <w:spacing w:after="0" w:line="153"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significantly different, both favorably and unfavorably. It is reasonably possible that these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6" w:name="page137"/>
    <w:bookmarkEnd w:id="136"/>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0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3"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We are awaiting the court’s rulings upon such motions, which will determine whether a trial will be necessary for this matter in 2024.</w:t>
      </w:r>
    </w:p>
    <w:p>
      <w:pPr>
        <w:spacing w:after="0" w:line="18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 November 28, 2023, a Proposed Statement of Decision was filed with the clerk of the Superior Court of the State of California In and For the County of San Mateo proposing an award of damages in the total amount of approximately $102.5 million in favor of Parsons Transportation Group, Inc. and against Alstom Signaling Operations LLC (Alstom") (including approximately $62.5 million relating to claims assigned to Parsons pursuant to a prior settlement with the Peninsula Corridor Joint Powers Board and approximately $40 million attributable to Parsons’ contractual and indemnification claims). This proposed award relates back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Alstom filed objections to the Proposed Statement of Decision, and Parsons has filed its responses to the objections. It is anticipated that the court will enter a final decision in the first quarter of 2024.</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this time, the Company is unable to determine the probability of the outcome of the litigation.</w:t>
      </w:r>
    </w:p>
    <w:p>
      <w:pPr>
        <w:spacing w:after="0" w:line="211"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2018 have been closed, and years thereafter remain open.</w:t>
      </w:r>
    </w:p>
    <w:p>
      <w:pPr>
        <w:spacing w:after="0" w:line="176"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61"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Other Benefit Plans</w:t>
      </w:r>
    </w:p>
    <w:p>
      <w:pPr>
        <w:spacing w:after="0" w:line="10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Company’s principal retirement benefit plan is the ESOP, a stock bonus plan, established in 1975 to cover eligible employees of the Company and certain affiliated companies. Contributions of treasury stock to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December 31, 2023, the total shares of the Company’s common stock outstanding were 105,839,978, of which 59,879,857 were held by the ESOP. As of December 31, 2022, the total shares of the Company’s common stock outstanding were 104,702,996, of which 63,742,151 were held by the ESOP.</w:t>
      </w:r>
    </w:p>
    <w:p>
      <w:pPr>
        <w:spacing w:after="0" w:line="183" w:lineRule="exact"/>
        <w:rPr>
          <w:sz w:val="20"/>
          <w:szCs w:val="20"/>
          <w:color w:val="auto"/>
        </w:rPr>
      </w:pPr>
    </w:p>
    <w:p>
      <w:pPr>
        <w:ind w:right="380" w:firstLine="509"/>
        <w:spacing w:after="0" w:line="243"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9"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Total ESOP contribution expense was approximately $58.2 million, $54.7 million and $54.9 million for the years ended December 31, 2023, December 31, 2022 and December 31, 2021, respectively, and is recorded in “Direct costs of contracts” and “Selling, general and administrative expense” in the consolidated statements of income.</w:t>
      </w:r>
    </w:p>
    <w:p>
      <w:pPr>
        <w:spacing w:after="0" w:line="171" w:lineRule="exact"/>
        <w:rPr>
          <w:sz w:val="20"/>
          <w:szCs w:val="20"/>
          <w:color w:val="auto"/>
        </w:rPr>
      </w:pPr>
    </w:p>
    <w:p>
      <w:pPr>
        <w:ind w:right="80" w:firstLine="509"/>
        <w:spacing w:after="0" w:line="274" w:lineRule="auto"/>
        <w:rPr>
          <w:sz w:val="20"/>
          <w:szCs w:val="20"/>
          <w:color w:val="auto"/>
        </w:rPr>
      </w:pPr>
      <w:r>
        <w:rPr>
          <w:rFonts w:ascii="Arial" w:cs="Arial" w:eastAsia="Arial" w:hAnsi="Arial"/>
          <w:sz w:val="17"/>
          <w:szCs w:val="17"/>
          <w:color w:val="auto"/>
        </w:rPr>
        <w:t>The Company also maintains a defined contribution plan (the “401(k) Plan”). Substantially all domestic employees are entitled to participate in the 401(k) Plan, subject to certain minimum requirements. The Company’s contributions to the 401(k) Plan for the years ended December 31, 2023, December 31, 2022 and December 31, 2021 amounted to $35.4 million, $30.2 million, and $25.5 million, respectively.</w:t>
      </w:r>
    </w:p>
    <w:p>
      <w:pPr>
        <w:spacing w:after="0" w:line="153" w:lineRule="exact"/>
        <w:rPr>
          <w:sz w:val="20"/>
          <w:szCs w:val="20"/>
          <w:color w:val="auto"/>
        </w:rPr>
      </w:pPr>
    </w:p>
    <w:p>
      <w:pPr>
        <w:ind w:right="80" w:firstLine="509"/>
        <w:spacing w:after="0" w:line="266" w:lineRule="auto"/>
        <w:rPr>
          <w:sz w:val="20"/>
          <w:szCs w:val="20"/>
          <w:color w:val="auto"/>
        </w:rPr>
      </w:pPr>
      <w:r>
        <w:rPr>
          <w:rFonts w:ascii="Arial" w:cs="Arial" w:eastAsia="Arial" w:hAnsi="Arial"/>
          <w:sz w:val="17"/>
          <w:szCs w:val="17"/>
          <w:color w:val="auto"/>
        </w:rPr>
        <w:t>As part of an acquisition in 2014, the Company acquired a defined contribution pension plan, a defined benefit pension plan, and supplemental retirement plan. For the defined contribution pension plan, the Company contributes a base amount plus an additional amount based upon a predetermined formula. At December 31, 2023 and December 31, 2022, the defined benefit pension plan was in a net asset position of $1.4 million and $1.8 million, respectively, which is recorded in “Other noncurrent assets” on the consolidated balance sheets.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Investments in and Advances to Joint Ventures</w:t>
      </w:r>
    </w:p>
    <w:p>
      <w:pPr>
        <w:spacing w:after="0" w:line="103" w:lineRule="exact"/>
        <w:rPr>
          <w:sz w:val="20"/>
          <w:szCs w:val="20"/>
          <w:color w:val="auto"/>
        </w:rPr>
      </w:pPr>
    </w:p>
    <w:p>
      <w:pPr>
        <w:jc w:val="both"/>
        <w:ind w:right="220" w:firstLine="509"/>
        <w:spacing w:after="0" w:line="252"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38" w:name="page139"/>
    <w:bookmarkEnd w:id="138"/>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6"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6"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53"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Letters of credit outstanding described in ‘Note 11—</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that relate to project ventures are approximately $147.7 million and $106.8 million at December 31, 2023 and December 31, 2022, respectively.</w:t>
      </w:r>
    </w:p>
    <w:p>
      <w:pPr>
        <w:spacing w:after="0" w:line="153"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1"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as of and for the years ended December 31, 2023, December 31, 2022 and December 31, 2021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426,633</w:t>
            </w:r>
          </w:p>
        </w:tc>
        <w:tc>
          <w:tcPr>
            <w:tcW w:w="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289,837</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440,928</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260,286</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198,464</w:t>
            </w:r>
          </w:p>
        </w:tc>
        <w:tc>
          <w:tcPr>
            <w:tcW w:w="100" w:type="dxa"/>
            <w:vAlign w:val="bottom"/>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5,132</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8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265,418</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198,464</w:t>
            </w:r>
          </w:p>
        </w:tc>
        <w:tc>
          <w:tcPr>
            <w:tcW w:w="100" w:type="dxa"/>
            <w:vAlign w:val="bottom"/>
          </w:tcPr>
          <w:p>
            <w:pPr>
              <w:spacing w:after="0"/>
              <w:rPr>
                <w:sz w:val="19"/>
                <w:szCs w:val="19"/>
                <w:color w:val="auto"/>
              </w:rPr>
            </w:pPr>
          </w:p>
        </w:tc>
      </w:tr>
      <w:tr>
        <w:trPr>
          <w:trHeight w:val="263"/>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joint venture equity</w:t>
            </w:r>
          </w:p>
        </w:tc>
        <w:tc>
          <w:tcPr>
            <w:tcW w:w="38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175,510</w:t>
            </w:r>
          </w:p>
        </w:tc>
        <w:tc>
          <w:tcPr>
            <w:tcW w:w="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101,334</w:t>
            </w:r>
          </w:p>
        </w:tc>
        <w:tc>
          <w:tcPr>
            <w:tcW w:w="100" w:type="dxa"/>
            <w:vAlign w:val="bottom"/>
            <w:shd w:val="clear" w:color="auto" w:fill="CFF0FC"/>
          </w:tcPr>
          <w:p>
            <w:pPr>
              <w:spacing w:after="0"/>
              <w:rPr>
                <w:sz w:val="22"/>
                <w:szCs w:val="22"/>
                <w:color w:val="auto"/>
              </w:rPr>
            </w:pPr>
          </w:p>
        </w:tc>
      </w:tr>
      <w:tr>
        <w:trPr>
          <w:trHeight w:val="371"/>
        </w:trPr>
        <w:tc>
          <w:tcPr>
            <w:tcW w:w="5780" w:type="dxa"/>
            <w:vAlign w:val="bottom"/>
            <w:tcBorders>
              <w:top w:val="single" w:sz="8" w:color="CFF0FC"/>
            </w:tcBorders>
          </w:tcPr>
          <w:p>
            <w:pPr>
              <w:spacing w:after="0"/>
              <w:rPr>
                <w:sz w:val="24"/>
                <w:szCs w:val="24"/>
                <w:color w:val="auto"/>
              </w:rPr>
            </w:pPr>
          </w:p>
        </w:tc>
        <w:tc>
          <w:tcPr>
            <w:tcW w:w="380" w:type="dxa"/>
            <w:vAlign w:val="bottom"/>
            <w:tcBorders>
              <w:top w:val="single" w:sz="8" w:color="CFF0FC"/>
              <w:bottom w:val="single" w:sz="8" w:color="auto"/>
            </w:tcBorders>
          </w:tcPr>
          <w:p>
            <w:pPr>
              <w:spacing w:after="0"/>
              <w:rPr>
                <w:sz w:val="24"/>
                <w:szCs w:val="24"/>
                <w:color w:val="auto"/>
              </w:rPr>
            </w:pPr>
          </w:p>
        </w:tc>
        <w:tc>
          <w:tcPr>
            <w:tcW w:w="780" w:type="dxa"/>
            <w:vAlign w:val="bottom"/>
            <w:tcBorders>
              <w:top w:val="single" w:sz="8" w:color="CFF0FC"/>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CFF0FC"/>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CFF0FC"/>
            </w:tcBorders>
          </w:tcPr>
          <w:p>
            <w:pPr>
              <w:spacing w:after="0"/>
              <w:rPr>
                <w:sz w:val="24"/>
                <w:szCs w:val="24"/>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708,391</w:t>
            </w:r>
          </w:p>
        </w:tc>
        <w:tc>
          <w:tcPr>
            <w:tcW w:w="7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483,888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402,078</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Costs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613,186</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422,559</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351,670</w:t>
            </w:r>
          </w:p>
        </w:tc>
        <w:tc>
          <w:tcPr>
            <w:tcW w:w="100" w:type="dxa"/>
            <w:vAlign w:val="bottom"/>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95,205</w:t>
            </w:r>
          </w:p>
        </w:tc>
        <w:tc>
          <w:tcPr>
            <w:tcW w:w="2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61,329</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50,408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57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46,766</w:t>
            </w: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29,901</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24,880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-1520825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-1520825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-1212850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-1212850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-904240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-887095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-904240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-887095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-176530</wp:posOffset>
            </wp:positionV>
            <wp:extent cx="768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-159385</wp:posOffset>
            </wp:positionV>
            <wp:extent cx="768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-176530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-159385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1" w:lineRule="exact"/>
        <w:rPr>
          <w:sz w:val="20"/>
          <w:szCs w:val="20"/>
          <w:color w:val="auto"/>
        </w:rPr>
      </w:pPr>
    </w:p>
    <w:p>
      <w:pPr>
        <w:jc w:val="both"/>
        <w:ind w:right="80" w:firstLine="509"/>
        <w:spacing w:after="0" w:line="252"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9" w:name="page140"/>
    <w:bookmarkEnd w:id="139"/>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is typically limited to the aggregate of the carrying value of the investment and future funding commitments.</w:t>
      </w:r>
    </w:p>
    <w:p>
      <w:pPr>
        <w:spacing w:after="0" w:line="211" w:lineRule="exact"/>
        <w:rPr>
          <w:sz w:val="20"/>
          <w:szCs w:val="20"/>
          <w:color w:val="auto"/>
        </w:rPr>
      </w:pPr>
    </w:p>
    <w:p>
      <w:pPr>
        <w:ind w:right="480" w:firstLine="509"/>
        <w:spacing w:after="0" w:line="301" w:lineRule="auto"/>
        <w:rPr>
          <w:sz w:val="20"/>
          <w:szCs w:val="20"/>
          <w:color w:val="auto"/>
        </w:rPr>
      </w:pPr>
      <w:r>
        <w:rPr>
          <w:rFonts w:ascii="Arial" w:cs="Arial" w:eastAsia="Arial" w:hAnsi="Arial"/>
          <w:sz w:val="17"/>
          <w:szCs w:val="17"/>
          <w:color w:val="auto"/>
        </w:rPr>
        <w:t>The following represents the financial information of the Company’s unconsolidated joint ventures as presented in their unaudited financial statements as of and for the years ended December 31, 2023, December 31, 2022 and December 31, 2021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1,607,953</w:t>
            </w:r>
          </w:p>
        </w:tc>
        <w:tc>
          <w:tcPr>
            <w:tcW w:w="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1,610,246</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483,693</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491,658</w:t>
            </w:r>
          </w:p>
        </w:tc>
        <w:tc>
          <w:tcPr>
            <w:tcW w:w="100" w:type="dxa"/>
            <w:vAlign w:val="bottom"/>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2,091,646</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2,101,904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1,057,113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1,255,297</w:t>
            </w:r>
          </w:p>
        </w:tc>
        <w:tc>
          <w:tcPr>
            <w:tcW w:w="100" w:type="dxa"/>
            <w:vAlign w:val="bottom"/>
          </w:tcPr>
          <w:p>
            <w:pPr>
              <w:spacing w:after="0"/>
              <w:rPr>
                <w:sz w:val="19"/>
                <w:szCs w:val="19"/>
                <w:color w:val="auto"/>
              </w:rPr>
            </w:pPr>
          </w:p>
        </w:tc>
      </w:tr>
      <w:tr>
        <w:trPr>
          <w:trHeight w:val="22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518,647</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8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1,575,760</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1,723,353</w:t>
            </w:r>
          </w:p>
        </w:tc>
        <w:tc>
          <w:tcPr>
            <w:tcW w:w="100" w:type="dxa"/>
            <w:vAlign w:val="bottom"/>
          </w:tcPr>
          <w:p>
            <w:pPr>
              <w:spacing w:after="0"/>
              <w:rPr>
                <w:sz w:val="19"/>
                <w:szCs w:val="19"/>
                <w:color w:val="auto"/>
              </w:rPr>
            </w:pPr>
          </w:p>
        </w:tc>
      </w:tr>
      <w:tr>
        <w:trPr>
          <w:trHeight w:val="263"/>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joint venture equity</w:t>
            </w:r>
          </w:p>
        </w:tc>
        <w:tc>
          <w:tcPr>
            <w:tcW w:w="38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515,886</w:t>
            </w:r>
          </w:p>
        </w:tc>
        <w:tc>
          <w:tcPr>
            <w:tcW w:w="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378,551</w:t>
            </w:r>
          </w:p>
        </w:tc>
        <w:tc>
          <w:tcPr>
            <w:tcW w:w="100" w:type="dxa"/>
            <w:vAlign w:val="bottom"/>
            <w:shd w:val="clear" w:color="auto" w:fill="CFF0FC"/>
          </w:tcPr>
          <w:p>
            <w:pPr>
              <w:spacing w:after="0"/>
              <w:rPr>
                <w:sz w:val="22"/>
                <w:szCs w:val="22"/>
                <w:color w:val="auto"/>
              </w:rPr>
            </w:pPr>
          </w:p>
        </w:tc>
      </w:tr>
      <w:tr>
        <w:trPr>
          <w:trHeight w:val="177"/>
        </w:trPr>
        <w:tc>
          <w:tcPr>
            <w:tcW w:w="5780" w:type="dxa"/>
            <w:vAlign w:val="bottom"/>
            <w:tcBorders>
              <w:top w:val="single" w:sz="8" w:color="CFF0FC"/>
            </w:tcBorders>
          </w:tcPr>
          <w:p>
            <w:pPr>
              <w:ind w:left="20"/>
              <w:spacing w:after="0" w:line="177" w:lineRule="exact"/>
              <w:rPr>
                <w:sz w:val="20"/>
                <w:szCs w:val="20"/>
                <w:color w:val="auto"/>
              </w:rPr>
            </w:pPr>
            <w:r>
              <w:rPr>
                <w:rFonts w:ascii="Arial" w:cs="Arial" w:eastAsia="Arial" w:hAnsi="Arial"/>
                <w:sz w:val="18"/>
                <w:szCs w:val="18"/>
                <w:color w:val="auto"/>
              </w:rPr>
              <w:t>Investments in and advances to unconsolidated joint</w:t>
            </w:r>
          </w:p>
        </w:tc>
        <w:tc>
          <w:tcPr>
            <w:tcW w:w="380" w:type="dxa"/>
            <w:vAlign w:val="bottom"/>
            <w:tcBorders>
              <w:top w:val="single" w:sz="8" w:color="CFF0FC"/>
            </w:tcBorders>
          </w:tcPr>
          <w:p>
            <w:pPr>
              <w:spacing w:after="0"/>
              <w:rPr>
                <w:sz w:val="15"/>
                <w:szCs w:val="15"/>
                <w:color w:val="auto"/>
              </w:rPr>
            </w:pPr>
          </w:p>
        </w:tc>
        <w:tc>
          <w:tcPr>
            <w:tcW w:w="78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9"/>
        </w:trPr>
        <w:tc>
          <w:tcPr>
            <w:tcW w:w="5780" w:type="dxa"/>
            <w:vAlign w:val="bottom"/>
          </w:tcPr>
          <w:p>
            <w:pPr>
              <w:ind w:left="180"/>
              <w:spacing w:after="0"/>
              <w:rPr>
                <w:sz w:val="20"/>
                <w:szCs w:val="20"/>
                <w:color w:val="auto"/>
              </w:rPr>
            </w:pPr>
            <w:r>
              <w:rPr>
                <w:rFonts w:ascii="Arial" w:cs="Arial" w:eastAsia="Arial" w:hAnsi="Arial"/>
                <w:sz w:val="18"/>
                <w:szCs w:val="18"/>
                <w:color w:val="auto"/>
              </w:rPr>
              <w:t>ventures</w:t>
            </w:r>
          </w:p>
        </w:tc>
        <w:tc>
          <w:tcPr>
            <w:tcW w:w="38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128,204</w:t>
            </w: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107,425</w:t>
            </w:r>
          </w:p>
        </w:tc>
        <w:tc>
          <w:tcPr>
            <w:tcW w:w="100" w:type="dxa"/>
            <w:vAlign w:val="bottom"/>
          </w:tcPr>
          <w:p>
            <w:pPr>
              <w:spacing w:after="0"/>
              <w:rPr>
                <w:sz w:val="20"/>
                <w:szCs w:val="20"/>
                <w:color w:val="auto"/>
              </w:rPr>
            </w:pPr>
          </w:p>
        </w:tc>
      </w:tr>
      <w:tr>
        <w:trPr>
          <w:trHeight w:val="387"/>
        </w:trPr>
        <w:tc>
          <w:tcPr>
            <w:tcW w:w="57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2,313,420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2,406,407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2,709,305</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Costs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2,310,114</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2,325,472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2,536,403</w:t>
            </w:r>
          </w:p>
        </w:tc>
        <w:tc>
          <w:tcPr>
            <w:tcW w:w="100" w:type="dxa"/>
            <w:vAlign w:val="bottom"/>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3,306</w:t>
            </w:r>
          </w:p>
        </w:tc>
        <w:tc>
          <w:tcPr>
            <w:tcW w:w="2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80,935</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172,902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5780" w:type="dxa"/>
            <w:vAlign w:val="bottom"/>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(47,751 )</w:t>
            </w: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16,347</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36,862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-1786255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-1786255</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-1486535</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-1486535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-1178560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-1161415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-1178560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-1161415</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-176530</wp:posOffset>
            </wp:positionV>
            <wp:extent cx="768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-159385</wp:posOffset>
            </wp:positionV>
            <wp:extent cx="768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-176530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-159385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520" w:firstLine="509"/>
        <w:spacing w:after="0" w:line="252" w:lineRule="auto"/>
        <w:rPr>
          <w:sz w:val="20"/>
          <w:szCs w:val="20"/>
          <w:color w:val="auto"/>
        </w:rPr>
      </w:pPr>
      <w:r>
        <w:rPr>
          <w:rFonts w:ascii="Arial" w:cs="Arial" w:eastAsia="Arial" w:hAnsi="Arial"/>
          <w:sz w:val="18"/>
          <w:szCs w:val="18"/>
          <w:color w:val="auto"/>
        </w:rPr>
        <w:t>The Company had net contributions to its unconsolidated joint ventures of $65.2 million and $13.2 million for the years ended December 31, 2023 and December 31, 2021, respectively and received net distributions from its unconsolidated joint ventures of $20.2 million for the year ended December 31, 2022.</w:t>
      </w:r>
    </w:p>
    <w:p>
      <w:pPr>
        <w:spacing w:after="0" w:line="171"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following table presents certain financial statement impacts from changes in estimates on unconsolidated joint ventures in the Critical Infrastructure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r>
      <w:tr>
        <w:trPr>
          <w:trHeight w:val="22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(83,398 )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(13,817 )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(15,593 )</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(61,842 )</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(10,335 )</w:t>
            </w:r>
          </w:p>
        </w:tc>
        <w:tc>
          <w:tcPr>
            <w:tcW w:w="1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(11,626 )</w:t>
            </w:r>
          </w:p>
        </w:tc>
      </w:tr>
      <w:tr>
        <w:trPr>
          <w:trHeight w:val="22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loss per share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(0.54 )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(0.10 )</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overhead costs for these services. For the years ended December 31, 2023, December 31, 2022 and December 31, 2021, revenues included $213.8 million, $217.4 million, and $204.7 million, respectively, related to services the Company provided to unconsolidated joint ventures. For the years ended December 31, 2023, December 31, 2022 and December 31, 2021, the Company incurred approximately $153.7 million, $157.6 million and $155.5 million, respectively, of reimbursable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0" w:name="page141"/>
    <w:bookmarkEnd w:id="140"/>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costs. Amounts included in the consolidated balance sheets related to services the Company provided to unconsolidated joint ventures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110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38,898</w:t>
            </w: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40,795</w:t>
            </w:r>
          </w:p>
        </w:tc>
        <w:tc>
          <w:tcPr>
            <w:tcW w:w="100" w:type="dxa"/>
            <w:vAlign w:val="bottom"/>
            <w:shd w:val="clear" w:color="auto" w:fill="CFF0FC"/>
          </w:tcPr>
          <w:p>
            <w:pPr>
              <w:spacing w:after="0"/>
              <w:rPr>
                <w:sz w:val="19"/>
                <w:szCs w:val="19"/>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38,009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30,578</w:t>
            </w:r>
          </w:p>
        </w:tc>
        <w:tc>
          <w:tcPr>
            <w:tcW w:w="100" w:type="dxa"/>
            <w:vAlign w:val="bottom"/>
          </w:tcPr>
          <w:p>
            <w:pPr>
              <w:spacing w:after="0"/>
              <w:rPr>
                <w:sz w:val="19"/>
                <w:szCs w:val="19"/>
                <w:color w:val="auto"/>
              </w:rPr>
            </w:pPr>
          </w:p>
        </w:tc>
      </w:tr>
      <w:tr>
        <w:trPr>
          <w:trHeight w:val="22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15,287</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14,318</w:t>
            </w:r>
          </w:p>
        </w:tc>
        <w:tc>
          <w:tcPr>
            <w:tcW w:w="100" w:type="dxa"/>
            <w:vAlign w:val="bottom"/>
            <w:shd w:val="clear" w:color="auto" w:fill="CFF0FC"/>
          </w:tcPr>
          <w:p>
            <w:pPr>
              <w:spacing w:after="0"/>
              <w:rPr>
                <w:sz w:val="19"/>
                <w:szCs w:val="19"/>
                <w:color w:val="auto"/>
              </w:rPr>
            </w:pPr>
          </w:p>
        </w:tc>
      </w:tr>
    </w:tbl>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presented above for comparable periods have been updated to reflect all unconsolidated joint ventures.</w:t>
      </w:r>
    </w:p>
    <w:p>
      <w:pPr>
        <w:spacing w:after="0" w:line="144"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0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December 31, 2023 and December 31, 2022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3" w:lineRule="exact"/>
        <w:rPr>
          <w:sz w:val="20"/>
          <w:szCs w:val="20"/>
          <w:color w:val="auto"/>
        </w:rPr>
      </w:pPr>
    </w:p>
    <w:p>
      <w:pPr>
        <w:ind w:left="1020" w:right="380" w:hanging="504"/>
        <w:spacing w:after="0" w:line="270" w:lineRule="auto"/>
        <w:tabs>
          <w:tab w:leader="none" w:pos="102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5" w:lineRule="exact"/>
        <w:rPr>
          <w:rFonts w:ascii="Times New Roman" w:cs="Times New Roman" w:eastAsia="Times New Roman" w:hAnsi="Times New Roman"/>
          <w:sz w:val="18"/>
          <w:szCs w:val="18"/>
          <w:color w:val="auto"/>
        </w:rPr>
      </w:pPr>
    </w:p>
    <w:p>
      <w:pPr>
        <w:ind w:left="1020" w:right="220" w:hanging="504"/>
        <w:spacing w:after="0" w:line="270" w:lineRule="auto"/>
        <w:tabs>
          <w:tab w:leader="none" w:pos="102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197" w:lineRule="exact"/>
        <w:rPr>
          <w:sz w:val="20"/>
          <w:szCs w:val="20"/>
          <w:color w:val="auto"/>
        </w:rPr>
      </w:pPr>
    </w:p>
    <w:p>
      <w:pPr>
        <w:ind w:left="1520" w:right="800" w:hanging="983"/>
        <w:spacing w:after="0" w:line="271" w:lineRule="auto"/>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that are accessible at the measurement date for identical assets and liabilities;</w:t>
      </w:r>
    </w:p>
    <w:p>
      <w:pPr>
        <w:spacing w:after="0" w:line="112" w:lineRule="exact"/>
        <w:rPr>
          <w:sz w:val="20"/>
          <w:szCs w:val="20"/>
          <w:color w:val="auto"/>
        </w:rPr>
      </w:pPr>
    </w:p>
    <w:p>
      <w:pPr>
        <w:ind w:left="1520" w:right="200" w:hanging="983"/>
        <w:spacing w:after="0" w:line="301"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Pricing inputs that include quoted prices for similar assets and liabilities in active markets and inputs that are observable for the asset or liability, either directly or indirectly, for substantially the full term of the derivative instrument; and</w:t>
      </w:r>
    </w:p>
    <w:p>
      <w:pPr>
        <w:spacing w:after="0" w:line="90"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Prices or valuations that require inputs that are both significant to the fair value measurements and unobservable.</w:t>
      </w:r>
    </w:p>
    <w:p>
      <w:pPr>
        <w:spacing w:after="0" w:line="225"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1" w:name="page142"/>
    <w:bookmarkEnd w:id="141"/>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Financial assets and liabilities measured at fair value on a recurring basis are as follows: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Fair value as of December 31,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293"/>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related to defined contribution plan</w:t>
            </w: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1,840</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19"/>
                <w:szCs w:val="19"/>
                <w:color w:val="auto"/>
              </w:rPr>
            </w:pPr>
          </w:p>
        </w:tc>
      </w:tr>
      <w:tr>
        <w:trPr>
          <w:trHeight w:val="229"/>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Fixed income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6,568</w:t>
            </w: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r>
      <w:tr>
        <w:trPr>
          <w:trHeight w:val="26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 at fair value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6,568</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8,763</w:t>
            </w:r>
          </w:p>
        </w:tc>
        <w:tc>
          <w:tcPr>
            <w:tcW w:w="100" w:type="dxa"/>
            <w:vAlign w:val="bottom"/>
            <w:shd w:val="clear" w:color="auto" w:fill="CFF0FC"/>
          </w:tcPr>
          <w:p>
            <w:pPr>
              <w:spacing w:after="0"/>
              <w:rPr>
                <w:sz w:val="22"/>
                <w:szCs w:val="22"/>
                <w:color w:val="auto"/>
              </w:rPr>
            </w:pPr>
          </w:p>
        </w:tc>
      </w:tr>
      <w:tr>
        <w:trPr>
          <w:trHeight w:val="210"/>
        </w:trPr>
        <w:tc>
          <w:tcPr>
            <w:tcW w:w="55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Earnout liability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r>
      <w:tr>
        <w:trPr>
          <w:trHeight w:val="26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 at fair value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FF0FC"/>
          </w:tcPr>
          <w:p>
            <w:pPr>
              <w:spacing w:after="0"/>
              <w:rPr>
                <w:sz w:val="22"/>
                <w:szCs w:val="22"/>
                <w:color w:val="auto"/>
              </w:rPr>
            </w:pPr>
          </w:p>
        </w:tc>
      </w:tr>
      <w:tr>
        <w:trPr>
          <w:trHeight w:val="443"/>
        </w:trPr>
        <w:tc>
          <w:tcPr>
            <w:tcW w:w="550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Fair value as of December 31, 2022 (in thousands):</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73"/>
        </w:trPr>
        <w:tc>
          <w:tcPr>
            <w:tcW w:w="5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293"/>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related to defined contribution plan</w:t>
            </w: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1,924</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9"/>
                <w:szCs w:val="19"/>
                <w:color w:val="auto"/>
              </w:rPr>
            </w:pPr>
          </w:p>
        </w:tc>
      </w:tr>
      <w:tr>
        <w:trPr>
          <w:trHeight w:val="22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 income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7,662</w:t>
            </w: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r>
      <w:tr>
        <w:trPr>
          <w:trHeight w:val="263"/>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7,662</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-1943100</wp:posOffset>
            </wp:positionV>
            <wp:extent cx="768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-1925955</wp:posOffset>
            </wp:positionV>
            <wp:extent cx="768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-1943100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-1925955</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-1943100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-1925955</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-1943100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-1326515</wp:posOffset>
            </wp:positionV>
            <wp:extent cx="7683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-1309370</wp:posOffset>
            </wp:positionV>
            <wp:extent cx="768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-1326515</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-1309370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-1326515</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-1309370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-24765</wp:posOffset>
            </wp:positionV>
            <wp:extent cx="768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-7620</wp:posOffset>
            </wp:positionV>
            <wp:extent cx="768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-24765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-7620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described in “Note 15—</w:t>
      </w:r>
      <w:r>
        <w:rPr>
          <w:rFonts w:ascii="Arial" w:cs="Arial" w:eastAsia="Arial" w:hAnsi="Arial"/>
          <w:sz w:val="18"/>
          <w:szCs w:val="18"/>
          <w:i w:val="1"/>
          <w:iCs w:val="1"/>
          <w:color w:val="auto"/>
        </w:rPr>
        <w:t>Retirement and Other Benefits Plans</w:t>
      </w:r>
      <w:r>
        <w:rPr>
          <w:rFonts w:ascii="Arial" w:cs="Arial" w:eastAsia="Arial" w:hAnsi="Arial"/>
          <w:sz w:val="18"/>
          <w:szCs w:val="18"/>
          <w:color w:val="auto"/>
        </w:rPr>
        <w:t>”, the Company acquired a defined contribution pension plan, a defined benefit pension plan, and supplemental retirement plans. At December 31, 2023 and December 31, 2022, the Company measured the mutual funds held within the defined benefit pension plan at fair value using unadjusted quoted prices in active markets that are accessible for identical assets. The Company measured the fixed income securities using market bid and ask prices. The inputs that are significant to the valuation of fixed income securities are generally observable, and therefore have been classified as Level 2.</w:t>
      </w:r>
    </w:p>
    <w:p>
      <w:pPr>
        <w:spacing w:after="0" w:line="17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In determining the fair value of acquired intangible assets from our business acquisitions, the Company uses the multi-period excess earnings method to value customer relationships and backlog and values developed technologies using the relief-from royalty method. These valuation methods use significant unobservable inputs classified within Level 3 of the fair value hierarchy. See "Note 2—</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p>
    <w:p>
      <w:pPr>
        <w:spacing w:after="0" w:line="176"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We measure contingent consideration at fair value on a recurring basis using significant unobservable inputs classified within Level 3 of the fair value hierarchy. See "Note 2—</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3—</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information.</w:t>
      </w:r>
    </w:p>
    <w:p>
      <w:pPr>
        <w:spacing w:after="0" w:line="153"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With respect to equity-based compensation, for restricted stock units containing service conditions or service and performance conditions, the grant date fair value is based on the closing stock price of a share of the Company’s common stock on the NYSE on the grant date. For awards that include market conditions, the grant date fair value is determined using a Monte Carlo simulation.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3" w:lineRule="exact"/>
        <w:rPr>
          <w:sz w:val="20"/>
          <w:szCs w:val="20"/>
          <w:color w:val="auto"/>
        </w:rPr>
      </w:pPr>
    </w:p>
    <w:p>
      <w:pPr>
        <w:jc w:val="both"/>
        <w:ind w:right="40" w:firstLine="509"/>
        <w:spacing w:after="0" w:line="252" w:lineRule="auto"/>
        <w:rPr>
          <w:sz w:val="20"/>
          <w:szCs w:val="20"/>
          <w:color w:val="auto"/>
        </w:rPr>
      </w:pPr>
      <w:r>
        <w:rPr>
          <w:rFonts w:ascii="Arial" w:cs="Arial" w:eastAsia="Arial" w:hAnsi="Arial"/>
          <w:sz w:val="18"/>
          <w:szCs w:val="18"/>
          <w:color w:val="auto"/>
        </w:rPr>
        <w:t>The tables below reconcile the denominator and numerator used to compute basic earnings per share (“EPS”) to the denominator and numerator used to compute diluted EPS for the years ended December 31, 2023, December 31, 2022 and December 31, 2021. Basic EPS is computed using the weighted average number of shares outstanding during the period and income available to shareholders.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2" w:name="page143"/>
    <w:bookmarkEnd w:id="142"/>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stock-based awards and shares underlying the Convertible Senior Note.</w:t>
      </w:r>
    </w:p>
    <w:p>
      <w:pPr>
        <w:spacing w:after="0" w:line="17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 xml:space="preserve">Convertible Senior Note dilution impact is calculated using the if-converted method. In connection with the offerings of our note, the Company entered into a convertible note hedge and warrants (see Note 11 - </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179"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 xml:space="preserve">Dilutive potential common shares include, when circumstances require, shares the Company could be obligated to issue from its Convertible Senior Notes and warrants (see Note 11 - </w:t>
      </w:r>
      <w:r>
        <w:rPr>
          <w:rFonts w:ascii="Arial" w:cs="Arial" w:eastAsia="Arial" w:hAnsi="Arial"/>
          <w:sz w:val="17"/>
          <w:szCs w:val="17"/>
          <w:i w:val="1"/>
          <w:iCs w:val="1"/>
          <w:color w:val="auto"/>
        </w:rPr>
        <w:t>Debt and Credit Facilities</w:t>
      </w:r>
      <w:r>
        <w:rPr>
          <w:rFonts w:ascii="Arial" w:cs="Arial" w:eastAsia="Arial" w:hAnsi="Arial"/>
          <w:sz w:val="17"/>
          <w:szCs w:val="17"/>
          <w:color w:val="auto"/>
        </w:rPr>
        <w:t xml:space="preserve"> for further discussion) and stock-based awards. Shares to be provided to the Company from its bond hedge purchased concurrently with the issuance of Convertible Senior Notes are anti-dilutive and are not included in its diluted shares. Anti-dilutive stock-based awards excluded from the calculation of earnings per share for the years 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December 31, 2022, and December 31, 2021 were 5,423, 15,113, and 11,986, respectively.</w:t>
      </w:r>
    </w:p>
    <w:p>
      <w:pPr>
        <w:spacing w:after="0" w:line="215"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following table reconciles the numerator and denominator used to compute basic EPS and the numerator and denominator used to computed diluted EPS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Net income attributable to Parsons Corporation - 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161,149</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96,664</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64,072</w:t>
            </w:r>
          </w:p>
        </w:tc>
        <w:tc>
          <w:tcPr>
            <w:tcW w:w="100" w:type="dxa"/>
            <w:vAlign w:val="bottom"/>
          </w:tcPr>
          <w:p>
            <w:pPr>
              <w:spacing w:after="0"/>
              <w:rPr>
                <w:sz w:val="19"/>
                <w:szCs w:val="19"/>
                <w:color w:val="auto"/>
              </w:rPr>
            </w:pPr>
          </w:p>
        </w:tc>
      </w:tr>
      <w:tr>
        <w:trPr>
          <w:trHeight w:val="22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senior notes if-converted method interest adjustment</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Net income attributable to Parsons Corporation -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163,440</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98,840</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66,202</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Denominator for Basic and Diluted EPS: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104,992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103,758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102,544</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Dilutive effect of stock-based awards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r>
      <w:tr>
        <w:trPr>
          <w:trHeight w:val="22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convertible senior notes</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115,082</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113,483</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112,127</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7"/>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FF0FC"/>
          </w:tcPr>
          <w:p>
            <w:pPr>
              <w:spacing w:after="0"/>
              <w:rPr>
                <w:sz w:val="23"/>
                <w:szCs w:val="23"/>
                <w:color w:val="auto"/>
              </w:rPr>
            </w:pPr>
          </w:p>
        </w:tc>
      </w:tr>
      <w:tr>
        <w:trPr>
          <w:trHeight w:val="274"/>
        </w:trPr>
        <w:tc>
          <w:tcPr>
            <w:tcW w:w="6640" w:type="dxa"/>
            <w:vAlign w:val="bottom"/>
          </w:tcPr>
          <w:p>
            <w:pPr>
              <w:ind w:left="20"/>
              <w:spacing w:after="0" w:line="234" w:lineRule="exact"/>
              <w:rPr>
                <w:sz w:val="20"/>
                <w:szCs w:val="20"/>
                <w:color w:val="auto"/>
              </w:rPr>
            </w:pPr>
            <w:r>
              <w:rPr>
                <w:rFonts w:ascii="Calibri" w:cs="Calibri" w:eastAsia="Calibri" w:hAnsi="Calibri"/>
                <w:sz w:val="20"/>
                <w:szCs w:val="20"/>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-1817370</wp:posOffset>
            </wp:positionV>
            <wp:extent cx="7683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-1817370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-1817370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-866775</wp:posOffset>
            </wp:positionV>
            <wp:extent cx="7683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-866775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-866775</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0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$100,000,000 from time to time, commencing on August 12, 2021. The Board further amended this authorization in August 2022 to remove the prior expiration date and grant executive leadership the discretion to determine the price for such share repurchases. 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3" w:name="page144"/>
    <w:bookmarkEnd w:id="143"/>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repurchase activity under the stock repurchase program.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23"/>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shares repurchased</w:t>
            </w:r>
          </w:p>
        </w:tc>
        <w:tc>
          <w:tcPr>
            <w:tcW w:w="1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233,010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574,933</w:t>
            </w:r>
          </w:p>
        </w:tc>
        <w:tc>
          <w:tcPr>
            <w:tcW w:w="100" w:type="dxa"/>
            <w:vAlign w:val="bottom"/>
            <w:shd w:val="clear" w:color="auto" w:fill="CFF0FC"/>
          </w:tcPr>
          <w:p>
            <w:pPr>
              <w:spacing w:after="0"/>
              <w:rPr>
                <w:sz w:val="19"/>
                <w:szCs w:val="19"/>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Total shares retired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233,010</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574,933</w:t>
            </w:r>
          </w:p>
        </w:tc>
        <w:tc>
          <w:tcPr>
            <w:tcW w:w="100" w:type="dxa"/>
            <w:vAlign w:val="bottom"/>
          </w:tcPr>
          <w:p>
            <w:pPr>
              <w:spacing w:after="0"/>
              <w:rPr>
                <w:sz w:val="19"/>
                <w:szCs w:val="19"/>
                <w:color w:val="auto"/>
              </w:rPr>
            </w:pPr>
          </w:p>
        </w:tc>
      </w:tr>
      <w:tr>
        <w:trPr>
          <w:trHeight w:val="22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price paid per share</w:t>
            </w:r>
          </w:p>
        </w:tc>
        <w:tc>
          <w:tcPr>
            <w:tcW w:w="112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10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2023, the Company has $45.3 million remaining under the stock repurchase program.</w:t>
      </w:r>
    </w:p>
    <w:p>
      <w:pPr>
        <w:spacing w:after="0" w:line="319" w:lineRule="exact"/>
        <w:rPr>
          <w:sz w:val="20"/>
          <w:szCs w:val="20"/>
          <w:color w:val="auto"/>
        </w:rPr>
      </w:pPr>
    </w:p>
    <w:p>
      <w:pPr>
        <w:ind w:left="520" w:hanging="512"/>
        <w:spacing w:after="0"/>
        <w:tabs>
          <w:tab w:leader="none" w:pos="5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Segments Information</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1" w:lineRule="exact"/>
        <w:rPr>
          <w:sz w:val="20"/>
          <w:szCs w:val="20"/>
          <w:color w:val="auto"/>
        </w:rPr>
      </w:pPr>
    </w:p>
    <w:p>
      <w:pPr>
        <w:ind w:right="420" w:firstLine="509"/>
        <w:spacing w:after="0" w:line="246"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76"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6" w:lineRule="exact"/>
        <w:rPr>
          <w:sz w:val="20"/>
          <w:szCs w:val="20"/>
          <w:color w:val="auto"/>
        </w:rPr>
      </w:pPr>
    </w:p>
    <w:p>
      <w:pPr>
        <w:ind w:right="380" w:firstLine="509"/>
        <w:spacing w:after="0" w:line="246"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business segment information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80" w:type="dxa"/>
            <w:vAlign w:val="bottom"/>
          </w:tcPr>
          <w:p>
            <w:pPr>
              <w:ind w:left="280"/>
              <w:spacing w:after="0"/>
              <w:rPr>
                <w:sz w:val="20"/>
                <w:szCs w:val="20"/>
                <w:color w:val="auto"/>
              </w:rPr>
            </w:pPr>
            <w:r>
              <w:rPr>
                <w:rFonts w:ascii="Arial" w:cs="Arial" w:eastAsia="Arial" w:hAnsi="Arial"/>
                <w:sz w:val="18"/>
                <w:szCs w:val="18"/>
                <w:color w:val="auto"/>
              </w:rPr>
              <w:t>Federal Solutions</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3,020,701</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2,212,987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1,888,050</w:t>
            </w:r>
          </w:p>
        </w:tc>
        <w:tc>
          <w:tcPr>
            <w:tcW w:w="100" w:type="dxa"/>
            <w:vAlign w:val="bottom"/>
          </w:tcPr>
          <w:p>
            <w:pPr>
              <w:spacing w:after="0"/>
              <w:rPr>
                <w:sz w:val="19"/>
                <w:szCs w:val="19"/>
                <w:color w:val="auto"/>
              </w:rPr>
            </w:pPr>
          </w:p>
        </w:tc>
      </w:tr>
      <w:tr>
        <w:trPr>
          <w:trHeight w:val="229"/>
        </w:trPr>
        <w:tc>
          <w:tcPr>
            <w:tcW w:w="52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Critical Infrastructure</w:t>
            </w:r>
          </w:p>
        </w:tc>
        <w:tc>
          <w:tcPr>
            <w:tcW w:w="1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2,422,048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1,982,285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1,772,721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5,442,749</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4,195,272</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3,660,771</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5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r>
      <w:tr>
        <w:trPr>
          <w:trHeight w:val="223"/>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80" w:type="dxa"/>
            <w:vAlign w:val="bottom"/>
          </w:tcPr>
          <w:p>
            <w:pPr>
              <w:ind w:left="280"/>
              <w:spacing w:after="0"/>
              <w:rPr>
                <w:sz w:val="20"/>
                <w:szCs w:val="20"/>
                <w:color w:val="auto"/>
              </w:rPr>
            </w:pPr>
            <w:r>
              <w:rPr>
                <w:rFonts w:ascii="Arial" w:cs="Arial" w:eastAsia="Arial" w:hAnsi="Arial"/>
                <w:sz w:val="18"/>
                <w:szCs w:val="18"/>
                <w:color w:val="auto"/>
              </w:rPr>
              <w:t>Federal Solutions</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4,190</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3,677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19"/>
                <w:szCs w:val="19"/>
                <w:color w:val="auto"/>
              </w:rPr>
            </w:pPr>
          </w:p>
        </w:tc>
      </w:tr>
      <w:tr>
        <w:trPr>
          <w:trHeight w:val="229"/>
        </w:trPr>
        <w:tc>
          <w:tcPr>
            <w:tcW w:w="5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Critical Infrastructure</w:t>
            </w: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(51,941 )</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34,559</w:t>
            </w:r>
          </w:p>
        </w:tc>
        <w:tc>
          <w:tcPr>
            <w:tcW w:w="100" w:type="dxa"/>
            <w:vAlign w:val="bottom"/>
            <w:shd w:val="clear" w:color="auto" w:fill="CFF0FC"/>
          </w:tcPr>
          <w:p>
            <w:pPr>
              <w:spacing w:after="0"/>
              <w:rPr>
                <w:sz w:val="19"/>
                <w:szCs w:val="19"/>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Total equity in (losses) earnings of unconsolidated joint ventures</w:t>
            </w:r>
          </w:p>
        </w:tc>
        <w:tc>
          <w:tcPr>
            <w:tcW w:w="13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(47,751 )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16,347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36,862</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61"/>
        </w:trPr>
        <w:tc>
          <w:tcPr>
            <w:tcW w:w="5280" w:type="dxa"/>
            <w:vAlign w:val="bottom"/>
          </w:tcPr>
          <w:p>
            <w:pPr>
              <w:spacing w:after="0"/>
              <w:rPr>
                <w:sz w:val="24"/>
                <w:szCs w:val="24"/>
                <w:color w:val="auto"/>
              </w:rPr>
            </w:pPr>
          </w:p>
        </w:tc>
        <w:tc>
          <w:tcPr>
            <w:tcW w:w="1660" w:type="dxa"/>
            <w:vAlign w:val="bottom"/>
            <w:gridSpan w:val="2"/>
          </w:tcPr>
          <w:p>
            <w:pPr>
              <w:jc w:val="right"/>
              <w:ind w:right="1050"/>
              <w:spacing w:after="0"/>
              <w:rPr>
                <w:sz w:val="20"/>
                <w:szCs w:val="20"/>
                <w:color w:val="auto"/>
              </w:rPr>
            </w:pPr>
            <w:r>
              <w:rPr>
                <w:rFonts w:ascii="Arial" w:cs="Arial" w:eastAsia="Arial" w:hAnsi="Arial"/>
                <w:sz w:val="18"/>
                <w:szCs w:val="18"/>
                <w:color w:val="auto"/>
              </w:rPr>
              <w:t>F-51</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1"/>
        </w:trPr>
        <w:tc>
          <w:tcPr>
            <w:tcW w:w="5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-2088515</wp:posOffset>
            </wp:positionV>
            <wp:extent cx="768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-2088515</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-1215390</wp:posOffset>
            </wp:positionV>
            <wp:extent cx="768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-1215390</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4" w:name="page145"/>
    <w:bookmarkEnd w:id="14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 The following table summarizes business segment Adjusted EBITDA and a reconciliation to net income attributable to Parsons Corporation for the periods presented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Federal Solutions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289,250</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199,004</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Critical Infrastructure</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127,785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123,385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620" w:type="dxa"/>
            <w:vAlign w:val="bottom"/>
          </w:tcPr>
          <w:p>
            <w:pPr>
              <w:ind w:left="20"/>
              <w:spacing w:after="0" w:line="190" w:lineRule="exact"/>
              <w:rPr>
                <w:sz w:val="20"/>
                <w:szCs w:val="20"/>
                <w:color w:val="auto"/>
              </w:rPr>
            </w:pPr>
            <w:r>
              <w:rPr>
                <w:rFonts w:ascii="Arial" w:cs="Arial" w:eastAsia="Arial" w:hAnsi="Arial"/>
                <w:sz w:val="18"/>
                <w:szCs w:val="18"/>
                <w:color w:val="auto"/>
              </w:rPr>
              <w:t>Adjusted EBITDA attributable to Parsons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620" w:type="dxa"/>
            <w:vAlign w:val="bottom"/>
          </w:tcPr>
          <w:p>
            <w:pPr>
              <w:ind w:left="180"/>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417,035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322,389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284,433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Adjusted EBITDA attributable to noncontrolling</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47,638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30,393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(119,973 )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(120,501 )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(144,209 )</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(29,306 )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(22,219 )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(17,301 )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(56,138 )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(39,657 )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(23,636 )</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Equity-based compensation expense</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(36,151 )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(24,354 )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(19,601 )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Transaction-related costs (a)</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(12,013 )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(16,270 )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(11,965 )</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Restructuring expense (b)</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(1,244 )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(213 )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(736 )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Other (c)</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(1,933 )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(3,003 )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(3,320 )</w:t>
            </w:r>
          </w:p>
        </w:tc>
        <w:tc>
          <w:tcPr>
            <w:tcW w:w="0" w:type="dxa"/>
            <w:vAlign w:val="bottom"/>
          </w:tcPr>
          <w:p>
            <w:pPr>
              <w:spacing w:after="0"/>
              <w:rPr>
                <w:sz w:val="1"/>
                <w:szCs w:val="1"/>
                <w:color w:val="auto"/>
              </w:rPr>
            </w:pPr>
          </w:p>
        </w:tc>
      </w:tr>
      <w:tr>
        <w:trPr>
          <w:trHeight w:val="190"/>
        </w:trPr>
        <w:tc>
          <w:tcPr>
            <w:tcW w:w="662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Net income including noncontrolling</w:t>
            </w:r>
          </w:p>
        </w:tc>
        <w:tc>
          <w:tcPr>
            <w:tcW w:w="3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207,915</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126,565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(46,766 )</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(29,901 )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(24,880 )</w:t>
            </w:r>
          </w:p>
        </w:tc>
        <w:tc>
          <w:tcPr>
            <w:tcW w:w="0" w:type="dxa"/>
            <w:vAlign w:val="bottom"/>
          </w:tcPr>
          <w:p>
            <w:pPr>
              <w:spacing w:after="0"/>
              <w:rPr>
                <w:sz w:val="1"/>
                <w:szCs w:val="1"/>
                <w:color w:val="auto"/>
              </w:rPr>
            </w:pPr>
          </w:p>
        </w:tc>
      </w:tr>
      <w:tr>
        <w:trPr>
          <w:trHeight w:val="190"/>
        </w:trPr>
        <w:tc>
          <w:tcPr>
            <w:tcW w:w="662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Net income attributable to Parsons</w:t>
            </w:r>
          </w:p>
        </w:tc>
        <w:tc>
          <w:tcPr>
            <w:tcW w:w="320" w:type="dxa"/>
            <w:vAlign w:val="bottom"/>
            <w:tcBorders>
              <w:top w:val="single" w:sz="8" w:color="auto"/>
            </w:tcBorders>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161,149</w:t>
            </w:r>
          </w:p>
        </w:tc>
        <w:tc>
          <w:tcPr>
            <w:tcW w:w="280" w:type="dxa"/>
            <w:vAlign w:val="bottom"/>
            <w:shd w:val="clear" w:color="auto" w:fill="CFF0FC"/>
          </w:tcPr>
          <w:p>
            <w:pPr>
              <w:spacing w:after="0"/>
              <w:rPr>
                <w:sz w:val="16"/>
                <w:szCs w:val="16"/>
                <w:color w:val="auto"/>
              </w:rPr>
            </w:pPr>
          </w:p>
        </w:tc>
        <w:tc>
          <w:tcPr>
            <w:tcW w:w="320" w:type="dxa"/>
            <w:vAlign w:val="bottom"/>
            <w:tcBorders>
              <w:top w:val="single" w:sz="8" w:color="auto"/>
            </w:tcBorders>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96,664</w:t>
            </w:r>
          </w:p>
        </w:tc>
        <w:tc>
          <w:tcPr>
            <w:tcW w:w="260" w:type="dxa"/>
            <w:vAlign w:val="bottom"/>
            <w:shd w:val="clear" w:color="auto" w:fill="CFF0FC"/>
          </w:tcPr>
          <w:p>
            <w:pPr>
              <w:spacing w:after="0"/>
              <w:rPr>
                <w:sz w:val="16"/>
                <w:szCs w:val="16"/>
                <w:color w:val="auto"/>
              </w:rPr>
            </w:pPr>
          </w:p>
        </w:tc>
        <w:tc>
          <w:tcPr>
            <w:tcW w:w="300" w:type="dxa"/>
            <w:vAlign w:val="bottom"/>
            <w:tcBorders>
              <w:top w:val="single" w:sz="8" w:color="auto"/>
            </w:tcBorders>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64,072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20" w:type="dxa"/>
            <w:vAlign w:val="bottom"/>
            <w:tcBorders>
              <w:bottom w:val="single" w:sz="8" w:color="CFF0FC"/>
            </w:tcBorders>
            <w:shd w:val="clear" w:color="auto" w:fill="CFF0FC"/>
          </w:tcPr>
          <w:p>
            <w:pPr>
              <w:ind w:left="180"/>
              <w:spacing w:after="0" w:line="195" w:lineRule="exact"/>
              <w:rPr>
                <w:sz w:val="20"/>
                <w:szCs w:val="20"/>
                <w:color w:val="auto"/>
              </w:rPr>
            </w:pPr>
            <w:r>
              <w:rPr>
                <w:rFonts w:ascii="Arial" w:cs="Arial" w:eastAsia="Arial" w:hAnsi="Arial"/>
                <w:sz w:val="18"/>
                <w:szCs w:val="18"/>
                <w:color w:val="auto"/>
              </w:rPr>
              <w:t>Corporation</w:t>
            </w:r>
          </w:p>
        </w:tc>
        <w:tc>
          <w:tcPr>
            <w:tcW w:w="320" w:type="dxa"/>
            <w:vAlign w:val="bottom"/>
            <w:tcBorders>
              <w:bottom w:val="single" w:sz="8" w:color="auto"/>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-2285365</wp:posOffset>
            </wp:positionV>
            <wp:extent cx="7683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-2285365</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520" w:right="220" w:hanging="512"/>
        <w:spacing w:after="0" w:line="244"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initiatives.</w:t>
      </w:r>
    </w:p>
    <w:p>
      <w:pPr>
        <w:ind w:left="520" w:right="260" w:hanging="512"/>
        <w:spacing w:after="0" w:line="250"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following table presents revenues and property and equipment, net by geographic area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North America</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4,481,492</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3,463,128</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Middle East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943,175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710,830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18,082</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5,442,749</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4,195,272</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3,660,771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91,766</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91,217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Middle East</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7,191</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4,833</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98,957</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96,050</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-795655</wp:posOffset>
            </wp:positionV>
            <wp:extent cx="7683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-795655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-179070</wp:posOffset>
            </wp:positionV>
            <wp:extent cx="7683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-179070</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45" w:name="page146"/>
    <w:bookmarkEnd w:id="14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2023, December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North America revenue includes $4.1 billion, $3.2 billion and $2.7 billion of United States revenue for the years ended December 31, 2023, December 31, 2022 and December 31, 2021, respectively. North America property and equipment, net includes $83.9 million, $84.4 million and $95.0 million of property and equipment, net in the United States at December 31, 2023, December 31, 2022 and December 31, 2021, respectively.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geographic location of revenue is determined by the location of the customer.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revenues by business lines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Defense &amp; Intelligence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1,539,968</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1,368,779</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520"/>
              <w:spacing w:after="0"/>
              <w:rPr>
                <w:sz w:val="20"/>
                <w:szCs w:val="20"/>
                <w:color w:val="auto"/>
              </w:rPr>
            </w:pPr>
            <w:r>
              <w:rPr>
                <w:rFonts w:ascii="Arial" w:cs="Arial" w:eastAsia="Arial" w:hAnsi="Arial"/>
                <w:sz w:val="18"/>
                <w:szCs w:val="18"/>
                <w:color w:val="auto"/>
              </w:rPr>
              <w:t>Engineered Systems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1,480,733</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844,208</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Federal Solutions revenues</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3,020,701</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2,212,987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1,888,050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520"/>
              <w:spacing w:after="0"/>
              <w:rPr>
                <w:sz w:val="20"/>
                <w:szCs w:val="20"/>
                <w:color w:val="auto"/>
              </w:rPr>
            </w:pPr>
            <w:r>
              <w:rPr>
                <w:rFonts w:ascii="Arial" w:cs="Arial" w:eastAsia="Arial" w:hAnsi="Arial"/>
                <w:sz w:val="18"/>
                <w:szCs w:val="18"/>
                <w:color w:val="auto"/>
              </w:rPr>
              <w:t>Infrastructure – North America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1,472,768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1,265,376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1,155,511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Infrastructure – Europe, Middle East and Africa</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949,280</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716,909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617,210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280"/>
              <w:spacing w:after="0"/>
              <w:rPr>
                <w:sz w:val="20"/>
                <w:szCs w:val="20"/>
                <w:color w:val="auto"/>
              </w:rPr>
            </w:pPr>
            <w:r>
              <w:rPr>
                <w:rFonts w:ascii="Arial" w:cs="Arial" w:eastAsia="Arial" w:hAnsi="Arial"/>
                <w:sz w:val="18"/>
                <w:szCs w:val="18"/>
                <w:color w:val="auto"/>
              </w:rPr>
              <w:t>Critical Infrastructure revenues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2,422,048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1,982,285</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5,442,749</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4,195,272</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3,660,771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-633095</wp:posOffset>
            </wp:positionV>
            <wp:extent cx="7683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-633095</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-333375</wp:posOffset>
            </wp:positionV>
            <wp:extent cx="7683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-333375</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0" w:lineRule="exact"/>
        <w:rPr>
          <w:sz w:val="20"/>
          <w:szCs w:val="20"/>
          <w:color w:val="auto"/>
        </w:rPr>
      </w:pPr>
    </w:p>
    <w:p>
      <w:pPr>
        <w:ind w:right="40" w:firstLine="509"/>
        <w:spacing w:after="0" w:line="266" w:lineRule="auto"/>
        <w:rPr>
          <w:sz w:val="20"/>
          <w:szCs w:val="20"/>
          <w:color w:val="auto"/>
        </w:rPr>
      </w:pPr>
      <w:r>
        <w:rPr>
          <w:rFonts w:ascii="Arial" w:cs="Arial" w:eastAsia="Arial" w:hAnsi="Arial"/>
          <w:sz w:val="17"/>
          <w:szCs w:val="17"/>
          <w:color w:val="auto"/>
        </w:rPr>
        <w:t>Effective June 1, 2022, the Company made changes to its Federal Solutions business units by transferring a portion of legacy Defense and Intelligence business unit to the Engineered Systems business unit. Effective October 1, 2023, the Company reorganized its Critical Infrastructure business units from Mobility Solutions and Connected Communities to Infrastructure – North America and Infrastructure – Europe, Middle East and Africa. The prior year information in the table above has been reclassified to conform to the business unit changes.</w:t>
      </w:r>
    </w:p>
    <w:p>
      <w:pPr>
        <w:spacing w:after="0" w:line="266" w:lineRule="exact"/>
        <w:rPr>
          <w:sz w:val="20"/>
          <w:szCs w:val="20"/>
          <w:color w:val="auto"/>
        </w:rPr>
      </w:pPr>
    </w:p>
    <w:p>
      <w:pPr>
        <w:ind w:left="520" w:right="9060" w:hanging="512"/>
        <w:spacing w:after="0" w:line="396" w:lineRule="auto"/>
        <w:tabs>
          <w:tab w:leader="none" w:pos="521"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None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6" w:name="page147"/>
    <w:bookmarkEnd w:id="146"/>
    <w:p>
      <w:pPr>
        <w:ind w:left="358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 and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6"/>
              <w:spacing w:after="0"/>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Balance at</w:t>
            </w:r>
          </w:p>
        </w:tc>
      </w:tr>
      <w:tr>
        <w:trPr>
          <w:trHeight w:val="185"/>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040" w:type="dxa"/>
            <w:vAlign w:val="bottom"/>
          </w:tcPr>
          <w:p>
            <w:pPr>
              <w:jc w:val="center"/>
              <w:ind w:right="96"/>
              <w:spacing w:after="0"/>
              <w:rPr>
                <w:sz w:val="20"/>
                <w:szCs w:val="20"/>
                <w:color w:val="auto"/>
              </w:rPr>
            </w:pPr>
            <w:r>
              <w:rPr>
                <w:rFonts w:ascii="Arial" w:cs="Arial" w:eastAsia="Arial" w:hAnsi="Arial"/>
                <w:sz w:val="14"/>
                <w:szCs w:val="14"/>
                <w:b w:val="1"/>
                <w:bCs w:val="1"/>
                <w:color w:val="auto"/>
              </w:rPr>
              <w:t>of period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rPr>
              <w:t>Additions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Deductions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exchange impact</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 of period</w:t>
            </w:r>
          </w:p>
        </w:tc>
      </w:tr>
      <w:tr>
        <w:trPr>
          <w:trHeight w:val="223"/>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4,011</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(59 )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19"/>
                <w:szCs w:val="19"/>
                <w:color w:val="auto"/>
              </w:rPr>
            </w:pPr>
          </w:p>
        </w:tc>
      </w:tr>
      <w:tr>
        <w:trPr>
          <w:trHeight w:val="22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 on deferred tax assets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(2,437 )</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34,779</w:t>
            </w:r>
          </w:p>
        </w:tc>
        <w:tc>
          <w:tcPr>
            <w:tcW w:w="100" w:type="dxa"/>
            <w:vAlign w:val="bottom"/>
            <w:shd w:val="clear" w:color="auto" w:fill="CFF0FC"/>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w:t>
            </w:r>
          </w:p>
        </w:tc>
        <w:tc>
          <w:tcPr>
            <w:tcW w:w="100" w:type="dxa"/>
            <w:vAlign w:val="bottom"/>
            <w:shd w:val="clear" w:color="auto" w:fill="CFF0FC"/>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Valuation allowance on deferred tax assets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(2,180 )</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(119 )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28,705</w:t>
            </w:r>
          </w:p>
        </w:tc>
        <w:tc>
          <w:tcPr>
            <w:tcW w:w="100" w:type="dxa"/>
            <w:vAlign w:val="bottom"/>
          </w:tcPr>
          <w:p>
            <w:pPr>
              <w:spacing w:after="0"/>
              <w:rPr>
                <w:sz w:val="19"/>
                <w:szCs w:val="19"/>
                <w:color w:val="auto"/>
              </w:rPr>
            </w:pPr>
          </w:p>
        </w:tc>
      </w:tr>
      <w:tr>
        <w:trPr>
          <w:trHeight w:val="22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(54 )</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19"/>
                <w:szCs w:val="19"/>
                <w:color w:val="auto"/>
              </w:rPr>
            </w:pPr>
          </w:p>
        </w:tc>
      </w:tr>
      <w:tr>
        <w:trPr>
          <w:trHeight w:val="22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 on deferred tax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23,878</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(878 )</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27,348</w:t>
            </w:r>
          </w:p>
        </w:tc>
        <w:tc>
          <w:tcPr>
            <w:tcW w:w="100" w:type="dxa"/>
            <w:vAlign w:val="bottom"/>
            <w:shd w:val="clear" w:color="auto" w:fill="CFF0FC"/>
          </w:tcPr>
          <w:p>
            <w:pPr>
              <w:spacing w:after="0"/>
              <w:rPr>
                <w:sz w:val="19"/>
                <w:szCs w:val="19"/>
                <w:color w:val="auto"/>
              </w:rPr>
            </w:pPr>
          </w:p>
        </w:tc>
      </w:tr>
      <w:tr>
        <w:trPr>
          <w:trHeight w:val="881"/>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F-54</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47" w:name="page148"/>
    <w:bookmarkEnd w:id="147"/>
    <w:tbl>
      <w:tblPr>
        <w:tblLayout w:type="fixed"/>
        <w:tblInd w:w="20" w:type="dxa"/>
        <w:tblCellMar>
          <w:top w:w="0" w:type="dxa"/>
          <w:left w:w="0" w:type="dxa"/>
          <w:bottom w:w="0" w:type="dxa"/>
          <w:right w:w="0" w:type="dxa"/>
        </w:tblCellMar>
      </w:tblPr>
      <w:tr>
        <w:trPr>
          <w:trHeight w:val="286"/>
        </w:trPr>
        <w:tc>
          <w:tcPr>
            <w:tcW w:w="36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Exhibit 19.3</w:t>
            </w:r>
          </w:p>
        </w:tc>
      </w:tr>
      <w:tr>
        <w:trPr>
          <w:trHeight w:val="550"/>
        </w:trPr>
        <w:tc>
          <w:tcPr>
            <w:tcW w:w="360" w:type="dxa"/>
            <w:vAlign w:val="bottom"/>
          </w:tcPr>
          <w:p>
            <w:pPr>
              <w:spacing w:after="0"/>
              <w:rPr>
                <w:sz w:val="24"/>
                <w:szCs w:val="24"/>
                <w:color w:val="auto"/>
              </w:rPr>
            </w:pPr>
          </w:p>
        </w:tc>
        <w:tc>
          <w:tcPr>
            <w:tcW w:w="8600" w:type="dxa"/>
            <w:vAlign w:val="bottom"/>
          </w:tcPr>
          <w:p>
            <w:pPr>
              <w:jc w:val="center"/>
              <w:ind w:left="1773"/>
              <w:spacing w:after="0"/>
              <w:rPr>
                <w:sz w:val="20"/>
                <w:szCs w:val="20"/>
                <w:color w:val="auto"/>
              </w:rPr>
            </w:pPr>
            <w:r>
              <w:rPr>
                <w:rFonts w:ascii="Times New Roman" w:cs="Times New Roman" w:eastAsia="Times New Roman" w:hAnsi="Times New Roman"/>
                <w:sz w:val="22"/>
                <w:szCs w:val="22"/>
                <w:b w:val="1"/>
                <w:bCs w:val="1"/>
                <w:color w:val="auto"/>
                <w:w w:val="97"/>
              </w:rPr>
              <w:t>PARSONS CORPORATION</w:t>
            </w:r>
          </w:p>
        </w:tc>
        <w:tc>
          <w:tcPr>
            <w:tcW w:w="2260" w:type="dxa"/>
            <w:vAlign w:val="bottom"/>
          </w:tcPr>
          <w:p>
            <w:pPr>
              <w:spacing w:after="0"/>
              <w:rPr>
                <w:sz w:val="24"/>
                <w:szCs w:val="24"/>
                <w:color w:val="auto"/>
              </w:rPr>
            </w:pPr>
          </w:p>
        </w:tc>
      </w:tr>
      <w:tr>
        <w:trPr>
          <w:trHeight w:val="286"/>
        </w:trPr>
        <w:tc>
          <w:tcPr>
            <w:tcW w:w="360" w:type="dxa"/>
            <w:vAlign w:val="bottom"/>
          </w:tcPr>
          <w:p>
            <w:pPr>
              <w:spacing w:after="0"/>
              <w:rPr>
                <w:sz w:val="24"/>
                <w:szCs w:val="24"/>
                <w:color w:val="auto"/>
              </w:rPr>
            </w:pPr>
          </w:p>
        </w:tc>
        <w:tc>
          <w:tcPr>
            <w:tcW w:w="8600" w:type="dxa"/>
            <w:vAlign w:val="bottom"/>
          </w:tcPr>
          <w:p>
            <w:pPr>
              <w:jc w:val="center"/>
              <w:ind w:left="1793"/>
              <w:spacing w:after="0"/>
              <w:rPr>
                <w:sz w:val="20"/>
                <w:szCs w:val="20"/>
                <w:color w:val="auto"/>
              </w:rPr>
            </w:pPr>
            <w:r>
              <w:rPr>
                <w:rFonts w:ascii="Times New Roman" w:cs="Times New Roman" w:eastAsia="Times New Roman" w:hAnsi="Times New Roman"/>
                <w:sz w:val="22"/>
                <w:szCs w:val="22"/>
                <w:b w:val="1"/>
                <w:bCs w:val="1"/>
                <w:color w:val="auto"/>
                <w:w w:val="98"/>
              </w:rPr>
              <w:t>INSIDER TRADING COMPLIANCE POLICY</w:t>
            </w:r>
          </w:p>
        </w:tc>
        <w:tc>
          <w:tcPr>
            <w:tcW w:w="2260" w:type="dxa"/>
            <w:vAlign w:val="bottom"/>
          </w:tcPr>
          <w:p>
            <w:pPr>
              <w:spacing w:after="0"/>
              <w:rPr>
                <w:sz w:val="24"/>
                <w:szCs w:val="24"/>
                <w:color w:val="auto"/>
              </w:rPr>
            </w:pPr>
          </w:p>
        </w:tc>
      </w:tr>
      <w:tr>
        <w:trPr>
          <w:trHeight w:val="701"/>
        </w:trPr>
        <w:tc>
          <w:tcPr>
            <w:tcW w:w="360" w:type="dxa"/>
            <w:vAlign w:val="bottom"/>
          </w:tcPr>
          <w:p>
            <w:pPr>
              <w:spacing w:after="0"/>
              <w:rPr>
                <w:sz w:val="24"/>
                <w:szCs w:val="24"/>
                <w:color w:val="auto"/>
              </w:rPr>
            </w:pPr>
          </w:p>
        </w:tc>
        <w:tc>
          <w:tcPr>
            <w:tcW w:w="8600" w:type="dxa"/>
            <w:vAlign w:val="bottom"/>
          </w:tcPr>
          <w:p>
            <w:pPr>
              <w:jc w:val="center"/>
              <w:ind w:left="1793"/>
              <w:spacing w:after="0"/>
              <w:rPr>
                <w:sz w:val="20"/>
                <w:szCs w:val="20"/>
                <w:color w:val="auto"/>
              </w:rPr>
            </w:pPr>
            <w:r>
              <w:rPr>
                <w:rFonts w:ascii="Times New Roman" w:cs="Times New Roman" w:eastAsia="Times New Roman" w:hAnsi="Times New Roman"/>
                <w:sz w:val="22"/>
                <w:szCs w:val="22"/>
                <w:b w:val="1"/>
                <w:bCs w:val="1"/>
                <w:color w:val="auto"/>
                <w:w w:val="97"/>
              </w:rPr>
              <w:t>CONTENTS</w:t>
            </w:r>
          </w:p>
        </w:tc>
        <w:tc>
          <w:tcPr>
            <w:tcW w:w="2260" w:type="dxa"/>
            <w:vAlign w:val="bottom"/>
          </w:tcPr>
          <w:p>
            <w:pPr>
              <w:spacing w:after="0"/>
              <w:rPr>
                <w:sz w:val="24"/>
                <w:szCs w:val="24"/>
                <w:color w:val="auto"/>
              </w:rPr>
            </w:pPr>
          </w:p>
        </w:tc>
      </w:tr>
      <w:tr>
        <w:trPr>
          <w:trHeight w:val="439"/>
        </w:trPr>
        <w:tc>
          <w:tcPr>
            <w:tcW w:w="360" w:type="dxa"/>
            <w:vAlign w:val="bottom"/>
          </w:tcPr>
          <w:p>
            <w:pPr>
              <w:spacing w:after="0"/>
              <w:rPr>
                <w:sz w:val="24"/>
                <w:szCs w:val="24"/>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Page</w:t>
            </w:r>
          </w:p>
        </w:tc>
        <w:tc>
          <w:tcPr>
            <w:tcW w:w="2260" w:type="dxa"/>
            <w:vAlign w:val="bottom"/>
          </w:tcPr>
          <w:p>
            <w:pPr>
              <w:spacing w:after="0"/>
              <w:rPr>
                <w:sz w:val="24"/>
                <w:szCs w:val="24"/>
                <w:color w:val="auto"/>
              </w:rPr>
            </w:pPr>
          </w:p>
        </w:tc>
      </w:tr>
      <w:tr>
        <w:trPr>
          <w:trHeight w:val="464"/>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86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SUMMARY</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85"/>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86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STATEMENT OF POLICIES PROHIBITING INSIDER TRADING</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85"/>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86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EXPLANATION OF INSIDER TRADING</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85"/>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86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STATEMENT OF PROCEDURES PREVENTING INSIDER TRADING</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85"/>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V.</w:t>
            </w:r>
          </w:p>
        </w:tc>
        <w:tc>
          <w:tcPr>
            <w:tcW w:w="86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ADDITIONAL PROHIBITED TRANSACTIONS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85"/>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VI.</w:t>
            </w:r>
          </w:p>
        </w:tc>
        <w:tc>
          <w:tcPr>
            <w:tcW w:w="86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RULE 10b5-1 TRADING PLANS, SECTION 16 AND RULE 144</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85"/>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w w:val="94"/>
              </w:rPr>
              <w:t>VII.</w:t>
            </w:r>
          </w:p>
        </w:tc>
        <w:tc>
          <w:tcPr>
            <w:tcW w:w="86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EXECUTION AND RETURN OF CERTIFICATION OF COMPLIANCE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85"/>
        </w:trPr>
        <w:tc>
          <w:tcPr>
            <w:tcW w:w="8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ATTACHMENT A</w:t>
            </w:r>
          </w:p>
        </w:tc>
        <w:tc>
          <w:tcPr>
            <w:tcW w:w="2260" w:type="dxa"/>
            <w:vAlign w:val="bottom"/>
          </w:tcPr>
          <w:p>
            <w:pPr>
              <w:spacing w:after="0"/>
              <w:rPr>
                <w:sz w:val="24"/>
                <w:szCs w:val="24"/>
                <w:color w:val="auto"/>
              </w:rPr>
            </w:pPr>
          </w:p>
        </w:tc>
      </w:tr>
      <w:tr>
        <w:trPr>
          <w:trHeight w:val="485"/>
        </w:trPr>
        <w:tc>
          <w:tcPr>
            <w:tcW w:w="8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SHORT-SWING PROFIT RULE SECTION 16(B) CHECKLIST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85"/>
        </w:trPr>
        <w:tc>
          <w:tcPr>
            <w:tcW w:w="8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ATTACHMENT B</w:t>
            </w:r>
          </w:p>
        </w:tc>
        <w:tc>
          <w:tcPr>
            <w:tcW w:w="2260" w:type="dxa"/>
            <w:vAlign w:val="bottom"/>
          </w:tcPr>
          <w:p>
            <w:pPr>
              <w:spacing w:after="0"/>
              <w:rPr>
                <w:sz w:val="24"/>
                <w:szCs w:val="24"/>
                <w:color w:val="auto"/>
              </w:rPr>
            </w:pPr>
          </w:p>
        </w:tc>
      </w:tr>
      <w:tr>
        <w:trPr>
          <w:trHeight w:val="485"/>
        </w:trPr>
        <w:tc>
          <w:tcPr>
            <w:tcW w:w="8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CERTIFICATION OF COMPLIANCE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143" w:lineRule="exact"/>
        <w:rPr>
          <w:sz w:val="20"/>
          <w:szCs w:val="20"/>
          <w:color w:val="auto"/>
        </w:rPr>
      </w:pPr>
    </w:p>
    <w:p>
      <w:pPr>
        <w:ind w:left="300" w:hanging="292"/>
        <w:spacing w:after="0"/>
        <w:tabs>
          <w:tab w:leader="none" w:pos="3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48" w:name="page149"/>
    <w:bookmarkEnd w:id="148"/>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PARSONS CORPORATION</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74" w:lineRule="exact"/>
        <w:rPr>
          <w:sz w:val="20"/>
          <w:szCs w:val="20"/>
          <w:color w:val="auto"/>
        </w:rPr>
      </w:pPr>
    </w:p>
    <w:p>
      <w:pPr>
        <w:ind w:left="440" w:hanging="432"/>
        <w:spacing w:after="0"/>
        <w:tabs>
          <w:tab w:leader="none" w:pos="4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SUMMARY</w:t>
      </w:r>
    </w:p>
    <w:p>
      <w:pPr>
        <w:spacing w:after="0" w:line="20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0"/>
          <w:szCs w:val="20"/>
          <w:color w:val="auto"/>
        </w:rPr>
        <w:t>Preventing insider trading is necessary to comply with securities laws and to preserve the reputation and integrity of Parsons Corporation (the “Company”) as well as that of all persons affiliated with the Company. “Insider trading” occurs when any person purchases or sells a security while in possession of inside information relating to the security. As explained in Section</w:t>
      </w:r>
    </w:p>
    <w:p>
      <w:pPr>
        <w:spacing w:after="0" w:line="2" w:lineRule="exact"/>
        <w:rPr>
          <w:sz w:val="20"/>
          <w:szCs w:val="20"/>
          <w:color w:val="auto"/>
        </w:rPr>
      </w:pPr>
    </w:p>
    <w:p>
      <w:pPr>
        <w:ind w:right="20" w:firstLine="8"/>
        <w:spacing w:after="0" w:line="263" w:lineRule="auto"/>
        <w:tabs>
          <w:tab w:leader="none" w:pos="27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 “inside information” is information that is both “material” and “non-public.” Insider trading is a crime. The penalties for violating insider trading laws include imprisonment, disgorgement of profits, civil fines, and criminal fines of up to $5 million for individuals and $25 million for corporations. Insider trading is also prohibited by this Insider Trading Compliance Policy (this “Policy”), and violation of this Policy may result in Company-imposed sanctions, including removal or dismissal for cause.</w:t>
      </w:r>
    </w:p>
    <w:p>
      <w:pPr>
        <w:spacing w:after="0" w:line="47" w:lineRule="exact"/>
        <w:rPr>
          <w:sz w:val="20"/>
          <w:szCs w:val="20"/>
          <w:color w:val="auto"/>
        </w:rPr>
      </w:pPr>
    </w:p>
    <w:p>
      <w:pPr>
        <w:ind w:right="220" w:firstLine="749"/>
        <w:spacing w:after="0" w:line="264" w:lineRule="auto"/>
        <w:rPr>
          <w:sz w:val="20"/>
          <w:szCs w:val="20"/>
          <w:color w:val="auto"/>
        </w:rPr>
      </w:pPr>
      <w:r>
        <w:rPr>
          <w:rFonts w:ascii="Times New Roman" w:cs="Times New Roman" w:eastAsia="Times New Roman" w:hAnsi="Times New Roman"/>
          <w:sz w:val="20"/>
          <w:szCs w:val="20"/>
          <w:color w:val="auto"/>
        </w:rPr>
        <w:t>This Policy applies to all officers, directors and employees of the Company. 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 This Policy extends to all activities within and outside an individual’s Company duties. Every officer, director and employee must review this Policy. Questions regarding the Policy should be directed to the Company’s Chief Legal Officer.</w:t>
      </w:r>
    </w:p>
    <w:p>
      <w:pPr>
        <w:spacing w:after="0" w:line="46" w:lineRule="exact"/>
        <w:rPr>
          <w:sz w:val="20"/>
          <w:szCs w:val="20"/>
          <w:color w:val="auto"/>
        </w:rPr>
      </w:pPr>
    </w:p>
    <w:p>
      <w:pPr>
        <w:ind w:left="440" w:hanging="432"/>
        <w:spacing w:after="0"/>
        <w:tabs>
          <w:tab w:leader="none" w:pos="4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 OF POLICIES PROHIBITING INSIDER TRADING</w:t>
      </w:r>
    </w:p>
    <w:p>
      <w:pPr>
        <w:spacing w:after="0" w:line="205"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No officer, director or employee shall purchase or sell any type of security while in possession of material, non-public information relating to the security, whether the issuer of such security is the Company or any other company.</w:t>
      </w:r>
    </w:p>
    <w:p>
      <w:pPr>
        <w:spacing w:after="0" w:line="45" w:lineRule="exact"/>
        <w:rPr>
          <w:sz w:val="20"/>
          <w:szCs w:val="20"/>
          <w:color w:val="auto"/>
        </w:rPr>
      </w:pPr>
    </w:p>
    <w:p>
      <w:pPr>
        <w:ind w:right="220" w:firstLine="749"/>
        <w:spacing w:after="0" w:line="230" w:lineRule="auto"/>
        <w:rPr>
          <w:sz w:val="20"/>
          <w:szCs w:val="20"/>
          <w:color w:val="auto"/>
        </w:rPr>
      </w:pPr>
      <w:r>
        <w:rPr>
          <w:rFonts w:ascii="Times New Roman" w:cs="Times New Roman" w:eastAsia="Times New Roman" w:hAnsi="Times New Roman"/>
          <w:sz w:val="22"/>
          <w:szCs w:val="22"/>
          <w:b w:val="1"/>
          <w:bCs w:val="1"/>
          <w:color w:val="auto"/>
        </w:rPr>
        <w:t>Additionally, no officer, director or employee shall purchase or sell any security of the Company during the period beginning on the 14</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xml:space="preserve"> calendar day before the end of any fiscal quarter of the Company and ending upon completion of the second full trading day after the public release of earnings data for such fiscal quarter or during any other trading suspension period declared by the Company. For purposes of this Policy, the term “security” of the Company includes both (i) the security traded on the NYSE as “PSN” and (ii) the .25% Convertible Senior Notes due in 2025.</w:t>
      </w:r>
    </w:p>
    <w:p>
      <w:pPr>
        <w:spacing w:after="0" w:line="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These prohibitions do not apply to:</w:t>
      </w:r>
    </w:p>
    <w:p>
      <w:pPr>
        <w:spacing w:after="0" w:line="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purchases of the Company’s securities from the Company or sales of the Company’s securities to the Company;</w:t>
      </w:r>
    </w:p>
    <w:p>
      <w:pPr>
        <w:spacing w:after="0" w:line="97" w:lineRule="exact"/>
        <w:rPr>
          <w:sz w:val="20"/>
          <w:szCs w:val="20"/>
          <w:color w:val="auto"/>
        </w:rPr>
      </w:pPr>
    </w:p>
    <w:p>
      <w:pPr>
        <w:ind w:left="1500" w:right="60" w:firstLine="57"/>
        <w:spacing w:after="0" w:line="239" w:lineRule="auto"/>
        <w:rPr>
          <w:sz w:val="20"/>
          <w:szCs w:val="20"/>
          <w:color w:val="auto"/>
        </w:rPr>
      </w:pPr>
      <w:r>
        <w:rPr>
          <w:rFonts w:ascii="Times New Roman" w:cs="Times New Roman" w:eastAsia="Times New Roman" w:hAnsi="Times New Roman"/>
          <w:sz w:val="22"/>
          <w:szCs w:val="22"/>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940435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75" w:lineRule="exact"/>
        <w:rPr>
          <w:sz w:val="20"/>
          <w:szCs w:val="20"/>
          <w:color w:val="auto"/>
        </w:rPr>
      </w:pPr>
    </w:p>
    <w:p>
      <w:pPr>
        <w:ind w:left="1500" w:right="140"/>
        <w:spacing w:after="0" w:line="270" w:lineRule="auto"/>
        <w:rPr>
          <w:sz w:val="20"/>
          <w:szCs w:val="20"/>
          <w:color w:val="auto"/>
        </w:rPr>
      </w:pPr>
      <w:r>
        <w:rPr>
          <w:rFonts w:ascii="Times New Roman" w:cs="Times New Roman" w:eastAsia="Times New Roman" w:hAnsi="Times New Roman"/>
          <w:sz w:val="22"/>
          <w:szCs w:val="22"/>
          <w:color w:val="auto"/>
        </w:rPr>
        <w:t xml:space="preserve">stock option through a broker </w:t>
      </w:r>
      <w:r>
        <w:rPr>
          <w:rFonts w:ascii="Times New Roman" w:cs="Times New Roman" w:eastAsia="Times New Roman" w:hAnsi="Times New Roman"/>
          <w:sz w:val="22"/>
          <w:szCs w:val="22"/>
          <w:u w:val="single" w:color="auto"/>
          <w:color w:val="auto"/>
        </w:rPr>
        <w:t>does</w:t>
      </w:r>
      <w:r>
        <w:rPr>
          <w:rFonts w:ascii="Times New Roman" w:cs="Times New Roman" w:eastAsia="Times New Roman" w:hAnsi="Times New Roman"/>
          <w:sz w:val="22"/>
          <w:szCs w:val="22"/>
          <w:color w:val="auto"/>
        </w:rPr>
        <w:t xml:space="preserve"> involve a market sale of the Company’s securities, and therefore would not qualify under this exception);</w:t>
      </w:r>
    </w:p>
    <w:p>
      <w:pPr>
        <w:spacing w:after="0" w:line="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i w:val="1"/>
          <w:iCs w:val="1"/>
          <w:color w:val="auto"/>
        </w:rPr>
        <w:t xml:space="preserve">bona fide </w:t>
      </w:r>
      <w:r>
        <w:rPr>
          <w:rFonts w:ascii="Times New Roman" w:cs="Times New Roman" w:eastAsia="Times New Roman" w:hAnsi="Times New Roman"/>
          <w:sz w:val="22"/>
          <w:szCs w:val="22"/>
          <w:color w:val="auto"/>
        </w:rPr>
        <w:t>gifts of the Company’s securities; or</w:t>
      </w:r>
    </w:p>
    <w:p>
      <w:pPr>
        <w:spacing w:after="0" w:line="101" w:lineRule="exact"/>
        <w:rPr>
          <w:sz w:val="20"/>
          <w:szCs w:val="20"/>
          <w:color w:val="auto"/>
        </w:rPr>
      </w:pPr>
    </w:p>
    <w:p>
      <w:pPr>
        <w:ind w:left="1500" w:right="20" w:firstLine="57"/>
        <w:spacing w:after="0" w:line="234" w:lineRule="auto"/>
        <w:rPr>
          <w:sz w:val="20"/>
          <w:szCs w:val="20"/>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(“Rule 10b5-1”) promulgated under the Securities Exchange Act of 1934, as amended (the “1934 Act”),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spacing w:after="0" w:line="76" w:lineRule="exact"/>
        <w:rPr>
          <w:sz w:val="20"/>
          <w:szCs w:val="20"/>
          <w:color w:val="auto"/>
        </w:rPr>
      </w:pPr>
    </w:p>
    <w:p>
      <w:pPr>
        <w:jc w:val="both"/>
        <w:ind w:right="140" w:firstLine="749"/>
        <w:spacing w:after="0" w:line="244" w:lineRule="auto"/>
        <w:rPr>
          <w:sz w:val="20"/>
          <w:szCs w:val="20"/>
          <w:color w:val="auto"/>
        </w:rPr>
      </w:pPr>
      <w:r>
        <w:rPr>
          <w:rFonts w:ascii="Times New Roman" w:cs="Times New Roman" w:eastAsia="Times New Roman" w:hAnsi="Times New Roman"/>
          <w:sz w:val="22"/>
          <w:szCs w:val="22"/>
          <w:color w:val="auto"/>
        </w:rPr>
        <w:t>No officer, director or employee shall directly or indirectly communicate (or “tip”) material, non-public information to anyone outside the Company (except in accordance with the Company’s policies regarding the protection or authorized external disclosure of Company information) or to anyone within the Company other than on a need-to-know basis.</w:t>
      </w:r>
    </w:p>
    <w:p>
      <w:pPr>
        <w:spacing w:after="0" w:line="64" w:lineRule="exact"/>
        <w:rPr>
          <w:sz w:val="20"/>
          <w:szCs w:val="20"/>
          <w:color w:val="auto"/>
        </w:rPr>
      </w:pPr>
    </w:p>
    <w:p>
      <w:pPr>
        <w:ind w:left="880" w:hanging="872"/>
        <w:spacing w:after="0"/>
        <w:tabs>
          <w:tab w:leader="none" w:pos="8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EXPLANATION OF INSIDER TRADING</w:t>
      </w:r>
    </w:p>
    <w:p>
      <w:pPr>
        <w:spacing w:after="0" w:line="20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2"/>
          <w:szCs w:val="22"/>
          <w:i w:val="1"/>
          <w:iCs w:val="1"/>
          <w:color w:val="auto"/>
        </w:rPr>
        <w:t xml:space="preserve">“Insider trading” </w:t>
      </w:r>
      <w:r>
        <w:rPr>
          <w:rFonts w:ascii="Times New Roman" w:cs="Times New Roman" w:eastAsia="Times New Roman" w:hAnsi="Times New Roman"/>
          <w:sz w:val="22"/>
          <w:szCs w:val="22"/>
          <w:color w:val="auto"/>
        </w:rPr>
        <w:t>refers to the purchase or sale of a security while in possession of “material,” “non-public”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relating to the security.</w:t>
      </w:r>
    </w:p>
    <w:p>
      <w:pPr>
        <w:spacing w:after="0" w:line="43" w:lineRule="exact"/>
        <w:rPr>
          <w:sz w:val="20"/>
          <w:szCs w:val="20"/>
          <w:color w:val="auto"/>
        </w:rPr>
      </w:pPr>
    </w:p>
    <w:p>
      <w:pPr>
        <w:ind w:right="440" w:firstLine="749"/>
        <w:spacing w:after="0" w:line="261" w:lineRule="auto"/>
        <w:rPr>
          <w:sz w:val="20"/>
          <w:szCs w:val="20"/>
          <w:color w:val="auto"/>
        </w:rPr>
      </w:pPr>
      <w:r>
        <w:rPr>
          <w:rFonts w:ascii="Times New Roman" w:cs="Times New Roman" w:eastAsia="Times New Roman" w:hAnsi="Times New Roman"/>
          <w:sz w:val="22"/>
          <w:szCs w:val="22"/>
          <w:i w:val="1"/>
          <w:iCs w:val="1"/>
          <w:color w:val="auto"/>
        </w:rPr>
        <w:t xml:space="preserve">“Securities” </w:t>
      </w:r>
      <w:r>
        <w:rPr>
          <w:rFonts w:ascii="Times New Roman" w:cs="Times New Roman" w:eastAsia="Times New Roman" w:hAnsi="Times New Roman"/>
          <w:sz w:val="22"/>
          <w:szCs w:val="22"/>
          <w:color w:val="auto"/>
        </w:rPr>
        <w:t>includes stocks, bonds, notes, debentures, options, warrants and other convertible securities, as well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derivative instruments.</w:t>
      </w:r>
    </w:p>
    <w:p>
      <w:pPr>
        <w:spacing w:after="0" w:line="43"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“Purchase”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“sale” </w:t>
      </w:r>
      <w:r>
        <w:rPr>
          <w:rFonts w:ascii="Times New Roman" w:cs="Times New Roman" w:eastAsia="Times New Roman" w:hAnsi="Times New Roman"/>
          <w:sz w:val="22"/>
          <w:szCs w:val="22"/>
          <w:color w:val="auto"/>
        </w:rPr>
        <w:t>are defined broadly under the federal securities law.</w:t>
      </w:r>
      <w:r>
        <w:rPr>
          <w:rFonts w:ascii="Times New Roman" w:cs="Times New Roman" w:eastAsia="Times New Roman" w:hAnsi="Times New Roman"/>
          <w:sz w:val="22"/>
          <w:szCs w:val="22"/>
          <w:i w:val="1"/>
          <w:iCs w:val="1"/>
          <w:color w:val="auto"/>
        </w:rPr>
        <w:t xml:space="preserve"> “Purchase” </w:t>
      </w:r>
      <w:r>
        <w:rPr>
          <w:rFonts w:ascii="Times New Roman" w:cs="Times New Roman" w:eastAsia="Times New Roman" w:hAnsi="Times New Roman"/>
          <w:sz w:val="22"/>
          <w:szCs w:val="22"/>
          <w:color w:val="auto"/>
        </w:rPr>
        <w:t>includes not only the actual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 of a security, but any contract to purchase or otherwise acquire a security. </w:t>
      </w:r>
      <w:r>
        <w:rPr>
          <w:rFonts w:ascii="Times New Roman" w:cs="Times New Roman" w:eastAsia="Times New Roman" w:hAnsi="Times New Roman"/>
          <w:sz w:val="22"/>
          <w:szCs w:val="22"/>
          <w:i w:val="1"/>
          <w:iCs w:val="1"/>
          <w:color w:val="auto"/>
        </w:rPr>
        <w:t>“Sale”</w:t>
      </w:r>
      <w:r>
        <w:rPr>
          <w:rFonts w:ascii="Times New Roman" w:cs="Times New Roman" w:eastAsia="Times New Roman" w:hAnsi="Times New Roman"/>
          <w:sz w:val="22"/>
          <w:szCs w:val="22"/>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It is generally understood that insider trading includes the following:</w:t>
      </w:r>
    </w:p>
    <w:p>
      <w:pPr>
        <w:spacing w:after="0" w:line="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Trading by insiders while in possession of material, non-public information;</w:t>
      </w:r>
    </w:p>
    <w:p>
      <w:pPr>
        <w:spacing w:after="0" w:line="97" w:lineRule="exact"/>
        <w:rPr>
          <w:sz w:val="20"/>
          <w:szCs w:val="20"/>
          <w:color w:val="auto"/>
        </w:rPr>
      </w:pPr>
    </w:p>
    <w:p>
      <w:pPr>
        <w:ind w:left="1500" w:right="160" w:hanging="264"/>
        <w:spacing w:after="0" w:line="307" w:lineRule="auto"/>
        <w:rPr>
          <w:sz w:val="20"/>
          <w:szCs w:val="20"/>
          <w:color w:val="auto"/>
        </w:rPr>
      </w:pPr>
      <w:r>
        <w:rPr>
          <w:rFonts w:ascii="Times New Roman" w:cs="Times New Roman" w:eastAsia="Times New Roman" w:hAnsi="Times New Roman"/>
          <w:sz w:val="20"/>
          <w:szCs w:val="20"/>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4" w:lineRule="exact"/>
        <w:rPr>
          <w:sz w:val="20"/>
          <w:szCs w:val="20"/>
          <w:color w:val="auto"/>
        </w:rPr>
      </w:pPr>
    </w:p>
    <w:p>
      <w:pPr>
        <w:ind w:left="1500" w:right="320" w:hanging="264"/>
        <w:spacing w:after="0" w:line="258" w:lineRule="auto"/>
        <w:rPr>
          <w:sz w:val="20"/>
          <w:szCs w:val="20"/>
          <w:color w:val="auto"/>
        </w:rPr>
      </w:pPr>
      <w:r>
        <w:rPr>
          <w:rFonts w:ascii="Times New Roman" w:cs="Times New Roman" w:eastAsia="Times New Roman" w:hAnsi="Times New Roman"/>
          <w:sz w:val="22"/>
          <w:szCs w:val="22"/>
          <w:color w:val="auto"/>
        </w:rPr>
        <w:t>Communicating or tipping material, non-public information to others, including recommending the purchase or sale of a security while in possession of such information.</w:t>
      </w: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0" w:name="page151"/>
    <w:bookmarkEnd w:id="150"/>
    <w:p>
      <w:pPr>
        <w:ind w:left="1180" w:hanging="422"/>
        <w:spacing w:after="0"/>
        <w:tabs>
          <w:tab w:leader="none" w:pos="11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Facts are Material?</w:t>
      </w:r>
    </w:p>
    <w:p>
      <w:pPr>
        <w:spacing w:after="0" w:line="98"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71" w:lineRule="exact"/>
        <w:rPr>
          <w:sz w:val="20"/>
          <w:szCs w:val="20"/>
          <w:color w:val="auto"/>
        </w:rPr>
      </w:pPr>
    </w:p>
    <w:p>
      <w:pPr>
        <w:ind w:right="160" w:firstLine="749"/>
        <w:spacing w:after="0" w:line="234" w:lineRule="auto"/>
        <w:rPr>
          <w:sz w:val="20"/>
          <w:szCs w:val="20"/>
          <w:color w:val="auto"/>
        </w:rPr>
      </w:pPr>
      <w:r>
        <w:rPr>
          <w:rFonts w:ascii="Times New Roman" w:cs="Times New Roman" w:eastAsia="Times New Roman" w:hAnsi="Times New Roman"/>
          <w:sz w:val="22"/>
          <w:szCs w:val="22"/>
          <w:color w:val="auto"/>
        </w:rPr>
        <w:t>Examples of material information include (but are not limited to) information about dividends; corporate earnings or earnings forecasts; possible mergers, acquisitions, tender offers or dispositions; major new products or product developments; important business developments such as major contract awards or cancellations, trial results, developments regarding strategic collaborators or the status of regulatory submissions; management or control changes; significant borrowing or financing developments including pending public sales or offerings of debt or equity securities; defaults on borrowings; bankruptcies; and significant litigation or regulatory actions. Moreover, material information does not have to be related to a company’s business. For example, the contents of a forthcoming newspaper column that is expected to affect the market price of a security can be material.</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A good general rule of thumb: </w:t>
      </w:r>
      <w:r>
        <w:rPr>
          <w:rFonts w:ascii="Times New Roman" w:cs="Times New Roman" w:eastAsia="Times New Roman" w:hAnsi="Times New Roman"/>
          <w:sz w:val="22"/>
          <w:szCs w:val="22"/>
          <w:b w:val="1"/>
          <w:bCs w:val="1"/>
          <w:color w:val="auto"/>
        </w:rPr>
        <w:t>When in doubt, do not trade.</w:t>
      </w:r>
    </w:p>
    <w:p>
      <w:pPr>
        <w:spacing w:after="0" w:line="102" w:lineRule="exact"/>
        <w:rPr>
          <w:sz w:val="20"/>
          <w:szCs w:val="20"/>
          <w:color w:val="auto"/>
        </w:rPr>
      </w:pPr>
    </w:p>
    <w:p>
      <w:pPr>
        <w:ind w:left="1180" w:hanging="422"/>
        <w:spacing w:after="0"/>
        <w:tabs>
          <w:tab w:leader="none" w:pos="11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What is Non-public?</w:t>
      </w:r>
    </w:p>
    <w:p>
      <w:pPr>
        <w:spacing w:after="0" w:line="98"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22"/>
          <w:szCs w:val="22"/>
          <w:u w:val="single" w:color="auto"/>
          <w:color w:val="auto"/>
        </w:rPr>
        <w:t>Dow Jones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Reuters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Associated Press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United Press International</w:t>
      </w:r>
      <w:r>
        <w:rPr>
          <w:rFonts w:ascii="Times New Roman" w:cs="Times New Roman" w:eastAsia="Times New Roman" w:hAnsi="Times New Roman"/>
          <w:sz w:val="22"/>
          <w:szCs w:val="22"/>
          <w:color w:val="auto"/>
        </w:rPr>
        <w:t>, a broadcast on widely available radio or television programs, publication in a widely available newspaper, magazine or news web site, a Regulation FD-compliant conference call, or public disclosure documents filed with the SEC that are available on the SEC’s web site.</w:t>
      </w:r>
    </w:p>
    <w:p>
      <w:pPr>
        <w:spacing w:after="0" w:line="72"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w:t>
      </w:r>
    </w:p>
    <w:p>
      <w:pPr>
        <w:spacing w:after="0" w:line="71" w:lineRule="exact"/>
        <w:rPr>
          <w:sz w:val="20"/>
          <w:szCs w:val="20"/>
          <w:color w:val="auto"/>
        </w:rPr>
      </w:pPr>
    </w:p>
    <w:p>
      <w:pPr>
        <w:ind w:left="1180" w:hanging="422"/>
        <w:spacing w:after="0"/>
        <w:tabs>
          <w:tab w:leader="none" w:pos="11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 is an Insider?</w:t>
      </w:r>
    </w:p>
    <w:p>
      <w:pPr>
        <w:spacing w:after="0" w:line="98"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“Insiders” include officers, directors and employees of a company and anyone else who has material inside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 Officers, directors and employees may not trade in the Company’s securities while in possession of material, non-public information relating to the Company, nor may they tip such information to anyone outside the Company (except in accordance with the Company’s policies regarding the protection or authorized external</w:t>
      </w:r>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51" w:name="page152"/>
    <w:bookmarkEnd w:id="151"/>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disclosure of Company information) or to anyone within the Company other than on a need-to-know basis.</w:t>
      </w:r>
    </w:p>
    <w:p>
      <w:pPr>
        <w:spacing w:after="0" w:line="98"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w:t>
      </w:r>
    </w:p>
    <w:p>
      <w:pPr>
        <w:spacing w:after="0" w:line="71" w:lineRule="exact"/>
        <w:rPr>
          <w:sz w:val="20"/>
          <w:szCs w:val="20"/>
          <w:color w:val="auto"/>
        </w:rPr>
      </w:pPr>
    </w:p>
    <w:p>
      <w:pPr>
        <w:ind w:left="1180" w:hanging="422"/>
        <w:spacing w:after="0"/>
        <w:tabs>
          <w:tab w:leader="none" w:pos="11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by Persons Other than Insiders</w:t>
      </w:r>
    </w:p>
    <w:p>
      <w:pPr>
        <w:spacing w:after="0" w:line="9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71" w:lineRule="exact"/>
        <w:rPr>
          <w:sz w:val="20"/>
          <w:szCs w:val="20"/>
          <w:color w:val="auto"/>
        </w:rPr>
      </w:pPr>
    </w:p>
    <w:p>
      <w:pPr>
        <w:ind w:right="140" w:firstLine="749"/>
        <w:spacing w:after="0" w:line="237" w:lineRule="auto"/>
        <w:rPr>
          <w:sz w:val="20"/>
          <w:szCs w:val="20"/>
          <w:color w:val="auto"/>
        </w:rPr>
      </w:pPr>
      <w:r>
        <w:rPr>
          <w:rFonts w:ascii="Times New Roman" w:cs="Times New Roman" w:eastAsia="Times New Roman" w:hAnsi="Times New Roman"/>
          <w:sz w:val="22"/>
          <w:szCs w:val="22"/>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72" w:lineRule="exact"/>
        <w:rPr>
          <w:sz w:val="20"/>
          <w:szCs w:val="20"/>
          <w:color w:val="auto"/>
        </w:rPr>
      </w:pPr>
    </w:p>
    <w:p>
      <w:pPr>
        <w:ind w:left="1180" w:hanging="422"/>
        <w:spacing w:after="0"/>
        <w:tabs>
          <w:tab w:leader="none" w:pos="11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Penalties for Engaging in Insider Trading</w:t>
      </w:r>
    </w:p>
    <w:p>
      <w:pPr>
        <w:spacing w:after="0" w:line="98"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Penalties for trading on or tipping material, non-public information can extend significantly beyond any profits made or losses avoided, both for individuals engaging in such unlawful conduct and their employers. The Securities and Exchange Commission (“SEC”) and Department of Justice have made the civil and criminal prosecution of insider trading violations a top priority. Enforcement remedies available to the government or private plaintiffs under the federal securities laws include:</w:t>
      </w:r>
    </w:p>
    <w:p>
      <w:pPr>
        <w:spacing w:after="0" w:line="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SEC administrative sanctions;</w:t>
      </w:r>
    </w:p>
    <w:p>
      <w:pPr>
        <w:spacing w:after="0" w:line="97" w:lineRule="exact"/>
        <w:rPr>
          <w:sz w:val="20"/>
          <w:szCs w:val="20"/>
          <w:color w:val="auto"/>
        </w:rPr>
      </w:pPr>
    </w:p>
    <w:p>
      <w:pPr>
        <w:ind w:left="1240" w:right="5020"/>
        <w:spacing w:after="0" w:line="332" w:lineRule="auto"/>
        <w:rPr>
          <w:sz w:val="20"/>
          <w:szCs w:val="20"/>
          <w:color w:val="auto"/>
        </w:rPr>
      </w:pPr>
      <w:r>
        <w:rPr>
          <w:rFonts w:ascii="Times New Roman" w:cs="Times New Roman" w:eastAsia="Times New Roman" w:hAnsi="Times New Roman"/>
          <w:sz w:val="22"/>
          <w:szCs w:val="22"/>
          <w:color w:val="auto"/>
        </w:rPr>
        <w:t>Securities industry self-regulatory organization sanctions; Civil injunctions;</w:t>
      </w:r>
    </w:p>
    <w:p>
      <w:pPr>
        <w:spacing w:after="0" w:line="1" w:lineRule="exact"/>
        <w:rPr>
          <w:sz w:val="20"/>
          <w:szCs w:val="20"/>
          <w:color w:val="auto"/>
        </w:rPr>
      </w:pPr>
    </w:p>
    <w:p>
      <w:pPr>
        <w:ind w:left="1240" w:right="6860"/>
        <w:spacing w:after="0" w:line="365" w:lineRule="auto"/>
        <w:rPr>
          <w:sz w:val="20"/>
          <w:szCs w:val="20"/>
          <w:color w:val="auto"/>
        </w:rPr>
      </w:pPr>
      <w:r>
        <w:rPr>
          <w:rFonts w:ascii="Times New Roman" w:cs="Times New Roman" w:eastAsia="Times New Roman" w:hAnsi="Times New Roman"/>
          <w:sz w:val="20"/>
          <w:szCs w:val="20"/>
          <w:color w:val="auto"/>
        </w:rPr>
        <w:t>Damage awards to private plaintiffs; Disgorgement of all profits;</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Civil fines for the violator of up to three times the amount of profit gained or loss avoided;</w:t>
      </w:r>
    </w:p>
    <w:p>
      <w:pPr>
        <w:spacing w:after="0" w:line="97" w:lineRule="exact"/>
        <w:rPr>
          <w:sz w:val="20"/>
          <w:szCs w:val="20"/>
          <w:color w:val="auto"/>
        </w:rPr>
      </w:pPr>
    </w:p>
    <w:p>
      <w:pPr>
        <w:ind w:left="1500" w:right="420" w:hanging="264"/>
        <w:spacing w:after="0" w:line="244" w:lineRule="auto"/>
        <w:rPr>
          <w:sz w:val="20"/>
          <w:szCs w:val="20"/>
          <w:color w:val="auto"/>
        </w:rPr>
      </w:pPr>
      <w:r>
        <w:rPr>
          <w:rFonts w:ascii="Times New Roman" w:cs="Times New Roman" w:eastAsia="Times New Roman" w:hAnsi="Times New Roman"/>
          <w:sz w:val="22"/>
          <w:szCs w:val="22"/>
          <w:color w:val="auto"/>
        </w:rPr>
        <w:t>Civil fines for the employer or other controlling person of a violator (i.e., where the violator is an employee or other controlled person) of up to the greater of $1,425,000 or three times the amount of profit gained or loss avoided by the violator;</w:t>
      </w:r>
    </w:p>
    <w:p>
      <w:pPr>
        <w:spacing w:after="0" w:line="200" w:lineRule="exact"/>
        <w:rPr>
          <w:sz w:val="20"/>
          <w:szCs w:val="20"/>
          <w:color w:val="auto"/>
        </w:rPr>
      </w:pPr>
    </w:p>
    <w:p>
      <w:pPr>
        <w:spacing w:after="0" w:line="3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75" w:lineRule="exact"/>
        <w:rPr>
          <w:sz w:val="20"/>
          <w:szCs w:val="20"/>
          <w:color w:val="auto"/>
        </w:rPr>
      </w:pPr>
    </w:p>
    <w:p>
      <w:pPr>
        <w:ind w:left="1240" w:right="2160"/>
        <w:spacing w:after="0" w:line="332" w:lineRule="auto"/>
        <w:rPr>
          <w:sz w:val="20"/>
          <w:szCs w:val="20"/>
          <w:color w:val="auto"/>
        </w:rPr>
      </w:pPr>
      <w:r>
        <w:rPr>
          <w:rFonts w:ascii="Times New Roman" w:cs="Times New Roman" w:eastAsia="Times New Roman" w:hAnsi="Times New Roman"/>
          <w:sz w:val="22"/>
          <w:szCs w:val="22"/>
          <w:color w:val="auto"/>
        </w:rPr>
        <w:t>Criminal fines for individual violators of up to $5,000,000 ($25,000,000 for an entity); and Jail sentences of up to 20 years.</w:t>
      </w:r>
    </w:p>
    <w:p>
      <w:pPr>
        <w:spacing w:after="0" w:line="1"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71" w:lineRule="exact"/>
        <w:rPr>
          <w:sz w:val="20"/>
          <w:szCs w:val="20"/>
          <w:color w:val="auto"/>
        </w:rPr>
      </w:pPr>
    </w:p>
    <w:p>
      <w:pPr>
        <w:ind w:left="1180" w:hanging="422"/>
        <w:spacing w:after="0"/>
        <w:tabs>
          <w:tab w:leader="none" w:pos="11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Size of Transaction and Reason for Transaction Do Not Matter</w:t>
      </w:r>
    </w:p>
    <w:p>
      <w:pPr>
        <w:spacing w:after="0" w:line="9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The size of the transaction or the amount of profit received does not have to be significant to result in prosecution. The SEC has the ability to monitor even the smallest trades, and the SEC performs routine market surveillance. Brokers or dealers are required by law to inform the SEC of any possible violations by people who may have material, non-public information. The SEC aggressively investigates even small insider trading violations.</w:t>
      </w:r>
    </w:p>
    <w:p>
      <w:pPr>
        <w:spacing w:after="0" w:line="71" w:lineRule="exact"/>
        <w:rPr>
          <w:sz w:val="20"/>
          <w:szCs w:val="20"/>
          <w:color w:val="auto"/>
        </w:rPr>
      </w:pPr>
    </w:p>
    <w:p>
      <w:pPr>
        <w:ind w:left="1180" w:hanging="422"/>
        <w:spacing w:after="0"/>
        <w:tabs>
          <w:tab w:leader="none" w:pos="11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Examples of Insider Trading</w:t>
      </w:r>
    </w:p>
    <w:p>
      <w:pPr>
        <w:spacing w:after="0" w:line="98" w:lineRule="exact"/>
        <w:rPr>
          <w:sz w:val="20"/>
          <w:szCs w:val="20"/>
          <w:color w:val="auto"/>
        </w:rPr>
      </w:pPr>
    </w:p>
    <w:p>
      <w:pPr>
        <w:ind w:right="180" w:firstLine="749"/>
        <w:spacing w:after="0" w:line="237" w:lineRule="auto"/>
        <w:rPr>
          <w:sz w:val="20"/>
          <w:szCs w:val="20"/>
          <w:color w:val="auto"/>
        </w:rPr>
      </w:pPr>
      <w:r>
        <w:rPr>
          <w:rFonts w:ascii="Times New Roman" w:cs="Times New Roman" w:eastAsia="Times New Roman" w:hAnsi="Times New Roman"/>
          <w:sz w:val="22"/>
          <w:szCs w:val="22"/>
          <w:color w:val="auto"/>
        </w:rPr>
        <w:t>Examples of insider trading cases include actions brought against corporate officers, directors, and employees who traded in a company’s securities after learning of significant confidential corporate developments; friends, business associates, family members and other tippees of such officers, directors, and employees who traded in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72"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22"/>
          <w:szCs w:val="22"/>
          <w:color w:val="auto"/>
        </w:rPr>
        <w:t>The following are illustrations of insider trading violations. These illustrations are hypothetical and, consequently, not intended to reflect on the actual activities or business of the Company or any other entity.</w:t>
      </w:r>
    </w:p>
    <w:p>
      <w:pPr>
        <w:spacing w:after="0" w:line="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Trading by Insider</w:t>
      </w:r>
    </w:p>
    <w:p>
      <w:pPr>
        <w:spacing w:after="0" w:line="98" w:lineRule="exact"/>
        <w:rPr>
          <w:sz w:val="20"/>
          <w:szCs w:val="20"/>
          <w:color w:val="auto"/>
        </w:rPr>
      </w:pPr>
    </w:p>
    <w:p>
      <w:pPr>
        <w:ind w:left="760" w:right="100"/>
        <w:spacing w:after="0" w:line="266" w:lineRule="auto"/>
        <w:rPr>
          <w:sz w:val="20"/>
          <w:szCs w:val="20"/>
          <w:color w:val="auto"/>
        </w:rPr>
      </w:pPr>
      <w:r>
        <w:rPr>
          <w:rFonts w:ascii="Times New Roman" w:cs="Times New Roman" w:eastAsia="Times New Roman" w:hAnsi="Times New Roman"/>
          <w:sz w:val="20"/>
          <w:szCs w:val="20"/>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Trading by Tippee</w:t>
      </w:r>
    </w:p>
    <w:p>
      <w:pPr>
        <w:spacing w:after="0" w:line="98" w:lineRule="exact"/>
        <w:rPr>
          <w:sz w:val="20"/>
          <w:szCs w:val="20"/>
          <w:color w:val="auto"/>
        </w:rPr>
      </w:pPr>
    </w:p>
    <w:p>
      <w:pPr>
        <w:ind w:left="760" w:right="380"/>
        <w:spacing w:after="0" w:line="239" w:lineRule="auto"/>
        <w:rPr>
          <w:sz w:val="20"/>
          <w:szCs w:val="20"/>
          <w:color w:val="auto"/>
        </w:rPr>
      </w:pPr>
      <w:r>
        <w:rPr>
          <w:rFonts w:ascii="Times New Roman" w:cs="Times New Roman" w:eastAsia="Times New Roman" w:hAnsi="Times New Roman"/>
          <w:sz w:val="22"/>
          <w:szCs w:val="22"/>
          <w:color w:val="auto"/>
        </w:rPr>
        <w:t>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w:t>
      </w: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5</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friend are also subject to criminal prosecution and other remedies and sanctions, as described above.</w:t>
      </w:r>
    </w:p>
    <w:p>
      <w:pPr>
        <w:spacing w:after="0" w:line="98" w:lineRule="exact"/>
        <w:rPr>
          <w:sz w:val="20"/>
          <w:szCs w:val="20"/>
          <w:color w:val="auto"/>
        </w:rPr>
      </w:pPr>
    </w:p>
    <w:p>
      <w:pPr>
        <w:ind w:left="1180" w:hanging="422"/>
        <w:spacing w:after="0"/>
        <w:tabs>
          <w:tab w:leader="none" w:pos="11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 of Records Falsification and False Statements</w:t>
      </w:r>
    </w:p>
    <w:p>
      <w:pPr>
        <w:spacing w:after="0" w:line="98"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7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u w:val="single" w:color="auto"/>
          <w:color w:val="auto"/>
        </w:rPr>
        <w:t>STATEMENT OF PROCEDURES PREVENTING INSIDER TRADING</w:t>
      </w:r>
    </w:p>
    <w:p>
      <w:pPr>
        <w:spacing w:after="0" w:line="205" w:lineRule="exact"/>
        <w:rPr>
          <w:sz w:val="20"/>
          <w:szCs w:val="20"/>
          <w:color w:val="auto"/>
        </w:rPr>
      </w:pPr>
    </w:p>
    <w:p>
      <w:pPr>
        <w:ind w:right="600" w:firstLine="749"/>
        <w:spacing w:after="0" w:line="258" w:lineRule="auto"/>
        <w:rPr>
          <w:sz w:val="20"/>
          <w:szCs w:val="20"/>
          <w:color w:val="auto"/>
        </w:rPr>
      </w:pPr>
      <w:r>
        <w:rPr>
          <w:rFonts w:ascii="Times New Roman" w:cs="Times New Roman" w:eastAsia="Times New Roman" w:hAnsi="Times New Roman"/>
          <w:sz w:val="22"/>
          <w:szCs w:val="22"/>
          <w:color w:val="auto"/>
        </w:rPr>
        <w:t>The following procedures have been established, and will be maintained and enforced, by the Company to prevent insider trading. Every officer, director and employee is required to follow these procedures.</w:t>
      </w:r>
    </w:p>
    <w:p>
      <w:pPr>
        <w:spacing w:after="0" w:line="265" w:lineRule="exact"/>
        <w:rPr>
          <w:sz w:val="20"/>
          <w:szCs w:val="20"/>
          <w:color w:val="auto"/>
        </w:rPr>
      </w:pPr>
    </w:p>
    <w:p>
      <w:pPr>
        <w:ind w:left="1180" w:hanging="422"/>
        <w:spacing w:after="0"/>
        <w:tabs>
          <w:tab w:leader="none" w:pos="11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 of All Trades by All Officers, Directors and Employees</w:t>
      </w:r>
    </w:p>
    <w:p>
      <w:pPr>
        <w:spacing w:after="0" w:line="98"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20"/>
          <w:szCs w:val="20"/>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0"/>
          <w:szCs w:val="20"/>
          <w:b w:val="1"/>
          <w:bCs w:val="1"/>
          <w:color w:val="auto"/>
        </w:rPr>
        <w:t>all transactions in the Company’s 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involving the acquisition of Company stock and the exercise of stock options by officers, directors and employees referenced in Attachment C hereto (each, a “Pre-Clearance Person”) must be pre-cleared </w:t>
      </w:r>
      <w:r>
        <w:rPr>
          <w:rFonts w:ascii="Times New Roman" w:cs="Times New Roman" w:eastAsia="Times New Roman" w:hAnsi="Times New Roman"/>
          <w:sz w:val="20"/>
          <w:szCs w:val="20"/>
          <w:color w:val="auto"/>
        </w:rPr>
        <w:t>by the Company’s Chief Legal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Pre-clearance does not relieve anyone of his or her responsibility under SEC rules. The Chief Legal Officer shall consider any stock repurchase activity by the Company prior to granting approval of a trade request by a Pre-Clearance Person and may withhold approval of any such request to ensure compliance with regulatory restrictions and requirements.</w:t>
      </w:r>
    </w:p>
    <w:p>
      <w:pPr>
        <w:spacing w:after="0" w:line="49"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A request for pre-clearance may be oral or in writing (including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other securities to be involved. In addition, the Pre-Clearance Person must execute a certification (in the form approved by the Chief Legal Officer) that he or she is not aware of material nonpublic information about the Company. The Chief Legal Officer shall have sole discretion to decide whether to clear any contemplated transaction. The Chief Legal Officer shall have sole discretion to decide whether to clear transactions by all persons or entities subject to this policy, including members of the executive leadership team (ELT), as a result of their relationship with the Chief Legal Officer. All trades that are pre-cleared must be affected within five business days of receipt of the pre-clearance unless a specific exception has been granted by the Chief Legal Officer. A pre-cleared trade (or any</w:t>
      </w:r>
    </w:p>
    <w:p>
      <w:pPr>
        <w:spacing w:after="0" w:line="200" w:lineRule="exact"/>
        <w:rPr>
          <w:sz w:val="20"/>
          <w:szCs w:val="20"/>
          <w:color w:val="auto"/>
        </w:r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6</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75"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20"/>
          <w:szCs w:val="20"/>
          <w:color w:val="auto"/>
        </w:rPr>
        <w:t>portion of a pre-cleared trade) that has not been affected during the five-business day period must be pre-cleared again prior to execution. Notwithstanding receipt of pre-clearance, if the Pre-Clearance Person becomes aware of material non-public information or becomes subject to a black-out period before the transaction is affected, the transaction may not be completed.</w:t>
      </w:r>
    </w:p>
    <w:p>
      <w:pPr>
        <w:spacing w:after="0" w:line="31" w:lineRule="exact"/>
        <w:rPr>
          <w:sz w:val="20"/>
          <w:szCs w:val="20"/>
          <w:color w:val="auto"/>
        </w:rPr>
      </w:pPr>
    </w:p>
    <w:p>
      <w:pPr>
        <w:ind w:right="820" w:firstLine="749"/>
        <w:spacing w:after="0" w:line="265" w:lineRule="auto"/>
        <w:rPr>
          <w:sz w:val="20"/>
          <w:szCs w:val="20"/>
          <w:color w:val="auto"/>
        </w:rPr>
      </w:pPr>
      <w:r>
        <w:rPr>
          <w:rFonts w:ascii="Times New Roman" w:cs="Times New Roman" w:eastAsia="Times New Roman" w:hAnsi="Times New Roman"/>
          <w:sz w:val="20"/>
          <w:szCs w:val="20"/>
          <w:color w:val="auto"/>
        </w:rPr>
        <w:t xml:space="preserve">To provide further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20"/>
          <w:szCs w:val="20"/>
          <w:b w:val="1"/>
          <w:bCs w:val="1"/>
          <w:color w:val="auto"/>
        </w:rPr>
        <w:t>all transactions in the</w:t>
      </w:r>
    </w:p>
    <w:p>
      <w:pPr>
        <w:spacing w:after="0" w:line="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b w:val="1"/>
          <w:bCs w:val="1"/>
          <w:color w:val="auto"/>
        </w:rPr>
        <w:t>Company’s securities involving any sale or disposition of Company stock by a director or certain Pre-Clearance Persons, as referenced in Attachment D hereto, may only be made pursuant to a Trading Plan in accordance with the provisions set forth in Article VI, Section A herein.</w:t>
      </w:r>
    </w:p>
    <w:p>
      <w:pPr>
        <w:spacing w:after="0" w:line="200" w:lineRule="exact"/>
        <w:rPr>
          <w:sz w:val="20"/>
          <w:szCs w:val="20"/>
          <w:color w:val="auto"/>
        </w:rPr>
      </w:pPr>
    </w:p>
    <w:p>
      <w:pPr>
        <w:spacing w:after="0" w:line="219"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20"/>
          <w:szCs w:val="20"/>
          <w:color w:val="auto"/>
        </w:rPr>
        <w:t>None of the Company, the Chief Legal Officer or the Company’s other employees will have any liability for any delay in reviewing, or refusal of, a request for pre-clearance submitted pursuant to this Section IV.A. Notwithstanding any pre-clearance of a transaction pursuant to this Section IV.A, none of the Company, the Chief Legal Officer or the Company’s other employees assumes any liability for the legality or consequences of such transaction to the person engaging in such transaction.</w:t>
      </w:r>
    </w:p>
    <w:p>
      <w:pPr>
        <w:spacing w:after="0" w:line="40" w:lineRule="exact"/>
        <w:rPr>
          <w:sz w:val="20"/>
          <w:szCs w:val="20"/>
          <w:color w:val="auto"/>
        </w:rPr>
      </w:pPr>
    </w:p>
    <w:p>
      <w:pPr>
        <w:ind w:left="1180" w:hanging="422"/>
        <w:spacing w:after="0"/>
        <w:tabs>
          <w:tab w:leader="none" w:pos="11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p>
    <w:p>
      <w:pPr>
        <w:spacing w:after="0" w:line="94" w:lineRule="exact"/>
        <w:rPr>
          <w:sz w:val="20"/>
          <w:szCs w:val="20"/>
          <w:color w:val="auto"/>
        </w:rPr>
      </w:pPr>
    </w:p>
    <w:p>
      <w:pPr>
        <w:ind w:right="80" w:firstLine="749"/>
        <w:spacing w:after="0" w:line="228" w:lineRule="auto"/>
        <w:rPr>
          <w:sz w:val="20"/>
          <w:szCs w:val="20"/>
          <w:color w:val="auto"/>
        </w:rPr>
      </w:pPr>
      <w:r>
        <w:rPr>
          <w:rFonts w:ascii="Times New Roman" w:cs="Times New Roman" w:eastAsia="Times New Roman" w:hAnsi="Times New Roman"/>
          <w:sz w:val="22"/>
          <w:szCs w:val="22"/>
          <w:b w:val="1"/>
          <w:bCs w:val="1"/>
          <w:color w:val="auto"/>
        </w:rPr>
        <w:t>Additionally, except for a sale or disposition of stock in accordance with an approved trading plan, no officer, director or employee shall purchase or sell any security of the Company during the period beginning on the 14</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xml:space="preserve"> calendar day before the end of any fiscal quarter of the Company and ending upon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22"/>
          <w:szCs w:val="22"/>
          <w:color w:val="auto"/>
        </w:rPr>
        <w:t>except for:</w:t>
      </w:r>
    </w:p>
    <w:p>
      <w:pPr>
        <w:spacing w:after="0" w:line="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purchases of the Company’s securities from the Company or sales of the Company’s securities to the Company;</w:t>
      </w:r>
    </w:p>
    <w:p>
      <w:pPr>
        <w:spacing w:after="0" w:line="97" w:lineRule="exact"/>
        <w:rPr>
          <w:sz w:val="20"/>
          <w:szCs w:val="20"/>
          <w:color w:val="auto"/>
        </w:rPr>
      </w:pPr>
    </w:p>
    <w:p>
      <w:pPr>
        <w:ind w:left="1500" w:firstLine="57"/>
        <w:spacing w:after="0" w:line="237" w:lineRule="auto"/>
        <w:rPr>
          <w:sz w:val="20"/>
          <w:szCs w:val="20"/>
          <w:color w:val="auto"/>
        </w:rPr>
      </w:pPr>
      <w:r>
        <w:rPr>
          <w:rFonts w:ascii="Times New Roman" w:cs="Times New Roman" w:eastAsia="Times New Roman" w:hAnsi="Times New Roman"/>
          <w:sz w:val="22"/>
          <w:szCs w:val="22"/>
          <w:color w:val="auto"/>
        </w:rPr>
        <w:t xml:space="preserve">exercises of stock options or other equity awards the surrender of shares to the Company in payment of the exercise price or in satisfaction of any tax withholding obligations in a manner permitted by the applicable equity award agreement, or vesting of equity-based awards that do not involve a market sale of the Company’s securities (the “cashless exercise” of a Company stock option through a broker </w:t>
      </w:r>
      <w:r>
        <w:rPr>
          <w:rFonts w:ascii="Times New Roman" w:cs="Times New Roman" w:eastAsia="Times New Roman" w:hAnsi="Times New Roman"/>
          <w:sz w:val="22"/>
          <w:szCs w:val="22"/>
          <w:u w:val="single" w:color="auto"/>
          <w:color w:val="auto"/>
        </w:rPr>
        <w:t>does</w:t>
      </w:r>
      <w:r>
        <w:rPr>
          <w:rFonts w:ascii="Times New Roman" w:cs="Times New Roman" w:eastAsia="Times New Roman" w:hAnsi="Times New Roman"/>
          <w:sz w:val="22"/>
          <w:szCs w:val="22"/>
          <w:color w:val="auto"/>
        </w:rPr>
        <w:t xml:space="preserve"> involve a market sale of the Company’s securities, and therefore would not qualify under this exception);</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i w:val="1"/>
          <w:iCs w:val="1"/>
          <w:color w:val="auto"/>
        </w:rPr>
        <w:t xml:space="preserve">bona fide </w:t>
      </w:r>
      <w:r>
        <w:rPr>
          <w:rFonts w:ascii="Times New Roman" w:cs="Times New Roman" w:eastAsia="Times New Roman" w:hAnsi="Times New Roman"/>
          <w:sz w:val="22"/>
          <w:szCs w:val="22"/>
          <w:color w:val="auto"/>
        </w:rPr>
        <w:t>gifts of the Company’s securities; and</w:t>
      </w:r>
    </w:p>
    <w:p>
      <w:pPr>
        <w:spacing w:after="0" w:line="101" w:lineRule="exact"/>
        <w:rPr>
          <w:sz w:val="20"/>
          <w:szCs w:val="20"/>
          <w:color w:val="auto"/>
        </w:rPr>
      </w:pPr>
    </w:p>
    <w:p>
      <w:pPr>
        <w:ind w:left="1500" w:right="60" w:firstLine="57"/>
        <w:spacing w:after="0" w:line="237" w:lineRule="auto"/>
        <w:rPr>
          <w:sz w:val="20"/>
          <w:szCs w:val="20"/>
          <w:color w:val="auto"/>
        </w:rPr>
      </w:pPr>
      <w:r>
        <w:rPr>
          <w:rFonts w:ascii="Times New Roman" w:cs="Times New Roman" w:eastAsia="Times New Roman" w:hAnsi="Times New Roman"/>
          <w:sz w:val="22"/>
          <w:szCs w:val="22"/>
          <w:color w:val="auto"/>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(ii) was pre-cleared in advance pursuant to this Policy and (iii) has not been amended or modified in any respect after such initial</w:t>
      </w:r>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7</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5" w:name="page156"/>
    <w:bookmarkEnd w:id="155"/>
    <w:p>
      <w:pPr>
        <w:spacing w:after="0" w:line="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pre-clearance without such amendment or modification being pre-cleared in advance pursuant to this Policy.</w:t>
      </w:r>
    </w:p>
    <w:p>
      <w:pPr>
        <w:spacing w:after="0" w:line="9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Exceptions to the black-out period policy may be approved only by the Company’s Chief Legal Officer, or, in the case of exceptions for directors, the Board of Directors or Audit Committee of the Board of Directors.</w:t>
      </w:r>
    </w:p>
    <w:p>
      <w:pPr>
        <w:spacing w:after="0" w:line="49"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From time to time, the Company, through the Board of Directors or the Chief Legal Officer may recommend that officers, directors, employees or others suspend trading in the Company’s securities because of developments that have not yet been disclosed to the public. Subject to the exceptions noted above, all those affected should not trade in our securities while the suspension is in effect and should not disclose to others that we have suspended trading.</w:t>
      </w:r>
    </w:p>
    <w:p>
      <w:pPr>
        <w:spacing w:after="0" w:line="71" w:lineRule="exact"/>
        <w:rPr>
          <w:sz w:val="20"/>
          <w:szCs w:val="20"/>
          <w:color w:val="auto"/>
        </w:rPr>
      </w:pPr>
    </w:p>
    <w:p>
      <w:pPr>
        <w:ind w:left="1180" w:hanging="422"/>
        <w:spacing w:after="0"/>
        <w:tabs>
          <w:tab w:leader="none" w:pos="11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Transactions</w:t>
      </w:r>
    </w:p>
    <w:p>
      <w:pPr>
        <w:spacing w:after="0" w:line="98"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With the exception of the pre-clearance requirement, this Policy continues to apply to transactions in the Company’s securities even after termination of service to the Company. If an individual is in possession of material, non-public information when his or her service terminates, that individual may not trade in the Company’s securities until that information has become public or is no longer material.</w:t>
      </w:r>
    </w:p>
    <w:p>
      <w:pPr>
        <w:spacing w:after="0" w:line="71" w:lineRule="exact"/>
        <w:rPr>
          <w:sz w:val="20"/>
          <w:szCs w:val="20"/>
          <w:color w:val="auto"/>
        </w:rPr>
      </w:pPr>
    </w:p>
    <w:p>
      <w:pPr>
        <w:ind w:left="1180" w:hanging="422"/>
        <w:spacing w:after="0"/>
        <w:tabs>
          <w:tab w:leader="none" w:pos="11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Relating to the Company</w:t>
      </w:r>
    </w:p>
    <w:p>
      <w:pPr>
        <w:spacing w:after="0" w:line="98" w:lineRule="exact"/>
        <w:rPr>
          <w:sz w:val="20"/>
          <w:szCs w:val="20"/>
          <w:color w:val="auto"/>
        </w:rPr>
      </w:pPr>
    </w:p>
    <w:p>
      <w:pPr>
        <w:ind w:left="1940" w:hanging="435"/>
        <w:spacing w:after="0"/>
        <w:tabs>
          <w:tab w:leader="none" w:pos="19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Information</w:t>
      </w:r>
    </w:p>
    <w:p>
      <w:pPr>
        <w:spacing w:after="0" w:line="98"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anything other than need-to-know basis.</w:t>
      </w:r>
    </w:p>
    <w:p>
      <w:pPr>
        <w:spacing w:after="0" w:line="72"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In communicating material, non-public information to employees of the Company, all officers, directors and employees must take care to emphasize the need for confidential treatment of such information and adherence to the Company’s policies with regard to confidential information.</w:t>
      </w:r>
    </w:p>
    <w:p>
      <w:pPr>
        <w:spacing w:after="0" w:line="64" w:lineRule="exact"/>
        <w:rPr>
          <w:sz w:val="20"/>
          <w:szCs w:val="20"/>
          <w:color w:val="auto"/>
        </w:rPr>
      </w:pPr>
    </w:p>
    <w:p>
      <w:pPr>
        <w:ind w:left="1940" w:hanging="435"/>
        <w:spacing w:after="0"/>
        <w:tabs>
          <w:tab w:leader="none" w:pos="1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Inquiries from Third Parties</w:t>
      </w:r>
    </w:p>
    <w:p>
      <w:pPr>
        <w:spacing w:after="0" w:line="9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Inquiries from third parties, such as industry analysts or members of the media, about the Company should be directed to the Chief Legal Officer at (626) 440-3809.</w:t>
      </w:r>
    </w:p>
    <w:p>
      <w:pPr>
        <w:spacing w:after="0" w:line="49" w:lineRule="exact"/>
        <w:rPr>
          <w:sz w:val="20"/>
          <w:szCs w:val="20"/>
          <w:color w:val="auto"/>
        </w:rPr>
      </w:pPr>
    </w:p>
    <w:p>
      <w:pPr>
        <w:ind w:left="1180" w:hanging="422"/>
        <w:spacing w:after="0"/>
        <w:tabs>
          <w:tab w:leader="none" w:pos="11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Access to Company Information</w:t>
      </w:r>
    </w:p>
    <w:p>
      <w:pPr>
        <w:spacing w:after="0" w:line="98"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The following procedures are designed to maintain confidentiality with respect to the Company’s business operations and activities.</w:t>
      </w:r>
    </w:p>
    <w:p>
      <w:pPr>
        <w:spacing w:after="0" w:line="49"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22"/>
          <w:szCs w:val="22"/>
          <w:color w:val="auto"/>
        </w:rPr>
        <w:t>All officers, directors and employees should take all steps and precautions necessary to restrict access to, and secure, material, non-public information by, among other things:</w:t>
      </w:r>
    </w:p>
    <w:p>
      <w:pPr>
        <w:spacing w:after="0" w:line="4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Maintaining the confidentiality of Company-related transactions;</w:t>
      </w:r>
    </w:p>
    <w:p>
      <w:pPr>
        <w:spacing w:after="0" w:line="200" w:lineRule="exact"/>
        <w:rPr>
          <w:sz w:val="20"/>
          <w:szCs w:val="20"/>
          <w:color w:val="auto"/>
        </w:rPr>
      </w:pPr>
    </w:p>
    <w:p>
      <w:pPr>
        <w:spacing w:after="0" w:line="3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8</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75" w:lineRule="exact"/>
        <w:rPr>
          <w:sz w:val="20"/>
          <w:szCs w:val="20"/>
          <w:color w:val="auto"/>
        </w:rPr>
      </w:pPr>
    </w:p>
    <w:p>
      <w:pPr>
        <w:ind w:left="1500" w:right="60" w:hanging="264"/>
        <w:spacing w:after="0" w:line="244" w:lineRule="auto"/>
        <w:rPr>
          <w:sz w:val="20"/>
          <w:szCs w:val="20"/>
          <w:color w:val="auto"/>
        </w:rPr>
      </w:pPr>
      <w:r>
        <w:rPr>
          <w:rFonts w:ascii="Times New Roman" w:cs="Times New Roman" w:eastAsia="Times New Roman" w:hAnsi="Times New Roman"/>
          <w:sz w:val="22"/>
          <w:szCs w:val="22"/>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64" w:lineRule="exact"/>
        <w:rPr>
          <w:sz w:val="20"/>
          <w:szCs w:val="20"/>
          <w:color w:val="auto"/>
        </w:rPr>
      </w:pPr>
    </w:p>
    <w:p>
      <w:pPr>
        <w:ind w:left="1500" w:right="60" w:hanging="264"/>
        <w:spacing w:after="0" w:line="244" w:lineRule="auto"/>
        <w:rPr>
          <w:sz w:val="20"/>
          <w:szCs w:val="20"/>
          <w:color w:val="auto"/>
        </w:rPr>
      </w:pPr>
      <w:r>
        <w:rPr>
          <w:rFonts w:ascii="Times New Roman" w:cs="Times New Roman" w:eastAsia="Times New Roman" w:hAnsi="Times New Roman"/>
          <w:sz w:val="22"/>
          <w:szCs w:val="22"/>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64" w:lineRule="exact"/>
        <w:rPr>
          <w:sz w:val="20"/>
          <w:szCs w:val="20"/>
          <w:color w:val="auto"/>
        </w:rPr>
      </w:pPr>
    </w:p>
    <w:p>
      <w:pPr>
        <w:ind w:left="1500" w:right="760" w:hanging="264"/>
        <w:spacing w:after="0" w:line="258" w:lineRule="auto"/>
        <w:rPr>
          <w:sz w:val="20"/>
          <w:szCs w:val="20"/>
          <w:color w:val="auto"/>
        </w:rPr>
      </w:pPr>
      <w:r>
        <w:rPr>
          <w:rFonts w:ascii="Times New Roman" w:cs="Times New Roman" w:eastAsia="Times New Roman" w:hAnsi="Times New Roman"/>
          <w:sz w:val="22"/>
          <w:szCs w:val="22"/>
          <w:color w:val="auto"/>
        </w:rPr>
        <w:t>Promptly removing and cleaning up all confidential documents and other materials from conference rooms following the conclusion of any meetings;</w:t>
      </w:r>
    </w:p>
    <w:p>
      <w:pPr>
        <w:spacing w:after="0" w:line="49" w:lineRule="exact"/>
        <w:rPr>
          <w:sz w:val="20"/>
          <w:szCs w:val="20"/>
          <w:color w:val="auto"/>
        </w:rPr>
      </w:pPr>
    </w:p>
    <w:p>
      <w:pPr>
        <w:ind w:left="1500" w:right="460" w:hanging="264"/>
        <w:spacing w:after="0" w:line="258" w:lineRule="auto"/>
        <w:rPr>
          <w:sz w:val="20"/>
          <w:szCs w:val="20"/>
          <w:color w:val="auto"/>
        </w:rPr>
      </w:pPr>
      <w:r>
        <w:rPr>
          <w:rFonts w:ascii="Times New Roman" w:cs="Times New Roman" w:eastAsia="Times New Roman" w:hAnsi="Times New Roman"/>
          <w:sz w:val="22"/>
          <w:szCs w:val="22"/>
          <w:color w:val="auto"/>
        </w:rPr>
        <w:t>Disposing of all confidential documents and other papers, after there is no longer any business or other legally required need, through shredders when appropriate;</w:t>
      </w:r>
    </w:p>
    <w:p>
      <w:pPr>
        <w:spacing w:after="0" w:line="4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Restricting access to areas likely to contain confidential documents or material, non-public information;</w:t>
      </w:r>
    </w:p>
    <w:p>
      <w:pPr>
        <w:spacing w:after="0" w:line="97" w:lineRule="exact"/>
        <w:rPr>
          <w:sz w:val="20"/>
          <w:szCs w:val="20"/>
          <w:color w:val="auto"/>
        </w:rPr>
      </w:pPr>
    </w:p>
    <w:p>
      <w:pPr>
        <w:ind w:left="1500" w:right="80" w:hanging="264"/>
        <w:spacing w:after="0" w:line="258" w:lineRule="auto"/>
        <w:rPr>
          <w:sz w:val="20"/>
          <w:szCs w:val="20"/>
          <w:color w:val="auto"/>
        </w:rPr>
      </w:pPr>
      <w:r>
        <w:rPr>
          <w:rFonts w:ascii="Times New Roman" w:cs="Times New Roman" w:eastAsia="Times New Roman" w:hAnsi="Times New Roman"/>
          <w:sz w:val="22"/>
          <w:szCs w:val="22"/>
          <w:color w:val="auto"/>
        </w:rPr>
        <w:t>Safeguarding laptop computers, tablets, memory sticks, CDs and other items that contain confidential information; and</w:t>
      </w:r>
    </w:p>
    <w:p>
      <w:pPr>
        <w:spacing w:after="0" w:line="49" w:lineRule="exact"/>
        <w:rPr>
          <w:sz w:val="20"/>
          <w:szCs w:val="20"/>
          <w:color w:val="auto"/>
        </w:rPr>
      </w:pPr>
    </w:p>
    <w:p>
      <w:pPr>
        <w:ind w:left="1500" w:right="40" w:hanging="264"/>
        <w:spacing w:after="0" w:line="258" w:lineRule="auto"/>
        <w:rPr>
          <w:sz w:val="20"/>
          <w:szCs w:val="20"/>
          <w:color w:val="auto"/>
        </w:rPr>
      </w:pPr>
      <w:r>
        <w:rPr>
          <w:rFonts w:ascii="Times New Roman" w:cs="Times New Roman" w:eastAsia="Times New Roman" w:hAnsi="Times New Roman"/>
          <w:sz w:val="22"/>
          <w:szCs w:val="22"/>
          <w:color w:val="auto"/>
        </w:rPr>
        <w:t>Avoiding the discussion of material, non-public information in places where the information could be overheard by others such as in elevators, restrooms, hallways, restaurants, airplanes or taxicabs.</w:t>
      </w:r>
    </w:p>
    <w:p>
      <w:pPr>
        <w:spacing w:after="0" w:line="49" w:lineRule="exact"/>
        <w:rPr>
          <w:sz w:val="20"/>
          <w:szCs w:val="20"/>
          <w:color w:val="auto"/>
        </w:rPr>
      </w:pPr>
    </w:p>
    <w:p>
      <w:pPr>
        <w:ind w:right="560" w:firstLine="749"/>
        <w:spacing w:after="0" w:line="258" w:lineRule="auto"/>
        <w:rPr>
          <w:sz w:val="20"/>
          <w:szCs w:val="20"/>
          <w:color w:val="auto"/>
        </w:rPr>
      </w:pPr>
      <w:r>
        <w:rPr>
          <w:rFonts w:ascii="Times New Roman" w:cs="Times New Roman" w:eastAsia="Times New Roman" w:hAnsi="Times New Roman"/>
          <w:sz w:val="22"/>
          <w:szCs w:val="22"/>
          <w:color w:val="auto"/>
        </w:rPr>
        <w:t>Personnel involved with material, non-public information, to the extent feasible, should conduct their business and activities in areas separate from other Company activities.</w:t>
      </w:r>
    </w:p>
    <w:p>
      <w:pPr>
        <w:spacing w:after="0" w:line="49" w:lineRule="exact"/>
        <w:rPr>
          <w:sz w:val="20"/>
          <w:szCs w:val="20"/>
          <w:color w:val="auto"/>
        </w:rPr>
      </w:pPr>
    </w:p>
    <w:p>
      <w:pPr>
        <w:ind w:left="440" w:hanging="432"/>
        <w:spacing w:after="0"/>
        <w:tabs>
          <w:tab w:leader="none" w:pos="4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PROHIBITED TRANSACTIONS</w:t>
      </w:r>
    </w:p>
    <w:p>
      <w:pPr>
        <w:spacing w:after="0" w:line="205"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w:t>
      </w:r>
    </w:p>
    <w:p>
      <w:pPr>
        <w:spacing w:after="0" w:line="64" w:lineRule="exact"/>
        <w:rPr>
          <w:sz w:val="20"/>
          <w:szCs w:val="20"/>
          <w:color w:val="auto"/>
        </w:rPr>
      </w:pPr>
    </w:p>
    <w:p>
      <w:pPr>
        <w:ind w:left="1180" w:hanging="422"/>
        <w:spacing w:after="0"/>
        <w:tabs>
          <w:tab w:leader="none" w:pos="11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p>
    <w:p>
      <w:pPr>
        <w:spacing w:after="0" w:line="98"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as noted below, Section 16(c) of the 1934 Act absolutely prohibits Section 16 reporting persons from making short sales of the Company’s equity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sales of shares that the insider does not own at the time of sale, or sales of shares against which the insider does not deliver the shares within 20 days after the sale.</w:t>
      </w:r>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9</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7" w:name="page158"/>
    <w:bookmarkEnd w:id="157"/>
    <w:p>
      <w:pPr>
        <w:ind w:left="1180" w:hanging="422"/>
        <w:spacing w:after="0"/>
        <w:tabs>
          <w:tab w:leader="none" w:pos="11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Publicly Traded Options</w:t>
      </w:r>
    </w:p>
    <w:p>
      <w:pPr>
        <w:spacing w:after="0" w:line="9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0"/>
          <w:szCs w:val="20"/>
          <w:color w:val="auto"/>
        </w:rPr>
        <w:t>A transaction in options is, in effect, a bet on the short-term movement of the Company’s stock and therefore creates the appearance that an officer, director or employee is trading based on inside information. Transactions in options also may focus an officer’s, director’s or employee’s attention on short-term performance at the expense of the Company’s long-term objectives.</w:t>
      </w:r>
    </w:p>
    <w:p>
      <w:pPr>
        <w:spacing w:after="0" w:line="2"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22"/>
          <w:szCs w:val="22"/>
          <w:color w:val="auto"/>
        </w:rPr>
        <w:t>Accordingly, transactions in puts, calls or other derivative securities involving the Company’s equity securities, on an exchange or in any other organized market, are prohibited by this Policy.</w:t>
      </w:r>
    </w:p>
    <w:p>
      <w:pPr>
        <w:spacing w:after="0" w:line="70" w:lineRule="exact"/>
        <w:rPr>
          <w:sz w:val="20"/>
          <w:szCs w:val="20"/>
          <w:color w:val="auto"/>
        </w:rPr>
      </w:pPr>
    </w:p>
    <w:p>
      <w:pPr>
        <w:ind w:left="1180" w:hanging="422"/>
        <w:spacing w:after="0"/>
        <w:tabs>
          <w:tab w:leader="none" w:pos="11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 Transactions</w:t>
      </w:r>
    </w:p>
    <w:p>
      <w:pPr>
        <w:spacing w:after="0" w:line="98" w:lineRule="exact"/>
        <w:rPr>
          <w:sz w:val="20"/>
          <w:szCs w:val="20"/>
          <w:color w:val="auto"/>
        </w:rPr>
      </w:pPr>
    </w:p>
    <w:p>
      <w:pPr>
        <w:ind w:right="120" w:firstLine="749"/>
        <w:spacing w:after="0" w:line="236" w:lineRule="auto"/>
        <w:rPr>
          <w:sz w:val="20"/>
          <w:szCs w:val="20"/>
          <w:color w:val="auto"/>
        </w:rPr>
      </w:pPr>
      <w:r>
        <w:rPr>
          <w:rFonts w:ascii="Times New Roman" w:cs="Times New Roman" w:eastAsia="Times New Roman" w:hAnsi="Times New Roman"/>
          <w:sz w:val="22"/>
          <w:szCs w:val="22"/>
          <w:color w:val="auto"/>
        </w:rPr>
        <w:t>Certain forms of hedging or monetization transactions, such as zero-cost collars and forward sale contracts, allow an officer, director or employee to lock in much of the value of his or her stock holdings, often in exchange for all or part of the potential for upside appreciation in the stock. These transactions allow the officer, director or employee to continue to own the covered securities, but without the full risks and rewards of ownership. When that occurs, the officer, director or employee may no longer have the same objectives as the Company’s other stockholders. Therefore, such transactions involving the Company’s equity securities are prohibited by this Policy.</w:t>
      </w:r>
    </w:p>
    <w:p>
      <w:pPr>
        <w:spacing w:after="0" w:line="72" w:lineRule="exact"/>
        <w:rPr>
          <w:sz w:val="20"/>
          <w:szCs w:val="20"/>
          <w:color w:val="auto"/>
        </w:rPr>
      </w:pPr>
    </w:p>
    <w:p>
      <w:pPr>
        <w:ind w:left="740" w:right="260" w:firstLine="18"/>
        <w:spacing w:after="0" w:line="258" w:lineRule="auto"/>
        <w:tabs>
          <w:tab w:leader="none" w:pos="119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of the Company’s Securities on Margin; Pledging the Company’s Securities to Secure Margin or Other Loans</w:t>
      </w:r>
    </w:p>
    <w:p>
      <w:pPr>
        <w:spacing w:after="0" w:line="49" w:lineRule="exact"/>
        <w:rPr>
          <w:sz w:val="20"/>
          <w:szCs w:val="20"/>
          <w:color w:val="auto"/>
        </w:rPr>
      </w:pPr>
    </w:p>
    <w:p>
      <w:pPr>
        <w:ind w:right="60" w:firstLine="749"/>
        <w:spacing w:after="0" w:line="237" w:lineRule="auto"/>
        <w:rPr>
          <w:sz w:val="20"/>
          <w:szCs w:val="20"/>
          <w:color w:val="auto"/>
        </w:rPr>
      </w:pPr>
      <w:r>
        <w:rPr>
          <w:rFonts w:ascii="Times New Roman" w:cs="Times New Roman" w:eastAsia="Times New Roman" w:hAnsi="Times New Roman"/>
          <w:sz w:val="22"/>
          <w:szCs w:val="22"/>
          <w:color w:val="auto"/>
        </w:rPr>
        <w:t>Purchasing on margin means borrowing from a brokerage firm, bank or other entity in order to purchase the Company’s securities (other than in connection with a cashless exercise of stock options under the Company’s equity plans). Margin purchases of the Company’s securities are prohibited by this Policy. Pledging the Company’s securities as collateral to secure loans is also prohibited. This prohibition means, among other things, that you cannot hold the Company’s securities in a “margin account” (which would allow you to borrow against your holdings to buy securities).</w:t>
      </w:r>
    </w:p>
    <w:p>
      <w:pPr>
        <w:spacing w:after="0" w:line="72" w:lineRule="exact"/>
        <w:rPr>
          <w:sz w:val="20"/>
          <w:szCs w:val="20"/>
          <w:color w:val="auto"/>
        </w:rPr>
      </w:pPr>
    </w:p>
    <w:p>
      <w:pPr>
        <w:ind w:left="1180" w:hanging="422"/>
        <w:spacing w:after="0"/>
        <w:tabs>
          <w:tab w:leader="none" w:pos="11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 and Executive Officer Cashless Exercises</w:t>
      </w:r>
    </w:p>
    <w:p>
      <w:pPr>
        <w:spacing w:after="0" w:line="98"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and (iii) the director or officer uses a “T+2” cashless exercise arrangement, in which the Company agrees to deliver stock against the payment of the purchase price on the same day the sale of the stock underlying the equity award settles. Under a T+2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Chief Legal Officer.</w:t>
      </w:r>
    </w:p>
    <w:p>
      <w:pPr>
        <w:spacing w:after="0" w:line="200" w:lineRule="exact"/>
        <w:rPr>
          <w:sz w:val="20"/>
          <w:szCs w:val="20"/>
          <w:color w:val="auto"/>
        </w:rPr>
      </w:pPr>
    </w:p>
    <w:p>
      <w:pPr>
        <w:spacing w:after="0" w:line="3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58" w:name="page159"/>
    <w:bookmarkEnd w:id="158"/>
    <w:p>
      <w:pPr>
        <w:spacing w:after="0"/>
        <w:tabs>
          <w:tab w:leader="none" w:pos="86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2"/>
          <w:szCs w:val="22"/>
          <w:u w:val="single" w:color="auto"/>
          <w:color w:val="auto"/>
        </w:rPr>
        <w:t>RULE 10b5-1 TRADING PLANS, SECTION 16 AND RULE 144</w:t>
      </w:r>
    </w:p>
    <w:p>
      <w:pPr>
        <w:spacing w:after="0" w:line="205" w:lineRule="exact"/>
        <w:rPr>
          <w:sz w:val="20"/>
          <w:szCs w:val="20"/>
          <w:color w:val="auto"/>
        </w:rPr>
      </w:pPr>
    </w:p>
    <w:p>
      <w:pPr>
        <w:ind w:left="1180" w:hanging="422"/>
        <w:spacing w:after="0"/>
        <w:tabs>
          <w:tab w:leader="none" w:pos="11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10b5-1 Trading Plans</w:t>
      </w:r>
    </w:p>
    <w:p>
      <w:pPr>
        <w:spacing w:after="0" w:line="9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Overview</w:t>
      </w:r>
    </w:p>
    <w:p>
      <w:pPr>
        <w:spacing w:after="0" w:line="98"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20"/>
          <w:szCs w:val="20"/>
          <w:color w:val="auto"/>
        </w:rPr>
        <w:t xml:space="preserve">Rule 10b5-1 will protect directors, officers and employees from insider trading liability under Rule 10b5-1 for transactions under a previously established contract, plan or instruction to trade in the Company’s stock (a “Trading Plan”) entered into in good faith and in accordance with the terms of Rule 10b5-1 and all applicable state laws and will be exempt from the trading restrictions set forth in this Policy. </w:t>
      </w:r>
      <w:r>
        <w:rPr>
          <w:rFonts w:ascii="Times New Roman" w:cs="Times New Roman" w:eastAsia="Times New Roman" w:hAnsi="Times New Roman"/>
          <w:sz w:val="20"/>
          <w:szCs w:val="20"/>
          <w:b w:val="1"/>
          <w:bCs w:val="1"/>
          <w:color w:val="auto"/>
        </w:rPr>
        <w:t>All members of the Board of Directors and Pre-Clearance Persons identified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 Attachment D hereto must have a Rule 10b5-1 Trading Plan (the “Trading Plan”) that has been approved by the Company’s Chief Legal Officer before they are permitted to sell or dispose of the Company’s stock. Each Trading Plan shall comply with all applicable rules and regulations imposed by the SEC and should include the following provisions:</w:t>
      </w:r>
    </w:p>
    <w:p>
      <w:pPr>
        <w:spacing w:after="0" w:line="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Trading Plan must be prepared and approved during an open trading window for the Company;</w:t>
      </w:r>
    </w:p>
    <w:p>
      <w:pPr>
        <w:spacing w:after="0" w:line="205" w:lineRule="exact"/>
        <w:rPr>
          <w:sz w:val="20"/>
          <w:szCs w:val="20"/>
          <w:color w:val="auto"/>
        </w:rPr>
      </w:pPr>
    </w:p>
    <w:p>
      <w:pPr>
        <w:jc w:val="right"/>
        <w:ind w:left="1500" w:right="80" w:firstLine="57"/>
        <w:spacing w:after="0" w:line="265" w:lineRule="auto"/>
        <w:rPr>
          <w:sz w:val="20"/>
          <w:szCs w:val="20"/>
          <w:color w:val="auto"/>
        </w:rPr>
      </w:pPr>
      <w:r>
        <w:rPr>
          <w:rFonts w:ascii="Times New Roman" w:cs="Times New Roman" w:eastAsia="Times New Roman" w:hAnsi="Times New Roman"/>
          <w:sz w:val="20"/>
          <w:szCs w:val="20"/>
          <w:color w:val="auto"/>
        </w:rPr>
        <w:t>A cooling off period after the Trading Plan is approved by the Chief Legal Officer which provides that the first trade may not be made until the later of (i) ninety days after the adoption or modification of the trading plan, or</w:t>
      </w:r>
    </w:p>
    <w:p>
      <w:pPr>
        <w:spacing w:after="0" w:line="1" w:lineRule="exact"/>
        <w:rPr>
          <w:sz w:val="20"/>
          <w:szCs w:val="20"/>
          <w:color w:val="auto"/>
        </w:rPr>
      </w:pPr>
    </w:p>
    <w:p>
      <w:pPr>
        <w:ind w:left="1500" w:right="40" w:firstLine="5"/>
        <w:spacing w:after="0" w:line="237" w:lineRule="auto"/>
        <w:tabs>
          <w:tab w:leader="none" w:pos="181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business days following the filing of the Form 10-Q or 10-K for the fiscal quarter in which the plan was adopted or modified, not to exceed 120 days following the adoption or modification of the plan ;</w:t>
      </w:r>
    </w:p>
    <w:p>
      <w:pPr>
        <w:spacing w:after="0" w:line="177" w:lineRule="exact"/>
        <w:rPr>
          <w:rFonts w:ascii="Times New Roman" w:cs="Times New Roman" w:eastAsia="Times New Roman" w:hAnsi="Times New Roman"/>
          <w:sz w:val="22"/>
          <w:szCs w:val="22"/>
          <w:color w:val="auto"/>
        </w:rPr>
      </w:pPr>
    </w:p>
    <w:p>
      <w:pPr>
        <w:ind w:left="1500" w:right="220" w:firstLine="57"/>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representation certifying that the person is not aware of any material, non-public information about Parsons and its securities, and is adopting or modifying the plan in good faith and not as part of a plan or scheme to evade the prohibition of Exchange Rule 10b5-1; and</w:t>
      </w:r>
    </w:p>
    <w:p>
      <w:pPr>
        <w:spacing w:after="0" w:line="172" w:lineRule="exact"/>
        <w:rPr>
          <w:rFonts w:ascii="Times New Roman" w:cs="Times New Roman" w:eastAsia="Times New Roman" w:hAnsi="Times New Roman"/>
          <w:sz w:val="22"/>
          <w:szCs w:val="22"/>
          <w:color w:val="auto"/>
        </w:rPr>
      </w:pPr>
    </w:p>
    <w:p>
      <w:pPr>
        <w:ind w:left="1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have a minimum length of at least one year before the Plan may amended or terminated.</w:t>
      </w:r>
    </w:p>
    <w:p>
      <w:pPr>
        <w:spacing w:after="0" w:line="205" w:lineRule="exact"/>
        <w:rPr>
          <w:sz w:val="20"/>
          <w:szCs w:val="20"/>
          <w:color w:val="auto"/>
        </w:rPr>
      </w:pPr>
    </w:p>
    <w:p>
      <w:pPr>
        <w:ind w:right="260" w:firstLine="749"/>
        <w:spacing w:after="0" w:line="244" w:lineRule="auto"/>
        <w:rPr>
          <w:sz w:val="20"/>
          <w:szCs w:val="20"/>
          <w:color w:val="auto"/>
        </w:rPr>
      </w:pPr>
      <w:r>
        <w:rPr>
          <w:rFonts w:ascii="Times New Roman" w:cs="Times New Roman" w:eastAsia="Times New Roman" w:hAnsi="Times New Roman"/>
          <w:sz w:val="22"/>
          <w:szCs w:val="22"/>
          <w:color w:val="auto"/>
        </w:rPr>
        <w:t>Any person who adopts or modifies a Rule 10b5-1 Trading Plan shall have an ongoing obligation of good faith with respect to his or her actions. For example, no person may use his or her influence to affect the timing of a disclosure related to Parsons’ securities so that a trade under his or her Rule 10b5-1 Trading Plan becomes more profitable.</w:t>
      </w:r>
    </w:p>
    <w:p>
      <w:pPr>
        <w:spacing w:after="0" w:line="64"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Any person who adopts or modifies a Rule 10b5-1 Trading Plan may not have more than one Rule 10b5-1 Trading Plan for open market purchases or sales of Parsons’ securities, except for plans or modifications solely to authorize an agent to sell only enough securities as are necessary to satisfy applicable tax withholding obligations arising exclusively from the vesting of a compensatory award, and the person does not otherwise exercise control over the timing of such sales; provided, however, that a person may have a series of separate contracts with different broker-dealers to execute trades pursuant to a single Rule 10b5-1 Trading Plan, and a</w:t>
      </w:r>
    </w:p>
    <w:p>
      <w:pPr>
        <w:spacing w:after="0" w:line="200" w:lineRule="exact"/>
        <w:rPr>
          <w:sz w:val="20"/>
          <w:szCs w:val="20"/>
          <w:color w:val="auto"/>
        </w:rPr>
      </w:pPr>
    </w:p>
    <w:p>
      <w:pPr>
        <w:spacing w:after="0" w:line="3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11</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159" w:name="page160"/>
    <w:bookmarkEnd w:id="159"/>
    <w:p>
      <w:pPr>
        <w:spacing w:after="0" w:line="7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person may maintain two separate Rule 10b5-1 Trading Plans for open market purchases or sales, if trading under the later plan is not authorized to begin until after all trades under the earlier commencing plan are completed or expire without execution. Further, during any twelve-month period, a person is limited to one “single-trade plan” which is designed to affect an open market purchase or sale of the total amount of securities subject to the Trading Plan in a single transaction; provided, however, that a Trading Plan will not be treated as a “single-trade plan” if it grants discretion to a persons’ agent over whether to execute the plan through a single transaction.</w:t>
      </w:r>
    </w:p>
    <w:p>
      <w:pPr>
        <w:spacing w:after="0" w:line="72" w:lineRule="exact"/>
        <w:rPr>
          <w:sz w:val="20"/>
          <w:szCs w:val="20"/>
          <w:color w:val="auto"/>
        </w:rPr>
      </w:pPr>
    </w:p>
    <w:p>
      <w:pPr>
        <w:ind w:right="120" w:firstLine="803"/>
        <w:spacing w:after="0" w:line="260" w:lineRule="auto"/>
        <w:rPr>
          <w:sz w:val="20"/>
          <w:szCs w:val="20"/>
          <w:color w:val="auto"/>
        </w:rPr>
      </w:pPr>
      <w:r>
        <w:rPr>
          <w:rFonts w:ascii="Times New Roman" w:cs="Times New Roman" w:eastAsia="Times New Roman" w:hAnsi="Times New Roman"/>
          <w:sz w:val="20"/>
          <w:szCs w:val="20"/>
          <w:color w:val="auto"/>
        </w:rPr>
        <w:t>The initiation of, and any amendment or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Company’s Chief Legal Officer, or such other person as the Board of Directors may designate from time to time (the “Authorizing Officer”), who may impose such conditions on the implementation and operation of the Trading Plan as the Authorizing Officer deems necessary or advisable. The Chief Legal Officer or another Authorizing Officer shall have the authority to amend, waive or interpret this Policy as it relates to any Trading Plan or the Company’s policies with respect to such plans.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Trading Plans do not exempt individuals from complying with Section 16 short-swing profit rules or liability.</w:t>
      </w:r>
    </w:p>
    <w:p>
      <w:pPr>
        <w:spacing w:after="0" w:line="102" w:lineRule="exact"/>
        <w:rPr>
          <w:sz w:val="20"/>
          <w:szCs w:val="20"/>
          <w:color w:val="auto"/>
        </w:rPr>
      </w:pPr>
    </w:p>
    <w:p>
      <w:pPr>
        <w:ind w:right="160" w:firstLine="749"/>
        <w:spacing w:after="0" w:line="237" w:lineRule="auto"/>
        <w:rPr>
          <w:sz w:val="20"/>
          <w:szCs w:val="20"/>
          <w:color w:val="auto"/>
        </w:rPr>
      </w:pPr>
      <w:r>
        <w:rPr>
          <w:rFonts w:ascii="Times New Roman" w:cs="Times New Roman" w:eastAsia="Times New Roman" w:hAnsi="Times New Roman"/>
          <w:sz w:val="22"/>
          <w:szCs w:val="22"/>
          <w:color w:val="auto"/>
        </w:rPr>
        <w:t>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w:t>
      </w:r>
    </w:p>
    <w:p>
      <w:pPr>
        <w:spacing w:after="0" w:line="7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20"/>
          <w:szCs w:val="20"/>
          <w:color w:val="auto"/>
        </w:rPr>
        <w:t>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w:t>
      </w:r>
    </w:p>
    <w:p>
      <w:pPr>
        <w:spacing w:after="0" w:line="47"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200" w:lineRule="exact"/>
        <w:rPr>
          <w:sz w:val="20"/>
          <w:szCs w:val="20"/>
          <w:color w:val="auto"/>
        </w:rPr>
      </w:pPr>
    </w:p>
    <w:p>
      <w:pPr>
        <w:spacing w:after="0" w:line="3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12</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75"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Officers, directors and employees may adopt Trading Plans with brokers that outline a pre-set plan for trading of the Company’s stock, including the exercise of options. Trades pursuant to a Trading Plan generally may occur at any time. However, the Company requires a cooling-off period of 30 days between the establishment of a Trading Plan and commencement of any transactions under such plan. An individual may adopt more than one Trading Plan. Please review the following description of how a Trading Plan works.</w:t>
      </w:r>
    </w:p>
    <w:p>
      <w:pPr>
        <w:spacing w:after="0" w:line="7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Pursuant to Rule 10b5-1, an individual’s purchase or sale of securities will not be “on the basis of” material, non-public information if:</w:t>
      </w:r>
    </w:p>
    <w:p>
      <w:pPr>
        <w:spacing w:after="0" w:line="49" w:lineRule="exact"/>
        <w:rPr>
          <w:sz w:val="20"/>
          <w:szCs w:val="20"/>
          <w:color w:val="auto"/>
        </w:rPr>
      </w:pPr>
    </w:p>
    <w:p>
      <w:pPr>
        <w:ind w:left="1500" w:hanging="264"/>
        <w:spacing w:after="0" w:line="244" w:lineRule="auto"/>
        <w:rPr>
          <w:sz w:val="20"/>
          <w:szCs w:val="20"/>
          <w:color w:val="auto"/>
        </w:rPr>
      </w:pPr>
      <w:r>
        <w:rPr>
          <w:rFonts w:ascii="Times New Roman" w:cs="Times New Roman" w:eastAsia="Times New Roman" w:hAnsi="Times New Roman"/>
          <w:sz w:val="22"/>
          <w:szCs w:val="22"/>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pacing w:after="0" w:line="6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Second, the Trading Plan must either:</w:t>
      </w:r>
    </w:p>
    <w:p>
      <w:pPr>
        <w:spacing w:after="0" w:line="97" w:lineRule="exact"/>
        <w:rPr>
          <w:sz w:val="20"/>
          <w:szCs w:val="20"/>
          <w:color w:val="auto"/>
        </w:rPr>
      </w:pPr>
    </w:p>
    <w:p>
      <w:pPr>
        <w:ind w:left="2260" w:right="860" w:hanging="317"/>
        <w:spacing w:after="0" w:line="258" w:lineRule="auto"/>
        <w:rPr>
          <w:sz w:val="20"/>
          <w:szCs w:val="20"/>
          <w:color w:val="auto"/>
        </w:rPr>
      </w:pPr>
      <w:r>
        <w:rPr>
          <w:rFonts w:ascii="Times New Roman" w:cs="Times New Roman" w:eastAsia="Times New Roman" w:hAnsi="Times New Roman"/>
          <w:sz w:val="22"/>
          <w:szCs w:val="22"/>
          <w:color w:val="auto"/>
        </w:rPr>
        <w:t>specify the amount of securities to be purchased or sold, the price at which the securities are to be purchased or sold and the date on which the securities are to be purchased or sold;</w:t>
      </w:r>
    </w:p>
    <w:p>
      <w:pPr>
        <w:spacing w:after="0" w:line="49" w:lineRule="exact"/>
        <w:rPr>
          <w:sz w:val="20"/>
          <w:szCs w:val="20"/>
          <w:color w:val="auto"/>
        </w:rPr>
      </w:pPr>
    </w:p>
    <w:p>
      <w:pPr>
        <w:ind w:left="2260" w:right="920" w:hanging="317"/>
        <w:spacing w:after="0" w:line="258" w:lineRule="auto"/>
        <w:rPr>
          <w:sz w:val="20"/>
          <w:szCs w:val="20"/>
          <w:color w:val="auto"/>
        </w:rPr>
      </w:pPr>
      <w:r>
        <w:rPr>
          <w:rFonts w:ascii="Times New Roman" w:cs="Times New Roman" w:eastAsia="Times New Roman" w:hAnsi="Times New Roman"/>
          <w:sz w:val="22"/>
          <w:szCs w:val="22"/>
          <w:color w:val="auto"/>
        </w:rPr>
        <w:t>include a written formula or computer program for determining the amount, price and date of the transactions; or</w:t>
      </w:r>
    </w:p>
    <w:p>
      <w:pPr>
        <w:spacing w:after="0" w:line="49" w:lineRule="exact"/>
        <w:rPr>
          <w:sz w:val="20"/>
          <w:szCs w:val="20"/>
          <w:color w:val="auto"/>
        </w:rPr>
      </w:pPr>
    </w:p>
    <w:p>
      <w:pPr>
        <w:ind w:left="2260" w:right="960" w:hanging="317"/>
        <w:spacing w:after="0" w:line="258" w:lineRule="auto"/>
        <w:rPr>
          <w:sz w:val="20"/>
          <w:szCs w:val="20"/>
          <w:color w:val="auto"/>
        </w:rPr>
      </w:pPr>
      <w:r>
        <w:rPr>
          <w:rFonts w:ascii="Times New Roman" w:cs="Times New Roman" w:eastAsia="Times New Roman" w:hAnsi="Times New Roman"/>
          <w:sz w:val="22"/>
          <w:szCs w:val="22"/>
          <w:color w:val="auto"/>
        </w:rPr>
        <w:t>prohibit the individual from exercising any subsequent influence over the purchase or sale of the Company’s stock under the Trading Plan in question.</w:t>
      </w:r>
    </w:p>
    <w:p>
      <w:pPr>
        <w:spacing w:after="0" w:line="49" w:lineRule="exact"/>
        <w:rPr>
          <w:sz w:val="20"/>
          <w:szCs w:val="20"/>
          <w:color w:val="auto"/>
        </w:rPr>
      </w:pPr>
    </w:p>
    <w:p>
      <w:pPr>
        <w:ind w:left="1500" w:right="740" w:hanging="264"/>
        <w:spacing w:after="0" w:line="258" w:lineRule="auto"/>
        <w:rPr>
          <w:sz w:val="20"/>
          <w:szCs w:val="20"/>
          <w:color w:val="auto"/>
        </w:rPr>
      </w:pPr>
      <w:r>
        <w:rPr>
          <w:rFonts w:ascii="Times New Roman" w:cs="Times New Roman" w:eastAsia="Times New Roman" w:hAnsi="Times New Roman"/>
          <w:sz w:val="22"/>
          <w:szCs w:val="22"/>
          <w:color w:val="auto"/>
        </w:rPr>
        <w:t>Third, the purchase or sale must occur pursuant to the Trading Plan and the individual must not enter into a corresponding hedging transaction or alter or deviate from the Trading Plan.</w:t>
      </w:r>
    </w:p>
    <w:p>
      <w:pPr>
        <w:spacing w:after="0" w:line="49" w:lineRule="exact"/>
        <w:rPr>
          <w:sz w:val="20"/>
          <w:szCs w:val="20"/>
          <w:color w:val="auto"/>
        </w:rPr>
      </w:pPr>
    </w:p>
    <w:p>
      <w:pPr>
        <w:ind w:left="1940" w:hanging="435"/>
        <w:spacing w:after="0"/>
        <w:tabs>
          <w:tab w:leader="none" w:pos="19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 of and Amendments to Trading Plans</w:t>
      </w:r>
    </w:p>
    <w:p>
      <w:pPr>
        <w:spacing w:after="0" w:line="98" w:lineRule="exact"/>
        <w:rPr>
          <w:sz w:val="20"/>
          <w:szCs w:val="20"/>
          <w:color w:val="auto"/>
        </w:rPr>
      </w:pPr>
    </w:p>
    <w:p>
      <w:pPr>
        <w:ind w:right="160" w:firstLine="749"/>
        <w:spacing w:after="0" w:line="234" w:lineRule="auto"/>
        <w:rPr>
          <w:sz w:val="20"/>
          <w:szCs w:val="20"/>
          <w:color w:val="auto"/>
        </w:rPr>
      </w:pPr>
      <w:r>
        <w:rPr>
          <w:rFonts w:ascii="Times New Roman" w:cs="Times New Roman" w:eastAsia="Times New Roman" w:hAnsi="Times New Roman"/>
          <w:sz w:val="22"/>
          <w:szCs w:val="22"/>
          <w:color w:val="auto"/>
        </w:rPr>
        <w:t>Revocation of Trading Plans should occur only in unusual circumstances. Effectiveness of any revocation, amendment or modification of a Trading Plan will be subject to the prior review and approval of the Authorizing Officer, and, in the case of any amendment or modification, must comply with all requirements set forth in Section A of this Article VI. A revocation, amendment or modification of a Trading Plan may only be made during an open trading window for the Company. Once an amendment or modification to a Trading Plan is approved, as provided herein, the participant must observe a cooling off period, as described herein, before any sale or disposition of Company stock may occur. The cooling off period shall expire on the opening of the Company’s trading window for the subsequent quarter following approval of the amendment or modification of the Trading Plan.</w:t>
      </w:r>
    </w:p>
    <w:p>
      <w:pPr>
        <w:spacing w:after="0" w:line="76"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Once a Trading Plan has been revoked, the participant must wait until the opening of the Company’s trading window for the subsequent quarter following such revocation and 180 days before establishing a new Trading Plan and such Trading Plan must adhere to the further requirements noted in Section of this Article VI. You should note that revocation of a Trading Plan can result in the loss of an affirmative defense for past or future transactions under a</w:t>
      </w:r>
    </w:p>
    <w:p>
      <w:pPr>
        <w:spacing w:after="0" w:line="200" w:lineRule="exact"/>
        <w:rPr>
          <w:sz w:val="20"/>
          <w:szCs w:val="20"/>
          <w:color w:val="auto"/>
        </w:rPr>
      </w:pPr>
    </w:p>
    <w:p>
      <w:pPr>
        <w:spacing w:after="0" w:line="35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13</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75"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Trading Plan. You should consult with your own legal counsel before deciding to revoke a Trading Plan. In any event, you should not assume that compliance with the 180-day bar will protect you from possible adverse legal consequences of a Trading Plan revocation.</w:t>
      </w:r>
    </w:p>
    <w:p>
      <w:pPr>
        <w:spacing w:after="0" w:line="64" w:lineRule="exact"/>
        <w:rPr>
          <w:sz w:val="20"/>
          <w:szCs w:val="20"/>
          <w:color w:val="auto"/>
        </w:rPr>
      </w:pPr>
    </w:p>
    <w:p>
      <w:pPr>
        <w:ind w:right="700" w:firstLine="749"/>
        <w:spacing w:after="0" w:line="244" w:lineRule="auto"/>
        <w:rPr>
          <w:sz w:val="20"/>
          <w:szCs w:val="20"/>
          <w:color w:val="auto"/>
        </w:rPr>
      </w:pPr>
      <w:r>
        <w:rPr>
          <w:rFonts w:ascii="Times New Roman" w:cs="Times New Roman" w:eastAsia="Times New Roman" w:hAnsi="Times New Roman"/>
          <w:sz w:val="22"/>
          <w:szCs w:val="22"/>
          <w:color w:val="auto"/>
        </w:rPr>
        <w:t>A person acting in good faith may amend a prior Trading Plan so long as such amendments are made outside of a quarterly trading black-out period and at a time when the Trading Plan participant does not possess material, non-public information. Plan amendments must satisfy all requirements set forth herein.</w:t>
      </w:r>
    </w:p>
    <w:p>
      <w:pPr>
        <w:spacing w:after="0" w:line="6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Under certain circumstances, a Trading Plan </w:t>
      </w:r>
      <w:r>
        <w:rPr>
          <w:rFonts w:ascii="Times New Roman" w:cs="Times New Roman" w:eastAsia="Times New Roman" w:hAnsi="Times New Roman"/>
          <w:sz w:val="22"/>
          <w:szCs w:val="22"/>
          <w:i w:val="1"/>
          <w:iCs w:val="1"/>
          <w:color w:val="auto"/>
        </w:rPr>
        <w:t>must</w:t>
      </w:r>
      <w:r>
        <w:rPr>
          <w:rFonts w:ascii="Times New Roman" w:cs="Times New Roman" w:eastAsia="Times New Roman" w:hAnsi="Times New Roman"/>
          <w:sz w:val="22"/>
          <w:szCs w:val="22"/>
          <w:color w:val="auto"/>
        </w:rPr>
        <w:t xml:space="preserve"> be revoked. This may include circumstances such as the announcement of a merger or the occurrence of an event that would cause the transaction either to violate the law or to have an adverse effect on the Company. Further, the Company’s Board of Directors has the discretion to require the revocation of Trading Plans for participants, in its discretion. The Authorizing Officer or administrator of the Company’s stock plans is authorized to notify the broker in such circumstances, thereby insulating the insider in the event of revocation.</w:t>
      </w:r>
    </w:p>
    <w:p>
      <w:pPr>
        <w:spacing w:after="0" w:line="71" w:lineRule="exact"/>
        <w:rPr>
          <w:sz w:val="20"/>
          <w:szCs w:val="20"/>
          <w:color w:val="auto"/>
        </w:rPr>
      </w:pPr>
    </w:p>
    <w:p>
      <w:pPr>
        <w:ind w:left="1940" w:hanging="435"/>
        <w:spacing w:after="0"/>
        <w:tabs>
          <w:tab w:leader="none" w:pos="19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Plans</w:t>
      </w:r>
    </w:p>
    <w:p>
      <w:pPr>
        <w:spacing w:after="0" w:line="9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Although non-discretionary Trading Plans are preferred, discretionary Trading Plans, where the discretion or control over trading is transferred to a broker, are permitted if pre-approved by the Authorizing Officer.</w:t>
      </w:r>
    </w:p>
    <w:p>
      <w:pPr>
        <w:spacing w:after="0" w:line="49" w:lineRule="exact"/>
        <w:rPr>
          <w:sz w:val="20"/>
          <w:szCs w:val="20"/>
          <w:color w:val="auto"/>
        </w:rPr>
      </w:pPr>
    </w:p>
    <w:p>
      <w:pPr>
        <w:ind w:right="60" w:firstLine="749"/>
        <w:spacing w:after="0" w:line="237" w:lineRule="auto"/>
        <w:rPr>
          <w:sz w:val="20"/>
          <w:szCs w:val="20"/>
          <w:color w:val="auto"/>
        </w:rPr>
      </w:pPr>
      <w:r>
        <w:rPr>
          <w:rFonts w:ascii="Times New Roman" w:cs="Times New Roman" w:eastAsia="Times New Roman" w:hAnsi="Times New Roman"/>
          <w:sz w:val="22"/>
          <w:szCs w:val="22"/>
          <w:color w:val="auto"/>
        </w:rPr>
        <w:t>The Authorizing Officer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72" w:lineRule="exact"/>
        <w:rPr>
          <w:sz w:val="20"/>
          <w:szCs w:val="20"/>
          <w:color w:val="auto"/>
        </w:rPr>
      </w:pPr>
    </w:p>
    <w:p>
      <w:pPr>
        <w:ind w:left="1940" w:hanging="435"/>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(if Required)</w:t>
      </w:r>
    </w:p>
    <w:p>
      <w:pPr>
        <w:spacing w:after="0" w:line="9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0"/>
          <w:szCs w:val="20"/>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expires ____.” For Section 16 reporting persons, Form 4s should be</w:t>
      </w:r>
    </w:p>
    <w:p>
      <w:pPr>
        <w:spacing w:after="0" w:line="2" w:lineRule="exact"/>
        <w:rPr>
          <w:sz w:val="20"/>
          <w:szCs w:val="20"/>
          <w:color w:val="auto"/>
        </w:rPr>
      </w:pPr>
    </w:p>
    <w:p>
      <w:pPr>
        <w:ind w:right="580"/>
        <w:spacing w:after="0" w:line="235" w:lineRule="auto"/>
        <w:rPr>
          <w:sz w:val="20"/>
          <w:szCs w:val="20"/>
          <w:color w:val="auto"/>
        </w:rPr>
      </w:pPr>
      <w:r>
        <w:rPr>
          <w:rFonts w:ascii="Times New Roman" w:cs="Times New Roman" w:eastAsia="Times New Roman" w:hAnsi="Times New Roman"/>
          <w:sz w:val="22"/>
          <w:szCs w:val="22"/>
          <w:color w:val="auto"/>
        </w:rPr>
        <w:t>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w:t>
      </w:r>
    </w:p>
    <w:p>
      <w:pPr>
        <w:spacing w:after="0" w:line="69" w:lineRule="exact"/>
        <w:rPr>
          <w:sz w:val="20"/>
          <w:szCs w:val="20"/>
          <w:color w:val="auto"/>
        </w:rPr>
      </w:pPr>
    </w:p>
    <w:p>
      <w:pPr>
        <w:ind w:left="1940" w:hanging="435"/>
        <w:spacing w:after="0"/>
        <w:tabs>
          <w:tab w:leader="none" w:pos="19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98" w:lineRule="exact"/>
        <w:rPr>
          <w:sz w:val="20"/>
          <w:szCs w:val="20"/>
          <w:color w:val="auto"/>
        </w:rPr>
      </w:pPr>
    </w:p>
    <w:p>
      <w:pPr>
        <w:ind w:right="280" w:firstLine="749"/>
        <w:spacing w:after="0" w:line="236" w:lineRule="auto"/>
        <w:rPr>
          <w:sz w:val="20"/>
          <w:szCs w:val="20"/>
          <w:color w:val="auto"/>
        </w:rPr>
      </w:pPr>
      <w:r>
        <w:rPr>
          <w:rFonts w:ascii="Times New Roman" w:cs="Times New Roman" w:eastAsia="Times New Roman" w:hAnsi="Times New Roman"/>
          <w:sz w:val="22"/>
          <w:szCs w:val="22"/>
          <w:color w:val="auto"/>
        </w:rPr>
        <w:t>Exercises of options for cash may be executed at any time. “Cashless exercise” option exercises are subject to trading windows. However, the Company will permit same day sales under approved Trading Plans that satisfy the requirements set forth herein.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w:t>
      </w:r>
    </w:p>
    <w:p>
      <w:pPr>
        <w:spacing w:after="0" w:line="200" w:lineRule="exact"/>
        <w:rPr>
          <w:sz w:val="20"/>
          <w:szCs w:val="20"/>
          <w:color w:val="auto"/>
        </w:rPr>
      </w:pPr>
    </w:p>
    <w:p>
      <w:pPr>
        <w:spacing w:after="0" w:line="3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14</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49" w:lineRule="exact"/>
        <w:rPr>
          <w:sz w:val="20"/>
          <w:szCs w:val="20"/>
          <w:color w:val="auto"/>
        </w:rPr>
      </w:pPr>
    </w:p>
    <w:p>
      <w:pPr>
        <w:ind w:left="1940" w:hanging="435"/>
        <w:spacing w:after="0"/>
        <w:tabs>
          <w:tab w:leader="none" w:pos="19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Trades Outside of a Trading Plan</w:t>
      </w:r>
    </w:p>
    <w:p>
      <w:pPr>
        <w:spacing w:after="0" w:line="98"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During an open trading window, trades differing from Trading Plan instructions that are already in place are allowed as long as the Trading Plan continues to be followed.</w:t>
      </w:r>
    </w:p>
    <w:p>
      <w:pPr>
        <w:spacing w:after="0" w:line="49" w:lineRule="exact"/>
        <w:rPr>
          <w:sz w:val="20"/>
          <w:szCs w:val="20"/>
          <w:color w:val="auto"/>
        </w:rPr>
      </w:pPr>
    </w:p>
    <w:p>
      <w:pPr>
        <w:ind w:left="1940" w:hanging="435"/>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 Announcements</w:t>
      </w:r>
    </w:p>
    <w:p>
      <w:pPr>
        <w:spacing w:after="0" w:line="98" w:lineRule="exact"/>
        <w:rPr>
          <w:sz w:val="20"/>
          <w:szCs w:val="20"/>
          <w:color w:val="auto"/>
        </w:rPr>
      </w:pPr>
    </w:p>
    <w:p>
      <w:pPr>
        <w:ind w:right="300" w:firstLine="749"/>
        <w:spacing w:after="0" w:line="280" w:lineRule="auto"/>
        <w:rPr>
          <w:sz w:val="20"/>
          <w:szCs w:val="20"/>
          <w:color w:val="auto"/>
        </w:rPr>
      </w:pPr>
      <w:r>
        <w:rPr>
          <w:rFonts w:ascii="Times New Roman" w:cs="Times New Roman" w:eastAsia="Times New Roman" w:hAnsi="Times New Roman"/>
          <w:sz w:val="20"/>
          <w:szCs w:val="20"/>
          <w:color w:val="auto"/>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p>
      <w:pPr>
        <w:spacing w:after="0" w:line="31" w:lineRule="exact"/>
        <w:rPr>
          <w:sz w:val="20"/>
          <w:szCs w:val="20"/>
          <w:color w:val="auto"/>
        </w:rPr>
      </w:pPr>
    </w:p>
    <w:p>
      <w:pPr>
        <w:ind w:left="1940" w:hanging="435"/>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p>
    <w:p>
      <w:pPr>
        <w:spacing w:after="0" w:line="98" w:lineRule="exact"/>
        <w:rPr>
          <w:sz w:val="20"/>
          <w:szCs w:val="20"/>
          <w:color w:val="auto"/>
        </w:rPr>
      </w:pPr>
    </w:p>
    <w:p>
      <w:pPr>
        <w:jc w:val="both"/>
        <w:ind w:right="120" w:firstLine="749"/>
        <w:spacing w:after="0" w:line="244" w:lineRule="auto"/>
        <w:rPr>
          <w:sz w:val="20"/>
          <w:szCs w:val="20"/>
          <w:color w:val="auto"/>
        </w:rPr>
      </w:pPr>
      <w:r>
        <w:rPr>
          <w:rFonts w:ascii="Times New Roman" w:cs="Times New Roman" w:eastAsia="Times New Roman" w:hAnsi="Times New Roman"/>
          <w:sz w:val="22"/>
          <w:szCs w:val="22"/>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64" w:lineRule="exact"/>
        <w:rPr>
          <w:sz w:val="20"/>
          <w:szCs w:val="20"/>
          <w:color w:val="auto"/>
        </w:rPr>
      </w:pPr>
    </w:p>
    <w:p>
      <w:pPr>
        <w:ind w:left="1620" w:hanging="432"/>
        <w:spacing w:after="0"/>
        <w:tabs>
          <w:tab w:leader="none" w:pos="162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Section 16 Protection</w:t>
      </w:r>
    </w:p>
    <w:p>
      <w:pPr>
        <w:spacing w:after="0" w:line="9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The use of Trading Plans does not exempt participants from complying with the Section 16 reporting rules or liability for short-swing trades.</w:t>
      </w:r>
    </w:p>
    <w:p>
      <w:pPr>
        <w:spacing w:after="0" w:line="49" w:lineRule="exact"/>
        <w:rPr>
          <w:sz w:val="20"/>
          <w:szCs w:val="20"/>
          <w:color w:val="auto"/>
        </w:rPr>
      </w:pPr>
    </w:p>
    <w:p>
      <w:pPr>
        <w:ind w:left="1940" w:hanging="435"/>
        <w:spacing w:after="0"/>
        <w:tabs>
          <w:tab w:leader="none" w:pos="194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Liability</w:t>
      </w:r>
    </w:p>
    <w:p>
      <w:pPr>
        <w:spacing w:after="0" w:line="98"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None of the Company, the Authorizing Officer or the Company’s other employees will have any liability for any delay in reviewing, or refusal of, a Trading Plan submitted pursuant to this Section VI.A. Notwithstanding any review of a Trading Plan pursuant to this Section VI.A, none of the Company, the Authorizing Officer or the Company’s other employees assumes any liability for the legality or consequences relating to such Trading Plan to the person adopting such Trading Plan.</w:t>
      </w:r>
    </w:p>
    <w:p>
      <w:pPr>
        <w:spacing w:after="0" w:line="71" w:lineRule="exact"/>
        <w:rPr>
          <w:sz w:val="20"/>
          <w:szCs w:val="20"/>
          <w:color w:val="auto"/>
        </w:rPr>
      </w:pPr>
    </w:p>
    <w:p>
      <w:pPr>
        <w:ind w:left="740" w:right="20" w:firstLine="18"/>
        <w:spacing w:after="0" w:line="258" w:lineRule="auto"/>
        <w:tabs>
          <w:tab w:leader="none" w:pos="119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16: Insider Reporting Requirements, Short-Swing Profits and Short Sales (Applicable to Officers, Directors and 10% Stockholders)</w:t>
      </w:r>
    </w:p>
    <w:p>
      <w:pPr>
        <w:spacing w:after="0" w:line="4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Obligations Under Section 16(a): SEC Forms 3, 4 and 5</w:t>
      </w:r>
    </w:p>
    <w:p>
      <w:pPr>
        <w:spacing w:after="0" w:line="98"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Section 16(a) of the 1934 Act generally requires all officers, directors and 10% stockholders (“insiders”), within 10 days after the insider becomes an officer, director, or 10% stockholder, to file with the SEC an “Initial Statement of Beneficial Ownership of Securities” on SEC Form 3 listing the amount of the Company’s stock, options and warrants which the insider beneficially owns. Following the initial filing on SEC Form 3, changes in beneficial ownership of the Company’s stock, options and warrants must be reported on SEC Form 4, generally within two days after the date on which such change occurs, or in certain cases on Form 5, within 45 days after fiscal year end. The two-day Form 4 deadline begins to run from the trade date rather than the settlement date. A Form 4 must be filed even if, as a result of balancing transactions,</w:t>
      </w:r>
    </w:p>
    <w:p>
      <w:pPr>
        <w:spacing w:after="0" w:line="200" w:lineRule="exact"/>
        <w:rPr>
          <w:sz w:val="20"/>
          <w:szCs w:val="20"/>
          <w:color w:val="auto"/>
        </w:rPr>
      </w:pPr>
    </w:p>
    <w:p>
      <w:pPr>
        <w:spacing w:after="0" w:line="3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15</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75"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 xml:space="preserve">there has been no net change in holdings. In certain situations, purchases or sales of Company stock made within six months </w:t>
      </w:r>
      <w:r>
        <w:rPr>
          <w:rFonts w:ascii="Times New Roman" w:cs="Times New Roman" w:eastAsia="Times New Roman" w:hAnsi="Times New Roman"/>
          <w:sz w:val="22"/>
          <w:szCs w:val="22"/>
          <w:i w:val="1"/>
          <w:iCs w:val="1"/>
          <w:color w:val="auto"/>
        </w:rPr>
        <w:t xml:space="preserve">prior </w:t>
      </w:r>
      <w:r>
        <w:rPr>
          <w:rFonts w:ascii="Times New Roman" w:cs="Times New Roman" w:eastAsia="Times New Roman" w:hAnsi="Times New Roman"/>
          <w:sz w:val="22"/>
          <w:szCs w:val="22"/>
          <w:color w:val="auto"/>
        </w:rPr>
        <w:t>to the filing of a Form 3 must be reported on Form 4. Similarly, certain purchases or sales of Company stock made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six months </w:t>
      </w:r>
      <w:r>
        <w:rPr>
          <w:rFonts w:ascii="Times New Roman" w:cs="Times New Roman" w:eastAsia="Times New Roman" w:hAnsi="Times New Roman"/>
          <w:sz w:val="22"/>
          <w:szCs w:val="22"/>
          <w:i w:val="1"/>
          <w:iCs w:val="1"/>
          <w:color w:val="auto"/>
        </w:rPr>
        <w:t>after</w:t>
      </w:r>
      <w:r>
        <w:rPr>
          <w:rFonts w:ascii="Times New Roman" w:cs="Times New Roman" w:eastAsia="Times New Roman" w:hAnsi="Times New Roman"/>
          <w:sz w:val="22"/>
          <w:szCs w:val="22"/>
          <w:color w:val="auto"/>
        </w:rPr>
        <w:t xml:space="preserve"> an officer or director ceases to be an insider must be reported on Form 4.</w:t>
      </w:r>
    </w:p>
    <w:p>
      <w:pPr>
        <w:spacing w:after="0" w:line="64" w:lineRule="exact"/>
        <w:rPr>
          <w:sz w:val="20"/>
          <w:szCs w:val="20"/>
          <w:color w:val="auto"/>
        </w:rPr>
      </w:pPr>
    </w:p>
    <w:p>
      <w:pPr>
        <w:ind w:left="1940" w:hanging="435"/>
        <w:spacing w:after="0"/>
        <w:tabs>
          <w:tab w:leader="none" w:pos="19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Profits Under Section 16(b)</w:t>
      </w:r>
    </w:p>
    <w:p>
      <w:pPr>
        <w:spacing w:after="0" w:line="98" w:lineRule="exact"/>
        <w:rPr>
          <w:sz w:val="20"/>
          <w:szCs w:val="20"/>
          <w:color w:val="auto"/>
        </w:rPr>
      </w:pPr>
    </w:p>
    <w:p>
      <w:pPr>
        <w:ind w:right="120" w:firstLine="749"/>
        <w:spacing w:after="0" w:line="237" w:lineRule="auto"/>
        <w:rPr>
          <w:sz w:val="20"/>
          <w:szCs w:val="20"/>
          <w:color w:val="auto"/>
        </w:rPr>
      </w:pPr>
      <w:r>
        <w:rPr>
          <w:rFonts w:ascii="Times New Roman" w:cs="Times New Roman" w:eastAsia="Times New Roman" w:hAnsi="Times New Roman"/>
          <w:sz w:val="22"/>
          <w:szCs w:val="22"/>
          <w:color w:val="auto"/>
        </w:rPr>
        <w:t>For the purpose of preventing the unfair use of information which may have been obtained by an insider, any profits realized by any officer, director or 10% stockholder from any “purchase” and “sale” of Company stock during a six-month period, so called “short-swing profits,” may be recovered by the Company. When such a purchase and sale occurs, good faith is no defense. The insider is liable even if compelled to sell for personal reasons, and even if the sale takes place after full disclosure and without the use of any inside information.</w:t>
      </w:r>
    </w:p>
    <w:p>
      <w:pPr>
        <w:spacing w:after="0" w:line="72"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The liability of an insider under Section 16(b) of the 1934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spacing w:after="0" w:line="72" w:lineRule="exact"/>
        <w:rPr>
          <w:sz w:val="20"/>
          <w:szCs w:val="20"/>
          <w:color w:val="auto"/>
        </w:rPr>
      </w:pPr>
    </w:p>
    <w:p>
      <w:pPr>
        <w:jc w:val="both"/>
        <w:ind w:right="120" w:firstLine="749"/>
        <w:spacing w:after="0" w:line="244" w:lineRule="auto"/>
        <w:rPr>
          <w:sz w:val="20"/>
          <w:szCs w:val="20"/>
          <w:color w:val="auto"/>
        </w:rPr>
      </w:pPr>
      <w:r>
        <w:rPr>
          <w:rFonts w:ascii="Times New Roman" w:cs="Times New Roman" w:eastAsia="Times New Roman" w:hAnsi="Times New Roman"/>
          <w:sz w:val="22"/>
          <w:szCs w:val="22"/>
          <w:color w:val="auto"/>
        </w:rPr>
        <w:t>Officers and directors should consult the attached “Short-Swing Profit Rule Section 16(b) Checklist” attached hereto as “Attachment A” in addition to consulting the Chief Legal Officer prior to engaging in any transactions involving the Company’s securities, including without limitation, the Company’s stock, options or warrants.</w:t>
      </w:r>
    </w:p>
    <w:p>
      <w:pPr>
        <w:spacing w:after="0" w:line="64" w:lineRule="exact"/>
        <w:rPr>
          <w:sz w:val="20"/>
          <w:szCs w:val="20"/>
          <w:color w:val="auto"/>
        </w:rPr>
      </w:pPr>
    </w:p>
    <w:p>
      <w:pPr>
        <w:ind w:left="1940" w:hanging="435"/>
        <w:spacing w:after="0"/>
        <w:tabs>
          <w:tab w:leader="none" w:pos="19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 Prohibited Under Section 16(c)</w:t>
      </w:r>
    </w:p>
    <w:p>
      <w:pPr>
        <w:spacing w:after="0" w:line="98" w:lineRule="exact"/>
        <w:rPr>
          <w:sz w:val="20"/>
          <w:szCs w:val="20"/>
          <w:color w:val="auto"/>
        </w:rPr>
      </w:pPr>
    </w:p>
    <w:p>
      <w:pPr>
        <w:ind w:right="80" w:firstLine="749"/>
        <w:spacing w:after="0" w:line="271" w:lineRule="auto"/>
        <w:rPr>
          <w:sz w:val="20"/>
          <w:szCs w:val="20"/>
          <w:color w:val="auto"/>
        </w:rPr>
      </w:pPr>
      <w:r>
        <w:rPr>
          <w:rFonts w:ascii="Times New Roman" w:cs="Times New Roman" w:eastAsia="Times New Roman" w:hAnsi="Times New Roman"/>
          <w:sz w:val="20"/>
          <w:szCs w:val="20"/>
          <w:color w:val="auto"/>
        </w:rPr>
        <w:t>Section 16(c) of the 1934 Act prohibits insiders absolutely from making short sales of the Company’s equity securities. Short sales include sales of stock which the insider does not own at the time of sale, or sales of stock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w:t>
      </w:r>
    </w:p>
    <w:p>
      <w:pPr>
        <w:spacing w:after="0" w:line="40"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The Chief Legal Officer should be consulted if you have any questions regarding reporting obligations, short-swing profits or short sales under Section 16.</w:t>
      </w:r>
    </w:p>
    <w:p>
      <w:pPr>
        <w:spacing w:after="0" w:line="49" w:lineRule="exact"/>
        <w:rPr>
          <w:sz w:val="20"/>
          <w:szCs w:val="20"/>
          <w:color w:val="auto"/>
        </w:rPr>
      </w:pPr>
    </w:p>
    <w:p>
      <w:pPr>
        <w:ind w:left="1180" w:hanging="422"/>
        <w:spacing w:after="0"/>
        <w:tabs>
          <w:tab w:leader="none" w:pos="118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144 (Applicable to Officers, Directors and 10% Stockholders)</w:t>
      </w:r>
    </w:p>
    <w:p>
      <w:pPr>
        <w:spacing w:after="0" w:line="9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Rule 144 provides a safe harbor exemption to the registration requirements of the Securities Act of 1933, as amended, for certain resales of “restricted securities” and “control securities.” “Restricted securities” are securities acquired from an issuer, or an affiliate of an issuer, in a transaction or chain of transactions not involving a public offering. “Control</w:t>
      </w:r>
    </w:p>
    <w:p>
      <w:pPr>
        <w:spacing w:after="0" w:line="200" w:lineRule="exact"/>
        <w:rPr>
          <w:sz w:val="20"/>
          <w:szCs w:val="20"/>
          <w:color w:val="auto"/>
        </w:rPr>
      </w:pPr>
    </w:p>
    <w:p>
      <w:pPr>
        <w:spacing w:after="0" w:line="35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16</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4" w:name="page165"/>
    <w:bookmarkEnd w:id="164"/>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securities” are </w:t>
      </w:r>
      <w:r>
        <w:rPr>
          <w:rFonts w:ascii="Times New Roman" w:cs="Times New Roman" w:eastAsia="Times New Roman" w:hAnsi="Times New Roman"/>
          <w:sz w:val="22"/>
          <w:szCs w:val="22"/>
          <w:i w:val="1"/>
          <w:iCs w:val="1"/>
          <w:color w:val="auto"/>
        </w:rPr>
        <w:t>any</w:t>
      </w:r>
      <w:r>
        <w:rPr>
          <w:rFonts w:ascii="Times New Roman" w:cs="Times New Roman" w:eastAsia="Times New Roman" w:hAnsi="Times New Roman"/>
          <w:sz w:val="22"/>
          <w:szCs w:val="22"/>
          <w:color w:val="auto"/>
        </w:rPr>
        <w:t xml:space="preserve"> securities owned by directors, executive officers or other “affiliates” of the issuer, including stock purchased in the open market and stock received upon exercise of stock options. Sales of Company securities by affiliates (generally, directors, officers and 10% stockholders of the Company) must comply with the requirements of Rule 144, which are summarized below:</w:t>
      </w:r>
    </w:p>
    <w:p>
      <w:pPr>
        <w:spacing w:after="0" w:line="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Current Public Information. </w:t>
      </w:r>
      <w:r>
        <w:rPr>
          <w:rFonts w:ascii="Times New Roman" w:cs="Times New Roman" w:eastAsia="Times New Roman" w:hAnsi="Times New Roman"/>
          <w:sz w:val="22"/>
          <w:szCs w:val="22"/>
          <w:color w:val="auto"/>
        </w:rPr>
        <w:t>The Company must have filed all SEC-required reports during the last 12 months.</w:t>
      </w:r>
    </w:p>
    <w:p>
      <w:pPr>
        <w:spacing w:after="0" w:line="97" w:lineRule="exact"/>
        <w:rPr>
          <w:sz w:val="20"/>
          <w:szCs w:val="20"/>
          <w:color w:val="auto"/>
        </w:rPr>
      </w:pPr>
    </w:p>
    <w:p>
      <w:pPr>
        <w:ind w:left="1500" w:right="160" w:hanging="264"/>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Volume Limitations. </w:t>
      </w:r>
      <w:r>
        <w:rPr>
          <w:rFonts w:ascii="Times New Roman" w:cs="Times New Roman" w:eastAsia="Times New Roman" w:hAnsi="Times New Roman"/>
          <w:sz w:val="20"/>
          <w:szCs w:val="20"/>
          <w:color w:val="auto"/>
        </w:rPr>
        <w:t>Total sales of Company common stock by a covered individual for any three-month period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may not exceed the </w:t>
      </w:r>
      <w:r>
        <w:rPr>
          <w:rFonts w:ascii="Times New Roman" w:cs="Times New Roman" w:eastAsia="Times New Roman" w:hAnsi="Times New Roman"/>
          <w:sz w:val="20"/>
          <w:szCs w:val="20"/>
          <w:i w:val="1"/>
          <w:iCs w:val="1"/>
          <w:color w:val="auto"/>
        </w:rPr>
        <w:t>greater</w:t>
      </w:r>
      <w:r>
        <w:rPr>
          <w:rFonts w:ascii="Times New Roman" w:cs="Times New Roman" w:eastAsia="Times New Roman" w:hAnsi="Times New Roman"/>
          <w:sz w:val="20"/>
          <w:szCs w:val="20"/>
          <w:color w:val="auto"/>
        </w:rPr>
        <w:t xml:space="preserve"> 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w:t>
      </w:r>
    </w:p>
    <w:p>
      <w:pPr>
        <w:spacing w:after="0" w:line="32" w:lineRule="exact"/>
        <w:rPr>
          <w:sz w:val="20"/>
          <w:szCs w:val="20"/>
          <w:color w:val="auto"/>
        </w:rPr>
      </w:pPr>
    </w:p>
    <w:p>
      <w:pPr>
        <w:ind w:left="1500" w:right="80" w:hanging="264"/>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Method of Sale. </w:t>
      </w:r>
      <w:r>
        <w:rPr>
          <w:rFonts w:ascii="Times New Roman" w:cs="Times New Roman" w:eastAsia="Times New Roman" w:hAnsi="Times New Roman"/>
          <w:sz w:val="22"/>
          <w:szCs w:val="22"/>
          <w:color w:val="auto"/>
        </w:rPr>
        <w:t>The shares must be sold either in a “broker’s transaction” or in a transaction directly with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“market maker.” A “broker’s transaction” is one in which the broker does no more than execute the sale order and receive the usual and customary commission. Neither the broker nor the selling person can solicit or arrange for the sale order. In addition, the selling person or Board member must not pay any fee or commission other than to the broker. A “market maker” includes a specialist permitted to act as a dealer, a dealer acting in the position of a block positioner, and a dealer who holds himself out as being willing to buy and sell Company common stock for his own account on a regular and continuous basis.</w:t>
      </w:r>
    </w:p>
    <w:p>
      <w:pPr>
        <w:spacing w:after="0" w:line="65" w:lineRule="exact"/>
        <w:rPr>
          <w:sz w:val="20"/>
          <w:szCs w:val="20"/>
          <w:color w:val="auto"/>
        </w:rPr>
      </w:pPr>
    </w:p>
    <w:p>
      <w:pPr>
        <w:ind w:left="1500" w:right="60" w:hanging="264"/>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Notice of Proposed Sale. </w:t>
      </w:r>
      <w:r>
        <w:rPr>
          <w:rFonts w:ascii="Times New Roman" w:cs="Times New Roman" w:eastAsia="Times New Roman" w:hAnsi="Times New Roman"/>
          <w:sz w:val="22"/>
          <w:szCs w:val="22"/>
          <w:color w:val="auto"/>
        </w:rPr>
        <w:t>A notice of the sale (a Form 144) must be filed with the SEC at the time of the sale.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Brokers generally have internal procedures for executing sales under Rule 144 and will assist you in completing the Form 144 and in complying with the other requirements of Rule 144.</w:t>
      </w:r>
    </w:p>
    <w:p>
      <w:pPr>
        <w:spacing w:after="0" w:line="64"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22"/>
          <w:szCs w:val="22"/>
          <w:color w:val="auto"/>
        </w:rPr>
        <w:t>If you are subject to Rule 144, you must instruct your broker who handles trades in Company securities to follow the brokerage firm’s Rule 144 compliance procedures in connection with all trades.</w:t>
      </w:r>
    </w:p>
    <w:p>
      <w:pPr>
        <w:spacing w:after="0" w:line="4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VII.</w:t>
      </w:r>
      <w:r>
        <w:rPr>
          <w:sz w:val="20"/>
          <w:szCs w:val="20"/>
          <w:color w:val="auto"/>
        </w:rPr>
        <w:tab/>
      </w:r>
      <w:r>
        <w:rPr>
          <w:rFonts w:ascii="Times New Roman" w:cs="Times New Roman" w:eastAsia="Times New Roman" w:hAnsi="Times New Roman"/>
          <w:sz w:val="22"/>
          <w:szCs w:val="22"/>
          <w:u w:val="single" w:color="auto"/>
          <w:color w:val="auto"/>
        </w:rPr>
        <w:t>EXECUTION AND RETURN OF CERTIFICATION OF COMPLIANCE</w:t>
      </w:r>
    </w:p>
    <w:p>
      <w:pPr>
        <w:spacing w:after="0" w:line="205"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After reading this Policy, all officers, directors and employees should execute and return to the Company’s Chief Legal Officer the Certification of Compliance form attached hereto as “Attachment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17</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ATTACHMENT A</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SHORT-SWING PROFIT RULE SECTION 16(B) CHECKLIST</w:t>
      </w:r>
    </w:p>
    <w:p>
      <w:pPr>
        <w:spacing w:after="0" w:line="200" w:lineRule="exact"/>
        <w:rPr>
          <w:sz w:val="20"/>
          <w:szCs w:val="20"/>
          <w:color w:val="auto"/>
        </w:rPr>
      </w:pPr>
    </w:p>
    <w:p>
      <w:pPr>
        <w:spacing w:after="0" w:line="24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20"/>
          <w:szCs w:val="20"/>
          <w:color w:val="auto"/>
        </w:rPr>
        <w:t>Note: ANY combination of PURCHASE AND SALE or SALE AND PURCHASE within six months of each other by an officer, director or 10% stockholder (or any family member living in the same household or certain affiliated entities) results in a violation of Section 16(b), and the “profit” must be recovered by Parsons Corporation (the “Company”). It makes no difference how long the shares being sold have been held or, for officers and directors, that you were an insider for only one of the two matching transactions. The highest priced sale will be matched with the lowest priced purchase within the six-month period.</w:t>
      </w:r>
    </w:p>
    <w:p>
      <w:pPr>
        <w:spacing w:after="0" w:line="43"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Sales</w:t>
      </w:r>
    </w:p>
    <w:p>
      <w:pPr>
        <w:spacing w:after="0" w:line="102" w:lineRule="exact"/>
        <w:rPr>
          <w:sz w:val="20"/>
          <w:szCs w:val="20"/>
          <w:color w:val="auto"/>
        </w:rPr>
      </w:pPr>
    </w:p>
    <w:p>
      <w:pPr>
        <w:ind w:right="840" w:firstLine="1180"/>
        <w:spacing w:after="0" w:line="258" w:lineRule="auto"/>
        <w:rPr>
          <w:sz w:val="20"/>
          <w:szCs w:val="20"/>
          <w:color w:val="auto"/>
        </w:rPr>
      </w:pPr>
      <w:r>
        <w:rPr>
          <w:rFonts w:ascii="Times New Roman" w:cs="Times New Roman" w:eastAsia="Times New Roman" w:hAnsi="Times New Roman"/>
          <w:sz w:val="22"/>
          <w:szCs w:val="22"/>
          <w:color w:val="auto"/>
        </w:rPr>
        <w:t>If a sale is to be made by an officer, director or 10% stockholder (or any family member living in the same household or certain affiliated entities):</w:t>
      </w:r>
    </w:p>
    <w:p>
      <w:pPr>
        <w:spacing w:after="0" w:line="49" w:lineRule="exact"/>
        <w:rPr>
          <w:sz w:val="20"/>
          <w:szCs w:val="20"/>
          <w:color w:val="auto"/>
        </w:rPr>
      </w:pPr>
    </w:p>
    <w:p>
      <w:pPr>
        <w:ind w:left="1500" w:right="460" w:hanging="258"/>
        <w:spacing w:after="0" w:line="258" w:lineRule="auto"/>
        <w:tabs>
          <w:tab w:leader="none" w:pos="166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there been any purchases by the insider (or family members living in the same household or certain affiliated entities) within the past six months?</w:t>
      </w:r>
    </w:p>
    <w:p>
      <w:pPr>
        <w:spacing w:after="0" w:line="49" w:lineRule="exact"/>
        <w:rPr>
          <w:rFonts w:ascii="Times New Roman" w:cs="Times New Roman" w:eastAsia="Times New Roman" w:hAnsi="Times New Roman"/>
          <w:sz w:val="22"/>
          <w:szCs w:val="22"/>
          <w:color w:val="auto"/>
        </w:rPr>
      </w:pPr>
    </w:p>
    <w:p>
      <w:pPr>
        <w:ind w:left="1680" w:hanging="438"/>
        <w:spacing w:after="0"/>
        <w:tabs>
          <w:tab w:leader="none" w:pos="16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there been any option grants or exercises not exempt under Rule 16b-3 within the past six months?</w:t>
      </w:r>
    </w:p>
    <w:p>
      <w:pPr>
        <w:spacing w:after="0" w:line="97" w:lineRule="exact"/>
        <w:rPr>
          <w:rFonts w:ascii="Times New Roman" w:cs="Times New Roman" w:eastAsia="Times New Roman" w:hAnsi="Times New Roman"/>
          <w:sz w:val="22"/>
          <w:szCs w:val="22"/>
          <w:color w:val="auto"/>
        </w:rPr>
      </w:pPr>
    </w:p>
    <w:p>
      <w:pPr>
        <w:ind w:left="1680" w:hanging="438"/>
        <w:spacing w:after="0"/>
        <w:tabs>
          <w:tab w:leader="none" w:pos="16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any purchases (or non-exempt option exercises) anticipated or required within the next six months?</w:t>
      </w:r>
    </w:p>
    <w:p>
      <w:pPr>
        <w:spacing w:after="0" w:line="97" w:lineRule="exact"/>
        <w:rPr>
          <w:rFonts w:ascii="Times New Roman" w:cs="Times New Roman" w:eastAsia="Times New Roman" w:hAnsi="Times New Roman"/>
          <w:sz w:val="22"/>
          <w:szCs w:val="22"/>
          <w:color w:val="auto"/>
        </w:rPr>
      </w:pPr>
    </w:p>
    <w:p>
      <w:pPr>
        <w:ind w:left="1680" w:hanging="438"/>
        <w:spacing w:after="0"/>
        <w:tabs>
          <w:tab w:leader="none" w:pos="16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Form 4 been prepared?</w:t>
      </w:r>
    </w:p>
    <w:p>
      <w:pPr>
        <w:spacing w:after="0" w:line="98" w:lineRule="exact"/>
        <w:rPr>
          <w:sz w:val="20"/>
          <w:szCs w:val="20"/>
          <w:color w:val="auto"/>
        </w:rPr>
      </w:pPr>
    </w:p>
    <w:p>
      <w:pPr>
        <w:ind w:right="60" w:firstLine="1180"/>
        <w:spacing w:after="0" w:line="258" w:lineRule="auto"/>
        <w:rPr>
          <w:sz w:val="20"/>
          <w:szCs w:val="20"/>
          <w:color w:val="auto"/>
        </w:rPr>
      </w:pPr>
      <w:r>
        <w:rPr>
          <w:rFonts w:ascii="Times New Roman" w:cs="Times New Roman" w:eastAsia="Times New Roman" w:hAnsi="Times New Roman"/>
          <w:sz w:val="22"/>
          <w:szCs w:val="22"/>
          <w:color w:val="auto"/>
        </w:rPr>
        <w:t>Note: If a sale is to be made by an affiliate of the Company, has a Form 144 been prepared and has the broker been reminded to sell pursuant to Rule 144?</w:t>
      </w:r>
    </w:p>
    <w:p>
      <w:pPr>
        <w:spacing w:after="0" w:line="45" w:lineRule="exact"/>
        <w:rPr>
          <w:sz w:val="20"/>
          <w:szCs w:val="20"/>
          <w:color w:val="auto"/>
        </w:rPr>
      </w:pPr>
    </w:p>
    <w:p>
      <w:pPr>
        <w:ind w:left="1180" w:right="4100" w:firstLine="2938"/>
        <w:spacing w:after="0" w:line="367" w:lineRule="auto"/>
        <w:rPr>
          <w:sz w:val="20"/>
          <w:szCs w:val="20"/>
          <w:color w:val="auto"/>
        </w:rPr>
      </w:pPr>
      <w:r>
        <w:rPr>
          <w:rFonts w:ascii="Times New Roman" w:cs="Times New Roman" w:eastAsia="Times New Roman" w:hAnsi="Times New Roman"/>
          <w:sz w:val="20"/>
          <w:szCs w:val="20"/>
          <w:b w:val="1"/>
          <w:bCs w:val="1"/>
          <w:color w:val="auto"/>
        </w:rPr>
        <w:t xml:space="preserve">Purchases And Option Exercises </w:t>
      </w:r>
      <w:r>
        <w:rPr>
          <w:rFonts w:ascii="Times New Roman" w:cs="Times New Roman" w:eastAsia="Times New Roman" w:hAnsi="Times New Roman"/>
          <w:sz w:val="20"/>
          <w:szCs w:val="20"/>
          <w:color w:val="auto"/>
        </w:rPr>
        <w:t>If a purchase or option exercise for Company stock is to be made:</w:t>
      </w:r>
    </w:p>
    <w:p>
      <w:pPr>
        <w:spacing w:after="0" w:line="2" w:lineRule="exact"/>
        <w:rPr>
          <w:sz w:val="20"/>
          <w:szCs w:val="20"/>
          <w:color w:val="auto"/>
        </w:rPr>
      </w:pPr>
    </w:p>
    <w:p>
      <w:pPr>
        <w:ind w:left="1500" w:right="80" w:hanging="258"/>
        <w:spacing w:after="0" w:line="258" w:lineRule="auto"/>
        <w:tabs>
          <w:tab w:leader="none" w:pos="166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there been any sales by the insider (or family members living in the same household or certain affiliated entities) within the past six months?</w:t>
      </w:r>
    </w:p>
    <w:p>
      <w:pPr>
        <w:spacing w:after="0" w:line="49" w:lineRule="exact"/>
        <w:rPr>
          <w:rFonts w:ascii="Times New Roman" w:cs="Times New Roman" w:eastAsia="Times New Roman" w:hAnsi="Times New Roman"/>
          <w:sz w:val="22"/>
          <w:szCs w:val="22"/>
          <w:color w:val="auto"/>
        </w:rPr>
      </w:pPr>
    </w:p>
    <w:p>
      <w:pPr>
        <w:ind w:left="1680" w:hanging="438"/>
        <w:spacing w:after="0"/>
        <w:tabs>
          <w:tab w:leader="none" w:pos="168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any sales anticipated or required within the next six months (such as tax-related or year-end transactions)?</w:t>
      </w:r>
    </w:p>
    <w:p>
      <w:pPr>
        <w:spacing w:after="0" w:line="120" w:lineRule="exact"/>
        <w:rPr>
          <w:rFonts w:ascii="Times New Roman" w:cs="Times New Roman" w:eastAsia="Times New Roman" w:hAnsi="Times New Roman"/>
          <w:sz w:val="20"/>
          <w:szCs w:val="20"/>
          <w:color w:val="auto"/>
        </w:rPr>
      </w:pPr>
    </w:p>
    <w:p>
      <w:pPr>
        <w:ind w:left="1680" w:hanging="438"/>
        <w:spacing w:after="0"/>
        <w:tabs>
          <w:tab w:leader="none" w:pos="168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Form 4 been prepared?</w:t>
      </w:r>
    </w:p>
    <w:p>
      <w:pPr>
        <w:spacing w:after="0" w:line="94" w:lineRule="exact"/>
        <w:rPr>
          <w:sz w:val="20"/>
          <w:szCs w:val="20"/>
          <w:color w:val="auto"/>
        </w:rPr>
      </w:pPr>
    </w:p>
    <w:p>
      <w:pPr>
        <w:ind w:right="100" w:firstLine="11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Before proceeding with a purchase or sale, consider whether you are aware of material inside information which could affect the price of the Company stock. All transactions in the Company’s securities by officers and directors must be </w:t>
      </w:r>
      <w:r>
        <w:rPr>
          <w:rFonts w:ascii="Times New Roman" w:cs="Times New Roman" w:eastAsia="Times New Roman" w:hAnsi="Times New Roman"/>
          <w:sz w:val="22"/>
          <w:szCs w:val="22"/>
          <w:b w:val="1"/>
          <w:bCs w:val="1"/>
          <w:u w:val="single" w:color="auto"/>
          <w:color w:val="auto"/>
        </w:rPr>
        <w:t>pre-cleared</w:t>
      </w:r>
      <w:r>
        <w:rPr>
          <w:rFonts w:ascii="Times New Roman" w:cs="Times New Roman" w:eastAsia="Times New Roman" w:hAnsi="Times New Roman"/>
          <w:sz w:val="22"/>
          <w:szCs w:val="22"/>
          <w:b w:val="1"/>
          <w:bCs w:val="1"/>
          <w:color w:val="auto"/>
        </w:rPr>
        <w:t xml:space="preserve"> by contacting the Company’s Chief Legal Officer or Chief Financial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18</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66" w:name="page167"/>
    <w:bookmarkEnd w:id="166"/>
    <w:p>
      <w:pPr>
        <w:jc w:val="center"/>
        <w:ind w:right="-139"/>
        <w:spacing w:after="0"/>
        <w:rPr>
          <w:sz w:val="20"/>
          <w:szCs w:val="20"/>
          <w:color w:val="auto"/>
        </w:rPr>
      </w:pPr>
      <w:r>
        <w:rPr>
          <w:rFonts w:ascii="Times New Roman" w:cs="Times New Roman" w:eastAsia="Times New Roman" w:hAnsi="Times New Roman"/>
          <w:sz w:val="22"/>
          <w:szCs w:val="22"/>
          <w:u w:val="single" w:color="auto"/>
          <w:color w:val="auto"/>
        </w:rPr>
        <w:t>ATTACHMENT B</w:t>
      </w: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CERTIFICATION OF COMPLIANCE</w:t>
      </w:r>
    </w:p>
    <w:p>
      <w:pPr>
        <w:spacing w:after="0" w:line="200" w:lineRule="exact"/>
        <w:rPr>
          <w:sz w:val="20"/>
          <w:szCs w:val="20"/>
          <w:color w:val="auto"/>
        </w:rPr>
      </w:pPr>
    </w:p>
    <w:p>
      <w:pPr>
        <w:spacing w:after="0" w:line="2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RETURN BY [_________] </w:t>
      </w:r>
      <w:r>
        <w:rPr>
          <w:rFonts w:ascii="Times New Roman" w:cs="Times New Roman" w:eastAsia="Times New Roman" w:hAnsi="Times New Roman"/>
          <w:sz w:val="22"/>
          <w:szCs w:val="22"/>
          <w:i w:val="1"/>
          <w:iCs w:val="1"/>
          <w:color w:val="auto"/>
        </w:rPr>
        <w:t>[insert return deadline]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__________________, Chief Legal Officer</w:t>
      </w:r>
    </w:p>
    <w:p>
      <w:pPr>
        <w:spacing w:after="0" w:line="9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FROM:</w:t>
      </w:r>
      <w:r>
        <w:rPr>
          <w:sz w:val="20"/>
          <w:szCs w:val="20"/>
          <w:color w:val="auto"/>
        </w:rPr>
        <w:tab/>
      </w:r>
      <w:r>
        <w:rPr>
          <w:rFonts w:ascii="Times New Roman" w:cs="Times New Roman" w:eastAsia="Times New Roman" w:hAnsi="Times New Roman"/>
          <w:sz w:val="20"/>
          <w:szCs w:val="20"/>
          <w:color w:val="auto"/>
        </w:rPr>
        <w:t>__________________________</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INSIDER TRADING COMPLIANCE POLICY OF PARSONS CORPORATION</w:t>
      </w:r>
    </w:p>
    <w:p>
      <w:pPr>
        <w:spacing w:after="0" w:line="98" w:lineRule="exact"/>
        <w:rPr>
          <w:sz w:val="20"/>
          <w:szCs w:val="20"/>
          <w:color w:val="auto"/>
        </w:rPr>
      </w:pPr>
    </w:p>
    <w:p>
      <w:pPr>
        <w:jc w:val="both"/>
        <w:ind w:right="700" w:firstLine="1498"/>
        <w:spacing w:after="0" w:line="244" w:lineRule="auto"/>
        <w:rPr>
          <w:sz w:val="20"/>
          <w:szCs w:val="20"/>
          <w:color w:val="auto"/>
        </w:rPr>
      </w:pPr>
      <w:r>
        <w:rPr>
          <w:rFonts w:ascii="Times New Roman" w:cs="Times New Roman" w:eastAsia="Times New Roman" w:hAnsi="Times New Roman"/>
          <w:sz w:val="22"/>
          <w:szCs w:val="22"/>
          <w:color w:val="auto"/>
        </w:rPr>
        <w:t>I have received, reviewed and understand the above-referenced Insider Trading Compliance Policy and undertake, as a condition to my present and continued employment (or, if I am not an employee, affiliation with) Parsons Corporation, to comply fully with the policies and procedures contained therein.</w:t>
      </w:r>
    </w:p>
    <w:p>
      <w:pPr>
        <w:spacing w:after="0" w:line="64" w:lineRule="exact"/>
        <w:rPr>
          <w:sz w:val="20"/>
          <w:szCs w:val="20"/>
          <w:color w:val="auto"/>
        </w:rPr>
      </w:pPr>
    </w:p>
    <w:p>
      <w:pPr>
        <w:ind w:firstLine="1498"/>
        <w:spacing w:after="0" w:line="258" w:lineRule="auto"/>
        <w:rPr>
          <w:sz w:val="20"/>
          <w:szCs w:val="20"/>
          <w:color w:val="auto"/>
        </w:rPr>
      </w:pPr>
      <w:r>
        <w:rPr>
          <w:rFonts w:ascii="Times New Roman" w:cs="Times New Roman" w:eastAsia="Times New Roman" w:hAnsi="Times New Roman"/>
          <w:sz w:val="22"/>
          <w:szCs w:val="22"/>
          <w:color w:val="auto"/>
        </w:rPr>
        <w:t>I hereby certify, to the best of my knowledge, that during the calendar year ending December 31, 20[__], I have complied fully with all policies and procedures set forth in the above-referenced Insider Trading Compliance Policy.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 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DATE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19</w:t>
      </w:r>
    </w:p>
    <w:p>
      <w:pPr>
        <w:spacing w:after="0" w:line="14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color w:val="auto"/>
        </w:rPr>
        <w:t>|US-DOCS\106876332.3||</w:t>
      </w:r>
      <w:r>
        <w:rPr>
          <w:sz w:val="20"/>
          <w:szCs w:val="20"/>
          <w:color w:val="auto"/>
        </w:rPr>
        <w:tab/>
      </w:r>
      <w:r>
        <w:rPr>
          <w:rFonts w:ascii="Times New Roman" w:cs="Times New Roman" w:eastAsia="Times New Roman" w:hAnsi="Times New Roman"/>
          <w:sz w:val="14"/>
          <w:szCs w:val="14"/>
          <w:color w:val="auto"/>
        </w:rPr>
        <w:t>| DATE \@ "MM-dd-yyyy" 01-26-2024  DATE \@ "HH:mm" 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7"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7460" w:type="dxa"/>
            <w:vAlign w:val="bottom"/>
            <w:gridSpan w:val="3"/>
          </w:tcPr>
          <w:p>
            <w:pPr>
              <w:ind w:left="60"/>
              <w:spacing w:after="0"/>
              <w:rPr>
                <w:sz w:val="20"/>
                <w:szCs w:val="20"/>
                <w:color w:val="auto"/>
              </w:rPr>
            </w:pPr>
            <w:r>
              <w:rPr>
                <w:rFonts w:ascii="Calibri" w:cs="Calibri" w:eastAsia="Calibri" w:hAnsi="Calibri"/>
                <w:sz w:val="20"/>
                <w:szCs w:val="20"/>
                <w:b w:val="1"/>
                <w:bCs w:val="1"/>
                <w:color w:val="auto"/>
              </w:rPr>
              <w:t>LIST OF SUBSIDIARIES OF THE REGISTRANT</w:t>
            </w:r>
          </w:p>
        </w:tc>
      </w:tr>
      <w:tr>
        <w:trPr>
          <w:trHeight w:val="748"/>
        </w:trPr>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Calibri" w:cs="Calibri" w:eastAsia="Calibri" w:hAnsi="Calibri"/>
                <w:sz w:val="20"/>
                <w:szCs w:val="20"/>
                <w:b w:val="1"/>
                <w:bCs w:val="1"/>
                <w:color w:val="auto"/>
                <w:w w:val="99"/>
              </w:rPr>
              <w:t>Subsidiary</w:t>
            </w:r>
          </w:p>
        </w:tc>
        <w:tc>
          <w:tcPr>
            <w:tcW w:w="28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00" w:type="dxa"/>
            <w:vAlign w:val="bottom"/>
            <w:tcBorders>
              <w:bottom w:val="single" w:sz="8" w:color="auto"/>
            </w:tcBorders>
          </w:tcPr>
          <w:p>
            <w:pPr>
              <w:spacing w:after="0"/>
              <w:rPr>
                <w:sz w:val="20"/>
                <w:szCs w:val="20"/>
                <w:color w:val="auto"/>
              </w:rPr>
            </w:pPr>
            <w:r>
              <w:rPr>
                <w:rFonts w:ascii="Calibri" w:cs="Calibri" w:eastAsia="Calibri" w:hAnsi="Calibri"/>
                <w:sz w:val="20"/>
                <w:szCs w:val="20"/>
                <w:b w:val="1"/>
                <w:bCs w:val="1"/>
                <w:color w:val="auto"/>
              </w:rPr>
              <w:t>Registered Jurisdicton</w:t>
            </w:r>
          </w:p>
        </w:tc>
        <w:tc>
          <w:tcPr>
            <w:tcW w:w="2120" w:type="dxa"/>
            <w:vAlign w:val="bottom"/>
          </w:tcPr>
          <w:p>
            <w:pPr>
              <w:spacing w:after="0"/>
              <w:rPr>
                <w:sz w:val="24"/>
                <w:szCs w:val="24"/>
                <w:color w:val="auto"/>
              </w:rPr>
            </w:pPr>
          </w:p>
        </w:tc>
      </w:tr>
      <w:tr>
        <w:trPr>
          <w:trHeight w:val="284"/>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3D/Internatonal, Inc.</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Texas</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Amplus Corporaton</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Virginia</w:t>
            </w:r>
          </w:p>
        </w:tc>
      </w:tr>
      <w:tr>
        <w:trPr>
          <w:trHeight w:val="539"/>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Blackhorse, A Parsons Company</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Delaware</w:t>
            </w:r>
          </w:p>
        </w:tc>
      </w:tr>
      <w:tr>
        <w:trPr>
          <w:trHeight w:val="405"/>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Bonifca S.P.A.</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Italy</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Braxton Science &amp; Technology Group, LLC</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Colorado</w:t>
            </w:r>
          </w:p>
        </w:tc>
      </w:tr>
      <w:tr>
        <w:trPr>
          <w:trHeight w:val="607"/>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Braxton Technologies, LLC</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Colorado</w:t>
            </w:r>
          </w:p>
        </w:tc>
      </w:tr>
      <w:tr>
        <w:trPr>
          <w:trHeight w:val="405"/>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Bright Star For Engineering Services LLC</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Iraq, Republic of</w:t>
            </w:r>
          </w:p>
        </w:tc>
      </w:tr>
      <w:tr>
        <w:trPr>
          <w:trHeight w:val="607"/>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Checkmark Vehicle Safety Services, Inc.</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Delaware</w:t>
            </w:r>
          </w:p>
        </w:tc>
      </w:tr>
      <w:tr>
        <w:trPr>
          <w:trHeight w:val="405"/>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CMX Technologies LLC</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Delaware</w:t>
            </w:r>
          </w:p>
        </w:tc>
      </w:tr>
      <w:tr>
        <w:trPr>
          <w:trHeight w:val="405"/>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Command Engineering Internatonal Limited</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Ontario</w:t>
            </w:r>
          </w:p>
        </w:tc>
      </w:tr>
      <w:tr>
        <w:trPr>
          <w:trHeight w:val="405"/>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De Leuw, Cather Internatonal Limited</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Delaware</w:t>
            </w:r>
          </w:p>
        </w:tc>
      </w:tr>
      <w:tr>
        <w:trPr>
          <w:trHeight w:val="405"/>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Delcan Corporaton</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Illinois</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Delcan Technologies, Inc.</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Georgia</w:t>
            </w:r>
          </w:p>
        </w:tc>
      </w:tr>
      <w:tr>
        <w:trPr>
          <w:trHeight w:val="405"/>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DZSP 21 LLC</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Delaware</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Echo Ridge, LLC</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Virginia</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Emeret, LLC</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Colorado</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First Defense Services Pte. Ltd.</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Singapore</w:t>
            </w:r>
          </w:p>
        </w:tc>
      </w:tr>
      <w:tr>
        <w:trPr>
          <w:trHeight w:val="405"/>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Fourth Dimension Engineering LLC</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Delaware</w:t>
            </w:r>
          </w:p>
        </w:tc>
      </w:tr>
      <w:tr>
        <w:trPr>
          <w:trHeight w:val="405"/>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Holding S.r.L.</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Italy</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Ingenicomm, LLC</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Virginia</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IPKeys Power Partners, Inc.</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Delaware</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Marigold Infrastructure Partners Inc.</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Alberta</w:t>
            </w:r>
          </w:p>
        </w:tc>
      </w:tr>
      <w:tr>
        <w:trPr>
          <w:trHeight w:val="405"/>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NDP, LLC</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Colorado</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OGS Holdings, Inc.</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Delaware</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OGSystems, LLC</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Virginia</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PARCAN, Inc.</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Delaware</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Parmetek, S.A. De C.V.</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Mexico</w:t>
            </w:r>
          </w:p>
        </w:tc>
      </w:tr>
      <w:tr>
        <w:trPr>
          <w:trHeight w:val="270"/>
        </w:trPr>
        <w:tc>
          <w:tcPr>
            <w:tcW w:w="100" w:type="dxa"/>
            <w:vAlign w:val="bottom"/>
          </w:tcPr>
          <w:p>
            <w:pPr>
              <w:spacing w:after="0"/>
              <w:rPr>
                <w:sz w:val="23"/>
                <w:szCs w:val="23"/>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Parsons 401Hot GP Inc.</w:t>
            </w:r>
          </w:p>
        </w:tc>
        <w:tc>
          <w:tcPr>
            <w:tcW w:w="344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Ontario</w:t>
            </w:r>
          </w:p>
        </w:tc>
      </w:tr>
      <w:tr>
        <w:trPr>
          <w:trHeight w:val="405"/>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Parsons 401Hot Limited Partnership</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Ontario</w:t>
            </w:r>
          </w:p>
        </w:tc>
      </w:tr>
      <w:tr>
        <w:trPr>
          <w:trHeight w:val="405"/>
        </w:trPr>
        <w:tc>
          <w:tcPr>
            <w:tcW w:w="10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Calibri" w:cs="Calibri" w:eastAsia="Calibri" w:hAnsi="Calibri"/>
                <w:sz w:val="20"/>
                <w:szCs w:val="20"/>
                <w:color w:val="auto"/>
              </w:rPr>
              <w:t>Parsons Architectural Services Inc.</w:t>
            </w:r>
          </w:p>
        </w:tc>
        <w:tc>
          <w:tcPr>
            <w:tcW w:w="34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Calibri" w:cs="Calibri" w:eastAsia="Calibri" w:hAnsi="Calibri"/>
                <w:sz w:val="20"/>
                <w:szCs w:val="20"/>
                <w:color w:val="auto"/>
              </w:rPr>
              <w:t>Alberta</w:t>
            </w:r>
          </w:p>
        </w:tc>
      </w:tr>
      <w:tr>
        <w:trPr>
          <w:trHeight w:val="1591"/>
        </w:trPr>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5580" w:type="dxa"/>
            <w:vAlign w:val="bottom"/>
          </w:tcPr>
          <w:p>
            <w:pPr>
              <w:spacing w:after="0"/>
              <w:rPr>
                <w:sz w:val="20"/>
                <w:szCs w:val="20"/>
                <w:color w:val="auto"/>
              </w:rPr>
            </w:pPr>
          </w:p>
        </w:tc>
      </w:tr>
      <w:tr>
        <w:trPr>
          <w:trHeight w:val="412"/>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Architectural Services of Illinois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Illinois</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Architecture of Florida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Florida</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Architecture of New Jersey P.C.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New Jersey</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Canada Holdings, LLC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Constructon Craf Services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Texas</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Constructon Group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Constructors &amp; Fabricators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Constructors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Corporaton</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270"/>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Delcan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270"/>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do Brasil Construcoes Ltda.</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Brazil</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Engineering Inc. of Michigan</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Michigan</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Engineering Limited</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Cork</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Engineering of New York,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New York</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Engineering Science Internatonal,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607"/>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Engineering Science,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California</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Engineering Services L.L.C.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Dubai</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Enterprises,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Environment &amp; Infrastructure Group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607"/>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Europe Holdings B.V.</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Netherlands</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Evergreene, LLC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Federal Constructon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California</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Global Services, Ltd.</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Cayman Islands (B.W.I.)</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Government Services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Nevada</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Government Services Internatonal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607"/>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Government Support Services Inc.</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Texas</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Group Internatonal Limited</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United Kingdom</w:t>
            </w:r>
          </w:p>
        </w:tc>
      </w:tr>
      <w:tr>
        <w:trPr>
          <w:trHeight w:val="405"/>
        </w:trPr>
        <w:tc>
          <w:tcPr>
            <w:tcW w:w="5660" w:type="dxa"/>
            <w:vAlign w:val="bottom"/>
          </w:tcPr>
          <w:p>
            <w:pPr>
              <w:ind w:left="100"/>
              <w:spacing w:after="0"/>
              <w:rPr>
                <w:sz w:val="20"/>
                <w:szCs w:val="20"/>
                <w:color w:val="auto"/>
              </w:rPr>
            </w:pPr>
            <w:r>
              <w:rPr>
                <w:rFonts w:ascii="Calibri" w:cs="Calibri" w:eastAsia="Calibri" w:hAnsi="Calibri"/>
                <w:sz w:val="20"/>
                <w:szCs w:val="20"/>
                <w:color w:val="auto"/>
              </w:rPr>
              <w:t>Parsons Group-France SAS</w:t>
            </w:r>
          </w:p>
        </w:tc>
        <w:tc>
          <w:tcPr>
            <w:tcW w:w="5580" w:type="dxa"/>
            <w:vAlign w:val="bottom"/>
          </w:tcPr>
          <w:p>
            <w:pPr>
              <w:ind w:left="1560"/>
              <w:spacing w:after="0"/>
              <w:rPr>
                <w:sz w:val="20"/>
                <w:szCs w:val="20"/>
                <w:color w:val="auto"/>
              </w:rPr>
            </w:pPr>
            <w:r>
              <w:rPr>
                <w:rFonts w:ascii="Calibri" w:cs="Calibri" w:eastAsia="Calibri" w:hAnsi="Calibri"/>
                <w:sz w:val="20"/>
                <w:szCs w:val="20"/>
                <w:color w:val="auto"/>
              </w:rPr>
              <w:t>France</w:t>
            </w:r>
          </w:p>
        </w:tc>
      </w:tr>
      <w:tr>
        <w:trPr>
          <w:trHeight w:val="1591"/>
        </w:trPr>
        <w:tc>
          <w:tcPr>
            <w:tcW w:w="56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4900" w:type="dxa"/>
            <w:vAlign w:val="bottom"/>
          </w:tcPr>
          <w:p>
            <w:pPr>
              <w:spacing w:after="0"/>
              <w:rPr>
                <w:sz w:val="20"/>
                <w:szCs w:val="20"/>
                <w:color w:val="auto"/>
              </w:rPr>
            </w:pPr>
          </w:p>
        </w:tc>
      </w:tr>
      <w:tr>
        <w:trPr>
          <w:trHeight w:val="412"/>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Hanford Fabricators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Washington</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Federally Chartered</w:t>
            </w:r>
          </w:p>
        </w:tc>
      </w:tr>
      <w:tr>
        <w:trPr>
          <w:trHeight w:val="270"/>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Infrastructure &amp; Technology Group Inc. of Ohio</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Ohio</w:t>
            </w:r>
          </w:p>
        </w:tc>
      </w:tr>
      <w:tr>
        <w:trPr>
          <w:trHeight w:val="607"/>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Infrastructure &amp; Technology Group of Illinois P.C.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Illinois</w:t>
            </w:r>
          </w:p>
        </w:tc>
      </w:tr>
      <w:tr>
        <w:trPr>
          <w:trHeight w:val="607"/>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Infrastructure &amp; Technology Group of Michigan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Nevada</w:t>
            </w:r>
          </w:p>
        </w:tc>
      </w:tr>
      <w:tr>
        <w:trPr>
          <w:trHeight w:val="607"/>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Infrastructure &amp; Technology Group of New York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New York</w:t>
            </w:r>
          </w:p>
        </w:tc>
      </w:tr>
      <w:tr>
        <w:trPr>
          <w:trHeight w:val="607"/>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Inspecton &amp; Maintenance Corporaton</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Delaware</w:t>
            </w:r>
          </w:p>
        </w:tc>
      </w:tr>
      <w:tr>
        <w:trPr>
          <w:trHeight w:val="607"/>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Internatonal &amp; Company LLC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Sultanate of Oman</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Internatonal Limited</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Nevada</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Internatonal Limited</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Delaware</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Internatonal Limited (L.L.C.), a Limited Liability Company</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Egypt, Arab Republic of</w:t>
            </w:r>
          </w:p>
        </w:tc>
      </w:tr>
      <w:tr>
        <w:trPr>
          <w:trHeight w:val="809"/>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Main of New York,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New York</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Main,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Massachusets</w:t>
            </w:r>
          </w:p>
        </w:tc>
      </w:tr>
      <w:tr>
        <w:trPr>
          <w:trHeight w:val="270"/>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Middle East Corporaton</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Nevada</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Middle East Ltd.</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Delaware</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MIP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Alberta</w:t>
            </w:r>
          </w:p>
        </w:tc>
      </w:tr>
      <w:tr>
        <w:trPr>
          <w:trHeight w:val="270"/>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of North Carolina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North Carolina</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of Puerto Rico Professional Engineers, P.S.C.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Puerto Rico</w:t>
            </w:r>
          </w:p>
        </w:tc>
      </w:tr>
      <w:tr>
        <w:trPr>
          <w:trHeight w:val="607"/>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Overseas Company</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Nevada</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Overseas Limited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Delaware</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PATCO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Delaware</w:t>
            </w:r>
          </w:p>
        </w:tc>
      </w:tr>
      <w:tr>
        <w:trPr>
          <w:trHeight w:val="270"/>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Professional Corporaton</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District of Columbia</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Professional Services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Ontario</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Project Services,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California</w:t>
            </w:r>
          </w:p>
        </w:tc>
      </w:tr>
      <w:tr>
        <w:trPr>
          <w:trHeight w:val="405"/>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RCI Inc.</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Washington</w:t>
            </w:r>
          </w:p>
        </w:tc>
      </w:tr>
      <w:tr>
        <w:trPr>
          <w:trHeight w:val="270"/>
        </w:trPr>
        <w:tc>
          <w:tcPr>
            <w:tcW w:w="6340" w:type="dxa"/>
            <w:vAlign w:val="bottom"/>
          </w:tcPr>
          <w:p>
            <w:pPr>
              <w:ind w:left="100"/>
              <w:spacing w:after="0"/>
              <w:rPr>
                <w:sz w:val="20"/>
                <w:szCs w:val="20"/>
                <w:color w:val="auto"/>
              </w:rPr>
            </w:pPr>
            <w:r>
              <w:rPr>
                <w:rFonts w:ascii="Calibri" w:cs="Calibri" w:eastAsia="Calibri" w:hAnsi="Calibri"/>
                <w:sz w:val="20"/>
                <w:szCs w:val="20"/>
                <w:color w:val="auto"/>
              </w:rPr>
              <w:t>Parsons Savannah Constructon Company</w:t>
            </w:r>
          </w:p>
        </w:tc>
        <w:tc>
          <w:tcPr>
            <w:tcW w:w="4900" w:type="dxa"/>
            <w:vAlign w:val="bottom"/>
          </w:tcPr>
          <w:p>
            <w:pPr>
              <w:ind w:left="880"/>
              <w:spacing w:after="0"/>
              <w:rPr>
                <w:sz w:val="20"/>
                <w:szCs w:val="20"/>
                <w:color w:val="auto"/>
              </w:rPr>
            </w:pPr>
            <w:r>
              <w:rPr>
                <w:rFonts w:ascii="Calibri" w:cs="Calibri" w:eastAsia="Calibri" w:hAnsi="Calibri"/>
                <w:sz w:val="20"/>
                <w:szCs w:val="20"/>
                <w:color w:val="auto"/>
              </w:rPr>
              <w:t>South Carolina</w:t>
            </w:r>
          </w:p>
        </w:tc>
      </w:tr>
      <w:tr>
        <w:trPr>
          <w:trHeight w:val="1591"/>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5300" w:type="dxa"/>
            <w:vAlign w:val="bottom"/>
          </w:tcPr>
          <w:p>
            <w:pPr>
              <w:spacing w:after="0"/>
              <w:rPr>
                <w:sz w:val="20"/>
                <w:szCs w:val="20"/>
                <w:color w:val="auto"/>
              </w:rPr>
            </w:pPr>
          </w:p>
        </w:tc>
      </w:tr>
      <w:tr>
        <w:trPr>
          <w:trHeight w:val="412"/>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Savannah Services Company</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Delaware</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Secure Solutons Inc.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Virginia</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Services Company</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Texas</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SGTP GP Holdings Inc.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Federally Chartered</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Technical Services Inc.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Delaware</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Technical Services Internatonal Inc.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Texas</w:t>
            </w:r>
          </w:p>
        </w:tc>
      </w:tr>
      <w:tr>
        <w:trPr>
          <w:trHeight w:val="607"/>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Technologies, LLC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Delaware</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Transportaton Architectural Services LLC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Delaware</w:t>
            </w:r>
          </w:p>
        </w:tc>
      </w:tr>
      <w:tr>
        <w:trPr>
          <w:trHeight w:val="607"/>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Transportaton Group Inc.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Illinois</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Transportaton Group Inc. of Michigan</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Michigan</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Transportaton Group Inc. of Virginia</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Virginia</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Transportaton Group of New York, Inc.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New York</w:t>
            </w:r>
          </w:p>
        </w:tc>
      </w:tr>
      <w:tr>
        <w:trPr>
          <w:trHeight w:val="607"/>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Transportaton Group, Professional Corporaton</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District of Columbia</w:t>
            </w:r>
          </w:p>
        </w:tc>
      </w:tr>
      <w:tr>
        <w:trPr>
          <w:trHeight w:val="607"/>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 Water &amp; Infrastructure Inc.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Delaware</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Parsons-Versar LLC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Delaware</w:t>
            </w:r>
          </w:p>
        </w:tc>
      </w:tr>
      <w:tr>
        <w:trPr>
          <w:trHeight w:val="270"/>
        </w:trPr>
        <w:tc>
          <w:tcPr>
            <w:tcW w:w="5940" w:type="dxa"/>
            <w:vAlign w:val="bottom"/>
          </w:tcPr>
          <w:p>
            <w:pPr>
              <w:ind w:left="100"/>
              <w:spacing w:after="0"/>
              <w:rPr>
                <w:sz w:val="20"/>
                <w:szCs w:val="20"/>
                <w:color w:val="auto"/>
              </w:rPr>
            </w:pPr>
            <w:r>
              <w:rPr>
                <w:rFonts w:ascii="Calibri" w:cs="Calibri" w:eastAsia="Calibri" w:hAnsi="Calibri"/>
                <w:sz w:val="20"/>
                <w:szCs w:val="20"/>
                <w:color w:val="auto"/>
              </w:rPr>
              <w:t>Partnership for Temporary Housing LLC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Delaware</w:t>
            </w:r>
          </w:p>
        </w:tc>
      </w:tr>
      <w:tr>
        <w:trPr>
          <w:trHeight w:val="607"/>
        </w:trPr>
        <w:tc>
          <w:tcPr>
            <w:tcW w:w="5940" w:type="dxa"/>
            <w:vAlign w:val="bottom"/>
          </w:tcPr>
          <w:p>
            <w:pPr>
              <w:ind w:left="100"/>
              <w:spacing w:after="0"/>
              <w:rPr>
                <w:sz w:val="20"/>
                <w:szCs w:val="20"/>
                <w:color w:val="auto"/>
              </w:rPr>
            </w:pPr>
            <w:r>
              <w:rPr>
                <w:rFonts w:ascii="Calibri" w:cs="Calibri" w:eastAsia="Calibri" w:hAnsi="Calibri"/>
                <w:sz w:val="20"/>
                <w:szCs w:val="20"/>
                <w:color w:val="auto"/>
              </w:rPr>
              <w:t>Polaris Alpha Advanced Systems, Inc.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Virginia</w:t>
            </w:r>
          </w:p>
        </w:tc>
      </w:tr>
      <w:tr>
        <w:trPr>
          <w:trHeight w:val="607"/>
        </w:trPr>
        <w:tc>
          <w:tcPr>
            <w:tcW w:w="5940" w:type="dxa"/>
            <w:vAlign w:val="bottom"/>
          </w:tcPr>
          <w:p>
            <w:pPr>
              <w:ind w:left="100"/>
              <w:spacing w:after="0"/>
              <w:rPr>
                <w:sz w:val="20"/>
                <w:szCs w:val="20"/>
                <w:color w:val="auto"/>
              </w:rPr>
            </w:pPr>
            <w:r>
              <w:rPr>
                <w:rFonts w:ascii="Calibri" w:cs="Calibri" w:eastAsia="Calibri" w:hAnsi="Calibri"/>
                <w:sz w:val="20"/>
                <w:szCs w:val="20"/>
                <w:color w:val="auto"/>
              </w:rPr>
              <w:t>Polaris Alpha Cyber and Sigint, LLC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Delaware</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Polaris Alpha Cyber Technologies, LLC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Delaware</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Polaris Alpha Equity Holdings, LLC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Delaware</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Polaris Alpha Holdings Parent, LLC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Delaware</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Polaris Alpha, LLC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Delaware</w:t>
            </w:r>
          </w:p>
        </w:tc>
      </w:tr>
      <w:tr>
        <w:trPr>
          <w:trHeight w:val="270"/>
        </w:trPr>
        <w:tc>
          <w:tcPr>
            <w:tcW w:w="5940" w:type="dxa"/>
            <w:vAlign w:val="bottom"/>
          </w:tcPr>
          <w:p>
            <w:pPr>
              <w:ind w:left="100"/>
              <w:spacing w:after="0"/>
              <w:rPr>
                <w:sz w:val="20"/>
                <w:szCs w:val="20"/>
                <w:color w:val="auto"/>
              </w:rPr>
            </w:pPr>
            <w:r>
              <w:rPr>
                <w:rFonts w:ascii="Calibri" w:cs="Calibri" w:eastAsia="Calibri" w:hAnsi="Calibri"/>
                <w:sz w:val="20"/>
                <w:szCs w:val="20"/>
                <w:color w:val="auto"/>
              </w:rPr>
              <w:t>PTSI Managed Services Inc.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California</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QRC, LLC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Virginia</w:t>
            </w:r>
          </w:p>
        </w:tc>
      </w:tr>
      <w:tr>
        <w:trPr>
          <w:trHeight w:val="270"/>
        </w:trPr>
        <w:tc>
          <w:tcPr>
            <w:tcW w:w="5940" w:type="dxa"/>
            <w:vAlign w:val="bottom"/>
          </w:tcPr>
          <w:p>
            <w:pPr>
              <w:ind w:left="100"/>
              <w:spacing w:after="0"/>
              <w:rPr>
                <w:sz w:val="20"/>
                <w:szCs w:val="20"/>
                <w:color w:val="auto"/>
              </w:rPr>
            </w:pPr>
            <w:r>
              <w:rPr>
                <w:rFonts w:ascii="Calibri" w:cs="Calibri" w:eastAsia="Calibri" w:hAnsi="Calibri"/>
                <w:sz w:val="20"/>
                <w:szCs w:val="20"/>
                <w:color w:val="auto"/>
              </w:rPr>
              <w:t>RMP Infrastructure Holdings Inc.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Federally Chartered</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S&amp;P Geology Services P.C.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New York</w:t>
            </w:r>
          </w:p>
        </w:tc>
      </w:tr>
      <w:tr>
        <w:trPr>
          <w:trHeight w:val="405"/>
        </w:trPr>
        <w:tc>
          <w:tcPr>
            <w:tcW w:w="5940" w:type="dxa"/>
            <w:vAlign w:val="bottom"/>
          </w:tcPr>
          <w:p>
            <w:pPr>
              <w:ind w:left="100"/>
              <w:spacing w:after="0"/>
              <w:rPr>
                <w:sz w:val="20"/>
                <w:szCs w:val="20"/>
                <w:color w:val="auto"/>
              </w:rPr>
            </w:pPr>
            <w:r>
              <w:rPr>
                <w:rFonts w:ascii="Calibri" w:cs="Calibri" w:eastAsia="Calibri" w:hAnsi="Calibri"/>
                <w:sz w:val="20"/>
                <w:szCs w:val="20"/>
                <w:color w:val="auto"/>
              </w:rPr>
              <w:t>Sage Management Enterprise, LLC</w:t>
            </w:r>
          </w:p>
        </w:tc>
        <w:tc>
          <w:tcPr>
            <w:tcW w:w="5300" w:type="dxa"/>
            <w:vAlign w:val="bottom"/>
          </w:tcPr>
          <w:p>
            <w:pPr>
              <w:ind w:left="1280"/>
              <w:spacing w:after="0"/>
              <w:rPr>
                <w:sz w:val="20"/>
                <w:szCs w:val="20"/>
                <w:color w:val="auto"/>
              </w:rPr>
            </w:pPr>
            <w:r>
              <w:rPr>
                <w:rFonts w:ascii="Calibri" w:cs="Calibri" w:eastAsia="Calibri" w:hAnsi="Calibri"/>
                <w:sz w:val="20"/>
                <w:szCs w:val="20"/>
                <w:color w:val="auto"/>
              </w:rPr>
              <w:t>Maryland</w:t>
            </w:r>
          </w:p>
        </w:tc>
      </w:tr>
      <w:tr>
        <w:trPr>
          <w:trHeight w:val="1591"/>
        </w:trPr>
        <w:tc>
          <w:tcPr>
            <w:tcW w:w="59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5680" w:type="dxa"/>
            <w:vAlign w:val="bottom"/>
          </w:tcPr>
          <w:p>
            <w:pPr>
              <w:spacing w:after="0"/>
              <w:rPr>
                <w:sz w:val="20"/>
                <w:szCs w:val="20"/>
                <w:color w:val="auto"/>
              </w:rPr>
            </w:pPr>
          </w:p>
        </w:tc>
      </w:tr>
      <w:tr>
        <w:trPr>
          <w:trHeight w:val="412"/>
        </w:trPr>
        <w:tc>
          <w:tcPr>
            <w:tcW w:w="5560" w:type="dxa"/>
            <w:vAlign w:val="bottom"/>
          </w:tcPr>
          <w:p>
            <w:pPr>
              <w:ind w:left="100"/>
              <w:spacing w:after="0"/>
              <w:rPr>
                <w:sz w:val="20"/>
                <w:szCs w:val="20"/>
                <w:color w:val="auto"/>
              </w:rPr>
            </w:pPr>
            <w:r>
              <w:rPr>
                <w:rFonts w:ascii="Calibri" w:cs="Calibri" w:eastAsia="Calibri" w:hAnsi="Calibri"/>
                <w:sz w:val="20"/>
                <w:szCs w:val="20"/>
                <w:color w:val="auto"/>
              </w:rPr>
              <w:t>Saudi Arabian Parsons Limited</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Saudi Arabia</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Sealing Technologies, LLC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Maryland</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SGTP Highway Bypass GP Inc.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Saskatchewan</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SGTP Highway Bypass Limited Partnership</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Saskatchewan</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Solidyn Solutons, LLC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Delaware</w:t>
            </w:r>
          </w:p>
        </w:tc>
      </w:tr>
      <w:tr>
        <w:trPr>
          <w:trHeight w:val="270"/>
        </w:trPr>
        <w:tc>
          <w:tcPr>
            <w:tcW w:w="5560" w:type="dxa"/>
            <w:vAlign w:val="bottom"/>
          </w:tcPr>
          <w:p>
            <w:pPr>
              <w:ind w:left="100"/>
              <w:spacing w:after="0"/>
              <w:rPr>
                <w:sz w:val="20"/>
                <w:szCs w:val="20"/>
                <w:color w:val="auto"/>
              </w:rPr>
            </w:pPr>
            <w:r>
              <w:rPr>
                <w:rFonts w:ascii="Calibri" w:cs="Calibri" w:eastAsia="Calibri" w:hAnsi="Calibri"/>
                <w:sz w:val="20"/>
                <w:szCs w:val="20"/>
                <w:color w:val="auto"/>
              </w:rPr>
              <w:t>Space Ground System Solutons, Inc.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Florida</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SPW 2020 LLC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Virginia</w:t>
            </w:r>
          </w:p>
        </w:tc>
      </w:tr>
      <w:tr>
        <w:trPr>
          <w:trHeight w:val="270"/>
        </w:trPr>
        <w:tc>
          <w:tcPr>
            <w:tcW w:w="5560" w:type="dxa"/>
            <w:vAlign w:val="bottom"/>
          </w:tcPr>
          <w:p>
            <w:pPr>
              <w:ind w:left="100"/>
              <w:spacing w:after="0"/>
              <w:rPr>
                <w:sz w:val="20"/>
                <w:szCs w:val="20"/>
                <w:color w:val="auto"/>
              </w:rPr>
            </w:pPr>
            <w:r>
              <w:rPr>
                <w:rFonts w:ascii="Calibri" w:cs="Calibri" w:eastAsia="Calibri" w:hAnsi="Calibri"/>
                <w:sz w:val="20"/>
                <w:szCs w:val="20"/>
                <w:color w:val="auto"/>
              </w:rPr>
              <w:t>Steinman Boynton Gronquist &amp; Birdsall</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New York</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Steinman Inc.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New York</w:t>
            </w:r>
          </w:p>
        </w:tc>
      </w:tr>
      <w:tr>
        <w:trPr>
          <w:trHeight w:val="270"/>
        </w:trPr>
        <w:tc>
          <w:tcPr>
            <w:tcW w:w="5560" w:type="dxa"/>
            <w:vAlign w:val="bottom"/>
          </w:tcPr>
          <w:p>
            <w:pPr>
              <w:ind w:left="100"/>
              <w:spacing w:after="0"/>
              <w:rPr>
                <w:sz w:val="20"/>
                <w:szCs w:val="20"/>
                <w:color w:val="auto"/>
              </w:rPr>
            </w:pPr>
            <w:r>
              <w:rPr>
                <w:rFonts w:ascii="Calibri" w:cs="Calibri" w:eastAsia="Calibri" w:hAnsi="Calibri"/>
                <w:sz w:val="20"/>
                <w:szCs w:val="20"/>
                <w:color w:val="auto"/>
              </w:rPr>
              <w:t>T.J. Cross Engineers, Inc.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California</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Tailored Engineering Deployments, LLC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Maryland</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TCG Internatonal Group Ltd.</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Virginia</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The Ralph M. Parsons Company</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Nevada</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TSM LLC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Tennessee</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Vaxcom Services LLC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Delaware</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West Corridor Developers General Partnership</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Alberta</w:t>
            </w:r>
          </w:p>
        </w:tc>
      </w:tr>
      <w:tr>
        <w:trPr>
          <w:trHeight w:val="607"/>
        </w:trPr>
        <w:tc>
          <w:tcPr>
            <w:tcW w:w="5560" w:type="dxa"/>
            <w:vAlign w:val="bottom"/>
          </w:tcPr>
          <w:p>
            <w:pPr>
              <w:ind w:left="100"/>
              <w:spacing w:after="0"/>
              <w:rPr>
                <w:sz w:val="20"/>
                <w:szCs w:val="20"/>
                <w:color w:val="auto"/>
              </w:rPr>
            </w:pPr>
            <w:r>
              <w:rPr>
                <w:rFonts w:ascii="Calibri" w:cs="Calibri" w:eastAsia="Calibri" w:hAnsi="Calibri"/>
                <w:sz w:val="20"/>
                <w:szCs w:val="20"/>
                <w:color w:val="auto"/>
              </w:rPr>
              <w:t>Williams Electric Co., Inc.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Florida</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Xator AFG LLC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Delaware</w:t>
            </w:r>
          </w:p>
        </w:tc>
      </w:tr>
      <w:tr>
        <w:trPr>
          <w:trHeight w:val="405"/>
        </w:trPr>
        <w:tc>
          <w:tcPr>
            <w:tcW w:w="5560" w:type="dxa"/>
            <w:vAlign w:val="bottom"/>
          </w:tcPr>
          <w:p>
            <w:pPr>
              <w:ind w:left="100"/>
              <w:spacing w:after="0"/>
              <w:rPr>
                <w:sz w:val="20"/>
                <w:szCs w:val="20"/>
                <w:color w:val="auto"/>
              </w:rPr>
            </w:pPr>
            <w:r>
              <w:rPr>
                <w:rFonts w:ascii="Calibri" w:cs="Calibri" w:eastAsia="Calibri" w:hAnsi="Calibri"/>
                <w:sz w:val="20"/>
                <w:szCs w:val="20"/>
                <w:color w:val="auto"/>
              </w:rPr>
              <w:t>Xator LLC</w:t>
            </w:r>
          </w:p>
        </w:tc>
        <w:tc>
          <w:tcPr>
            <w:tcW w:w="5680" w:type="dxa"/>
            <w:vAlign w:val="bottom"/>
          </w:tcPr>
          <w:p>
            <w:pPr>
              <w:ind w:left="1660"/>
              <w:spacing w:after="0"/>
              <w:rPr>
                <w:sz w:val="20"/>
                <w:szCs w:val="20"/>
                <w:color w:val="auto"/>
              </w:rPr>
            </w:pPr>
            <w:r>
              <w:rPr>
                <w:rFonts w:ascii="Calibri" w:cs="Calibri" w:eastAsia="Calibri" w:hAnsi="Calibri"/>
                <w:sz w:val="20"/>
                <w:szCs w:val="20"/>
                <w:color w:val="auto"/>
              </w:rPr>
              <w:t>Florida</w:t>
            </w:r>
          </w:p>
        </w:tc>
      </w:tr>
      <w:tr>
        <w:trPr>
          <w:trHeight w:val="1591"/>
        </w:trPr>
        <w:tc>
          <w:tcPr>
            <w:tcW w:w="55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0"/>
          <w:szCs w:val="20"/>
          <w:color w:val="auto"/>
        </w:rPr>
        <w:t>Exhibit 23.1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jc w:val="both"/>
        <w:ind w:right="440"/>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333-234626 and 333-231387) of Parsons Corporation of our report dated February 14, 2024 relating to the financial statements and financial statement schedule and the effectiveness of internal control over financial reporting, which appears in this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1" w:lineRule="exact"/>
        <w:rPr>
          <w:sz w:val="20"/>
          <w:szCs w:val="20"/>
          <w:color w:val="auto"/>
        </w:rPr>
      </w:pPr>
    </w:p>
    <w:p>
      <w:pPr>
        <w:ind w:left="520" w:hanging="512"/>
        <w:spacing w:after="0"/>
        <w:tabs>
          <w:tab w:leader="none" w:pos="5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Parsons Corporation;</w:t>
      </w:r>
    </w:p>
    <w:p>
      <w:pPr>
        <w:spacing w:after="0" w:line="211" w:lineRule="exact"/>
        <w:rPr>
          <w:rFonts w:ascii="Arial" w:cs="Arial" w:eastAsia="Arial" w:hAnsi="Arial"/>
          <w:sz w:val="18"/>
          <w:szCs w:val="18"/>
          <w:color w:val="auto"/>
        </w:rPr>
      </w:pPr>
    </w:p>
    <w:p>
      <w:pPr>
        <w:ind w:left="520" w:right="100" w:hanging="512"/>
        <w:spacing w:after="0" w:line="252" w:lineRule="auto"/>
        <w:tabs>
          <w:tab w:leader="none" w:pos="5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20" w:right="280" w:hanging="512"/>
        <w:spacing w:after="0" w:line="252" w:lineRule="auto"/>
        <w:tabs>
          <w:tab w:leader="none" w:pos="5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20" w:right="80" w:hanging="512"/>
        <w:spacing w:after="0" w:line="252" w:lineRule="auto"/>
        <w:tabs>
          <w:tab w:leader="none" w:pos="5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ind w:left="1020" w:right="300" w:hanging="504"/>
        <w:spacing w:after="0" w:line="252" w:lineRule="auto"/>
        <w:tabs>
          <w:tab w:leader="none" w:pos="10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1020" w:right="280" w:hanging="504"/>
        <w:spacing w:after="0" w:line="252" w:lineRule="auto"/>
        <w:tabs>
          <w:tab w:leader="none" w:pos="10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020" w:right="220" w:hanging="504"/>
        <w:spacing w:after="0" w:line="252" w:lineRule="auto"/>
        <w:tabs>
          <w:tab w:leader="none" w:pos="10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020" w:right="40" w:hanging="504"/>
        <w:spacing w:after="0" w:line="252" w:lineRule="auto"/>
        <w:tabs>
          <w:tab w:leader="none" w:pos="10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20" w:right="280" w:hanging="512"/>
        <w:spacing w:after="0" w:line="252" w:lineRule="auto"/>
        <w:tabs>
          <w:tab w:leader="none" w:pos="5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020" w:right="220" w:hanging="504"/>
        <w:spacing w:after="0" w:line="252" w:lineRule="auto"/>
        <w:tabs>
          <w:tab w:leader="none" w:pos="10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right="140" w:hanging="504"/>
        <w:spacing w:after="0" w:line="271" w:lineRule="auto"/>
        <w:tabs>
          <w:tab w:leader="none" w:pos="10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ind w:left="20"/>
        <w:spacing w:after="0"/>
        <w:tabs>
          <w:tab w:leader="none" w:pos="5940" w:val="left"/>
          <w:tab w:leader="none" w:pos="8020" w:val="left"/>
        </w:tabs>
        <w:rPr>
          <w:sz w:val="20"/>
          <w:szCs w:val="20"/>
          <w:color w:val="auto"/>
        </w:rPr>
      </w:pPr>
      <w:r>
        <w:rPr>
          <w:rFonts w:ascii="Arial" w:cs="Arial" w:eastAsia="Arial" w:hAnsi="Arial"/>
          <w:sz w:val="18"/>
          <w:szCs w:val="18"/>
          <w:color w:val="auto"/>
        </w:rPr>
        <w:t>Date: February 14,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17780</wp:posOffset>
            </wp:positionV>
            <wp:extent cx="315087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63">
                      <a:extLst>
                        <a:ext uri="{28A0092B-C50C-407E-A947-70E740481C1C}"/>
                      </a:extLst>
                    </a:blip>
                    <a:srcRect/>
                    <a:stretch>
                      <a:fillRect/>
                    </a:stretch>
                  </pic:blipFill>
                  <pic:spPr bwMode="auto">
                    <a:xfrm>
                      <a:off x="0" y="0"/>
                      <a:ext cx="3150870" cy="8255"/>
                    </a:xfrm>
                    <a:prstGeom prst="rect">
                      <a:avLst/>
                    </a:prstGeom>
                    <a:noFill/>
                  </pic:spPr>
                </pic:pic>
              </a:graphicData>
            </a:graphic>
          </wp:anchor>
        </w:drawing>
      </w:r>
    </w:p>
    <w:p>
      <w:pPr>
        <w:spacing w:after="0" w:line="25"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Carey A. Smith</w:t>
      </w:r>
    </w:p>
    <w:p>
      <w:pPr>
        <w:spacing w:after="0" w:line="22"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1" w:lineRule="exact"/>
        <w:rPr>
          <w:sz w:val="20"/>
          <w:szCs w:val="20"/>
          <w:color w:val="auto"/>
        </w:rPr>
      </w:pPr>
    </w:p>
    <w:p>
      <w:pPr>
        <w:ind w:left="520" w:hanging="512"/>
        <w:spacing w:after="0"/>
        <w:tabs>
          <w:tab w:leader="none" w:pos="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Parsons Corporation;</w:t>
      </w:r>
    </w:p>
    <w:p>
      <w:pPr>
        <w:spacing w:after="0" w:line="211" w:lineRule="exact"/>
        <w:rPr>
          <w:rFonts w:ascii="Arial" w:cs="Arial" w:eastAsia="Arial" w:hAnsi="Arial"/>
          <w:sz w:val="18"/>
          <w:szCs w:val="18"/>
          <w:color w:val="auto"/>
        </w:rPr>
      </w:pPr>
    </w:p>
    <w:p>
      <w:pPr>
        <w:ind w:left="520" w:right="100" w:hanging="512"/>
        <w:spacing w:after="0" w:line="252" w:lineRule="auto"/>
        <w:tabs>
          <w:tab w:leader="none" w:pos="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520" w:right="280" w:hanging="512"/>
        <w:spacing w:after="0" w:line="252" w:lineRule="auto"/>
        <w:tabs>
          <w:tab w:leader="none" w:pos="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20" w:right="80" w:hanging="512"/>
        <w:spacing w:after="0" w:line="252" w:lineRule="auto"/>
        <w:tabs>
          <w:tab w:leader="none" w:pos="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ind w:left="1020" w:right="300" w:hanging="504"/>
        <w:spacing w:after="0" w:line="252" w:lineRule="auto"/>
        <w:tabs>
          <w:tab w:leader="none" w:pos="10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1020" w:right="280" w:hanging="504"/>
        <w:spacing w:after="0" w:line="252" w:lineRule="auto"/>
        <w:tabs>
          <w:tab w:leader="none" w:pos="10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020" w:right="220" w:hanging="504"/>
        <w:spacing w:after="0" w:line="252" w:lineRule="auto"/>
        <w:tabs>
          <w:tab w:leader="none" w:pos="10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020" w:right="40" w:hanging="504"/>
        <w:spacing w:after="0" w:line="252" w:lineRule="auto"/>
        <w:tabs>
          <w:tab w:leader="none" w:pos="10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20" w:right="280" w:hanging="512"/>
        <w:spacing w:after="0" w:line="252" w:lineRule="auto"/>
        <w:tabs>
          <w:tab w:leader="none" w:pos="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020" w:right="220" w:hanging="504"/>
        <w:spacing w:after="0" w:line="252" w:lineRule="auto"/>
        <w:tabs>
          <w:tab w:leader="none" w:pos="10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right="140" w:hanging="504"/>
        <w:spacing w:after="0" w:line="271" w:lineRule="auto"/>
        <w:tabs>
          <w:tab w:leader="none" w:pos="10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ind w:left="20"/>
        <w:spacing w:after="0"/>
        <w:tabs>
          <w:tab w:leader="none" w:pos="5940" w:val="left"/>
          <w:tab w:leader="none" w:pos="7900" w:val="left"/>
        </w:tabs>
        <w:rPr>
          <w:sz w:val="20"/>
          <w:szCs w:val="20"/>
          <w:color w:val="auto"/>
        </w:rPr>
      </w:pPr>
      <w:r>
        <w:rPr>
          <w:rFonts w:ascii="Arial" w:cs="Arial" w:eastAsia="Arial" w:hAnsi="Arial"/>
          <w:sz w:val="18"/>
          <w:szCs w:val="18"/>
          <w:color w:val="auto"/>
        </w:rPr>
        <w:t>Date: February 14,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17780</wp:posOffset>
            </wp:positionV>
            <wp:extent cx="315087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65">
                      <a:extLst>
                        <a:ext uri="{28A0092B-C50C-407E-A947-70E740481C1C}"/>
                      </a:extLst>
                    </a:blip>
                    <a:srcRect/>
                    <a:stretch>
                      <a:fillRect/>
                    </a:stretch>
                  </pic:blipFill>
                  <pic:spPr bwMode="auto">
                    <a:xfrm>
                      <a:off x="0" y="0"/>
                      <a:ext cx="3150870" cy="8255"/>
                    </a:xfrm>
                    <a:prstGeom prst="rect">
                      <a:avLst/>
                    </a:prstGeom>
                    <a:noFill/>
                  </pic:spPr>
                </pic:pic>
              </a:graphicData>
            </a:graphic>
          </wp:anchor>
        </w:drawing>
      </w:r>
    </w:p>
    <w:p>
      <w:pPr>
        <w:spacing w:after="0" w:line="25"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Matthew M. Ofilos</w:t>
      </w:r>
    </w:p>
    <w:p>
      <w:pPr>
        <w:spacing w:after="0" w:line="22"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3"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In connection with the Annual Report of Parsons Corporation (the “Company”) on Form 10-K for the period ending December 31, 2023 as filed with the Securities and Exchange Commission on the date hereof (the “Report”), I, Carey A. Smith, Chief Executive Officer of the Company, certify, pursuant to 18 U.S.C. § 1350, as adopted pursuant to § 906 of the Sarbanes-Oxley Act of 2002, that:</w:t>
      </w:r>
    </w:p>
    <w:p>
      <w:pPr>
        <w:spacing w:after="0" w:line="171" w:lineRule="exact"/>
        <w:rPr>
          <w:sz w:val="20"/>
          <w:szCs w:val="20"/>
          <w:color w:val="auto"/>
        </w:rPr>
      </w:pPr>
    </w:p>
    <w:p>
      <w:pPr>
        <w:ind w:left="1020" w:hanging="504"/>
        <w:spacing w:after="0"/>
        <w:tabs>
          <w:tab w:leader="none" w:pos="10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4"/>
        <w:spacing w:after="0" w:line="271" w:lineRule="auto"/>
        <w:tabs>
          <w:tab w:leader="none" w:pos="10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0" w:lineRule="exact"/>
        <w:rPr>
          <w:sz w:val="20"/>
          <w:szCs w:val="20"/>
          <w:color w:val="auto"/>
        </w:rPr>
      </w:pPr>
    </w:p>
    <w:p>
      <w:pPr>
        <w:ind w:left="20"/>
        <w:spacing w:after="0"/>
        <w:tabs>
          <w:tab w:leader="none" w:pos="5680" w:val="left"/>
          <w:tab w:leader="none" w:pos="7880" w:val="left"/>
        </w:tabs>
        <w:rPr>
          <w:sz w:val="20"/>
          <w:szCs w:val="20"/>
          <w:color w:val="auto"/>
        </w:rPr>
      </w:pPr>
      <w:r>
        <w:rPr>
          <w:rFonts w:ascii="Arial" w:cs="Arial" w:eastAsia="Arial" w:hAnsi="Arial"/>
          <w:sz w:val="18"/>
          <w:szCs w:val="18"/>
          <w:color w:val="auto"/>
        </w:rPr>
        <w:t>Date: February 14,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17780</wp:posOffset>
            </wp:positionV>
            <wp:extent cx="331343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67">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0"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Carey A. Smith</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1021080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3"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In connection with the Annual Report of Parsons Corporation (the “Company”) on Form 10-K for the period ending December 31, 2023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71" w:lineRule="exact"/>
        <w:rPr>
          <w:sz w:val="20"/>
          <w:szCs w:val="20"/>
          <w:color w:val="auto"/>
        </w:rPr>
      </w:pPr>
    </w:p>
    <w:p>
      <w:pPr>
        <w:ind w:left="1020" w:hanging="504"/>
        <w:spacing w:after="0"/>
        <w:tabs>
          <w:tab w:leader="none" w:pos="10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4"/>
        <w:spacing w:after="0" w:line="271" w:lineRule="auto"/>
        <w:tabs>
          <w:tab w:leader="none" w:pos="10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0" w:lineRule="exact"/>
        <w:rPr>
          <w:sz w:val="20"/>
          <w:szCs w:val="20"/>
          <w:color w:val="auto"/>
        </w:rPr>
      </w:pPr>
    </w:p>
    <w:p>
      <w:pPr>
        <w:ind w:left="20"/>
        <w:spacing w:after="0"/>
        <w:tabs>
          <w:tab w:leader="none" w:pos="5680" w:val="left"/>
          <w:tab w:leader="none" w:pos="7780" w:val="left"/>
        </w:tabs>
        <w:rPr>
          <w:sz w:val="20"/>
          <w:szCs w:val="20"/>
          <w:color w:val="auto"/>
        </w:rPr>
      </w:pPr>
      <w:r>
        <w:rPr>
          <w:rFonts w:ascii="Arial" w:cs="Arial" w:eastAsia="Arial" w:hAnsi="Arial"/>
          <w:sz w:val="18"/>
          <w:szCs w:val="18"/>
          <w:color w:val="auto"/>
        </w:rPr>
        <w:t>Date: February 14,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17780</wp:posOffset>
            </wp:positionV>
            <wp:extent cx="331343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69">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0"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Matthew M. Ofilos</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1021080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77" w:name="page178"/>
    <w:bookmarkEnd w:id="1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lvl w:ilvl="1">
      <w:lvlJc w:val="left"/>
      <w:lvlText w:val="▪"/>
      <w:numFmt w:val="bullet"/>
      <w:start w:val="1"/>
    </w:lvl>
  </w:abstractNum>
  <w:abstractNum w:abstractNumId="5">
    <w:nsid w:val="1EBA5D23"/>
    <w:multiLevelType w:val="hybridMultilevel"/>
    <w:lvl w:ilvl="0">
      <w:lvlJc w:val="left"/>
      <w:lvlText w:val="▪"/>
      <w:numFmt w:val="bullet"/>
      <w:start w:val="1"/>
    </w:lvl>
    <w:lvl w:ilvl="1">
      <w:lvlJc w:val="left"/>
      <w:lvlText w:val="▪"/>
      <w:numFmt w:val="bullet"/>
      <w:start w:val="1"/>
    </w:lvl>
  </w:abstractNum>
  <w:abstractNum w:abstractNumId="6">
    <w:nsid w:val="661E3F1E"/>
    <w:multiLevelType w:val="hybridMultilevel"/>
    <w:lvl w:ilvl="0">
      <w:lvlJc w:val="left"/>
      <w:lvlText w:val="•"/>
      <w:numFmt w:val="bullet"/>
      <w:start w:val="1"/>
    </w:lvl>
    <w:lvl w:ilvl="1">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lvl w:ilvl="1">
      <w:lvlJc w:val="left"/>
      <w:lvlText w:val="•"/>
      <w:numFmt w:val="bullet"/>
      <w:start w:val="1"/>
    </w:lvl>
  </w:abstractNum>
  <w:abstractNum w:abstractNumId="9">
    <w:nsid w:val="7BD3EE7B"/>
    <w:multiLevelType w:val="hybridMultilevel"/>
    <w:lvl w:ilvl="0">
      <w:lvlJc w:val="left"/>
      <w:lvlText w:val="•"/>
      <w:numFmt w:val="bullet"/>
      <w:start w:val="1"/>
    </w:lvl>
    <w:lvl w:ilvl="1">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1)"/>
      <w:numFmt w:val="decimal"/>
      <w:start w:val="1"/>
    </w:lvl>
  </w:abstractNum>
  <w:abstractNum w:abstractNumId="45">
    <w:nsid w:val="CC1016F"/>
    <w:multiLevelType w:val="hybridMultilevel"/>
    <w:lvl w:ilvl="0">
      <w:lvlJc w:val="left"/>
      <w:lvlText w:val="(%1)"/>
      <w:numFmt w:val="decimal"/>
      <w:start w:val="1"/>
    </w:lvl>
  </w:abstractNum>
  <w:abstractNum w:abstractNumId="46">
    <w:nsid w:val="43F18422"/>
    <w:multiLevelType w:val="hybridMultilevel"/>
    <w:lvl w:ilvl="0">
      <w:lvlJc w:val="left"/>
      <w:lvlText w:val="(%1)"/>
      <w:numFmt w:val="decimal"/>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1)"/>
      <w:numFmt w:val="decimal"/>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1)"/>
      <w:numFmt w:val="decimal"/>
      <w:start w:val="1"/>
    </w:lvl>
  </w:abstractNum>
  <w:abstractNum w:abstractNumId="52">
    <w:nsid w:val="5FB8370B"/>
    <w:multiLevelType w:val="hybridMultilevel"/>
    <w:lvl w:ilvl="0">
      <w:lvlJc w:val="left"/>
      <w:lvlText w:val="(%1)"/>
      <w:numFmt w:val="lowerLetter"/>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1)"/>
      <w:numFmt w:val="lowerLetter"/>
      <w:start w:val="1"/>
    </w:lvl>
    <w:lvl w:ilvl="1">
      <w:lvlJc w:val="left"/>
      <w:lvlText w:val="(%2)"/>
      <w:numFmt w:val="decimal"/>
      <w:start w:val="1"/>
    </w:lvl>
  </w:abstractNum>
  <w:abstractNum w:abstractNumId="55">
    <w:nsid w:val="5FB8011C"/>
    <w:multiLevelType w:val="hybridMultilevel"/>
    <w:lvl w:ilvl="0">
      <w:lvlJc w:val="left"/>
      <w:lvlText w:val="*"/>
      <w:numFmt w:val="bullet"/>
      <w:start w:val="1"/>
    </w:lvl>
  </w:abstractNum>
  <w:abstractNum w:abstractNumId="56">
    <w:nsid w:val="6AA78F7F"/>
    <w:multiLevelType w:val="hybridMultilevel"/>
    <w:lvl w:ilvl="0">
      <w:lvlJc w:val="left"/>
      <w:lvlText w:val="%1."/>
      <w:numFmt w:val="decimal"/>
      <w:start w:val="1"/>
    </w:lvl>
  </w:abstractNum>
  <w:abstractNum w:abstractNumId="57">
    <w:nsid w:val="7672BD23"/>
    <w:multiLevelType w:val="hybridMultilevel"/>
    <w:lvl w:ilvl="0">
      <w:lvlJc w:val="left"/>
      <w:lvlText w:val="%1."/>
      <w:numFmt w:val="decimal"/>
      <w:start w:val="2"/>
    </w:lvl>
  </w:abstractNum>
  <w:abstractNum w:abstractNumId="58">
    <w:nsid w:val="6FC75AF8"/>
    <w:multiLevelType w:val="hybridMultilevel"/>
    <w:lvl w:ilvl="0">
      <w:lvlJc w:val="left"/>
      <w:lvlText w:val="%1."/>
      <w:numFmt w:val="decimal"/>
      <w:start w:val="1"/>
    </w:lvl>
  </w:abstractNum>
  <w:abstractNum w:abstractNumId="59">
    <w:nsid w:val="6A5F7029"/>
    <w:multiLevelType w:val="hybridMultilevel"/>
    <w:lvl w:ilvl="0">
      <w:lvlJc w:val="left"/>
      <w:lvlText w:val="%1)"/>
      <w:numFmt w:val="decimal"/>
      <w:start w:val="20"/>
    </w:lvl>
  </w:abstractNum>
  <w:abstractNum w:abstractNumId="60">
    <w:nsid w:val="7D5E18F8"/>
    <w:multiLevelType w:val="hybridMultilevel"/>
    <w:lvl w:ilvl="0">
      <w:lvlJc w:val="left"/>
      <w:lvlText w:val="%1."/>
      <w:numFmt w:val="decimal"/>
      <w:start w:val="3"/>
    </w:lvl>
  </w:abstractNum>
  <w:abstractNum w:abstractNumId="61">
    <w:nsid w:val="5F3534A4"/>
    <w:multiLevelType w:val="hybridMultilevel"/>
    <w:lvl w:ilvl="0">
      <w:lvlJc w:val="left"/>
      <w:lvlText w:val="%1."/>
      <w:numFmt w:val="decimal"/>
      <w:start w:val="4"/>
    </w:lvl>
  </w:abstractNum>
  <w:abstractNum w:abstractNumId="62">
    <w:nsid w:val="73A1821B"/>
    <w:multiLevelType w:val="hybridMultilevel"/>
    <w:lvl w:ilvl="0">
      <w:lvlJc w:val="left"/>
      <w:lvlText w:val="(%1)"/>
      <w:numFmt w:val="decimal"/>
      <w:start w:val="1"/>
    </w:lvl>
  </w:abstractNum>
  <w:abstractNum w:abstractNumId="63">
    <w:nsid w:val="7DE67713"/>
    <w:multiLevelType w:val="hybridMultilevel"/>
    <w:lvl w:ilvl="0">
      <w:lvlJc w:val="left"/>
      <w:lvlText w:val="%1."/>
      <w:numFmt w:val="decimal"/>
      <w:start w:val="5"/>
    </w:lvl>
  </w:abstractNum>
  <w:abstractNum w:abstractNumId="64">
    <w:nsid w:val="555C55B5"/>
    <w:multiLevelType w:val="hybridMultilevel"/>
    <w:lvl w:ilvl="0">
      <w:lvlJc w:val="left"/>
      <w:lvlText w:val="%1."/>
      <w:numFmt w:val="decimal"/>
      <w:start w:val="6"/>
    </w:lvl>
  </w:abstractNum>
  <w:abstractNum w:abstractNumId="65">
    <w:nsid w:val="3FA62ACA"/>
    <w:multiLevelType w:val="hybridMultilevel"/>
    <w:lvl w:ilvl="0">
      <w:lvlJc w:val="left"/>
      <w:lvlText w:val="(%1)"/>
      <w:numFmt w:val="decimal"/>
      <w:start w:val="1"/>
    </w:lvl>
  </w:abstractNum>
  <w:abstractNum w:abstractNumId="66">
    <w:nsid w:val="14FCE74E"/>
    <w:multiLevelType w:val="hybridMultilevel"/>
    <w:lvl w:ilvl="0">
      <w:lvlJc w:val="left"/>
      <w:lvlText w:val="%1."/>
      <w:numFmt w:val="decimal"/>
      <w:start w:val="7"/>
    </w:lvl>
  </w:abstractNum>
  <w:abstractNum w:abstractNumId="67">
    <w:nsid w:val="6A3DD3E8"/>
    <w:multiLevelType w:val="hybridMultilevel"/>
    <w:lvl w:ilvl="0">
      <w:lvlJc w:val="left"/>
      <w:lvlText w:val="%1."/>
      <w:numFmt w:val="decimal"/>
      <w:start w:val="8"/>
    </w:lvl>
  </w:abstractNum>
  <w:abstractNum w:abstractNumId="68">
    <w:nsid w:val="71C91298"/>
    <w:multiLevelType w:val="hybridMultilevel"/>
    <w:lvl w:ilvl="0">
      <w:lvlJc w:val="left"/>
      <w:lvlText w:val="%1."/>
      <w:numFmt w:val="decimal"/>
      <w:start w:val="9"/>
    </w:lvl>
  </w:abstractNum>
  <w:abstractNum w:abstractNumId="69">
    <w:nsid w:val="9DAF632"/>
    <w:multiLevelType w:val="hybridMultilevel"/>
    <w:lvl w:ilvl="0">
      <w:lvlJc w:val="left"/>
      <w:lvlText w:val="%1."/>
      <w:numFmt w:val="decimal"/>
      <w:start w:val="10"/>
    </w:lvl>
  </w:abstractNum>
  <w:abstractNum w:abstractNumId="70">
    <w:nsid w:val="53299938"/>
    <w:multiLevelType w:val="hybridMultilevel"/>
    <w:lvl w:ilvl="0">
      <w:lvlJc w:val="left"/>
      <w:lvlText w:val="%1."/>
      <w:numFmt w:val="decimal"/>
      <w:start w:val="1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1."/>
      <w:numFmt w:val="decimal"/>
      <w:start w:val="12"/>
    </w:lvl>
  </w:abstractNum>
  <w:abstractNum w:abstractNumId="73">
    <w:nsid w:val="1D545C4D"/>
    <w:multiLevelType w:val="hybridMultilevel"/>
    <w:lvl w:ilvl="0">
      <w:lvlJc w:val="left"/>
      <w:lvlText w:val="%1."/>
      <w:numFmt w:val="decimal"/>
      <w:start w:val="13"/>
    </w:lvl>
  </w:abstractNum>
  <w:abstractNum w:abstractNumId="74">
    <w:nsid w:val="59ADEA3D"/>
    <w:multiLevelType w:val="hybridMultilevel"/>
    <w:lvl w:ilvl="0">
      <w:lvlJc w:val="left"/>
      <w:lvlText w:val="%1."/>
      <w:numFmt w:val="decimal"/>
      <w:start w:val="14"/>
    </w:lvl>
  </w:abstractNum>
  <w:abstractNum w:abstractNumId="75">
    <w:nsid w:val="288F1A34"/>
    <w:multiLevelType w:val="hybridMultilevel"/>
    <w:lvl w:ilvl="0">
      <w:lvlJc w:val="left"/>
      <w:lvlText w:val="%1."/>
      <w:numFmt w:val="decimal"/>
      <w:start w:val="15"/>
    </w:lvl>
  </w:abstractNum>
  <w:abstractNum w:abstractNumId="76">
    <w:nsid w:val="2A155DBC"/>
    <w:multiLevelType w:val="hybridMultilevel"/>
    <w:lvl w:ilvl="0">
      <w:lvlJc w:val="left"/>
      <w:lvlText w:val="%1."/>
      <w:numFmt w:val="decimal"/>
      <w:start w:val="17"/>
    </w:lvl>
  </w:abstractNum>
  <w:abstractNum w:abstractNumId="77">
    <w:nsid w:val="1D9F6E5F"/>
    <w:multiLevelType w:val="hybridMultilevel"/>
    <w:lvl w:ilvl="0">
      <w:lvlJc w:val="left"/>
      <w:lvlText w:val="%1."/>
      <w:numFmt w:val="decimal"/>
      <w:start w:val="18"/>
    </w:lvl>
  </w:abstractNum>
  <w:abstractNum w:abstractNumId="78">
    <w:nsid w:val="97E1B4E"/>
    <w:multiLevelType w:val="hybridMultilevel"/>
    <w:lvl w:ilvl="0">
      <w:lvlJc w:val="left"/>
      <w:lvlText w:val="•"/>
      <w:numFmt w:val="bullet"/>
      <w:start w:val="1"/>
    </w:lvl>
  </w:abstractNum>
  <w:abstractNum w:abstractNumId="79">
    <w:nsid w:val="51088277"/>
    <w:multiLevelType w:val="hybridMultilevel"/>
    <w:lvl w:ilvl="0">
      <w:lvlJc w:val="left"/>
      <w:lvlText w:val="%1."/>
      <w:numFmt w:val="decimal"/>
      <w:start w:val="19"/>
    </w:lvl>
  </w:abstractNum>
  <w:abstractNum w:abstractNumId="80">
    <w:nsid w:val="1CA0C5FA"/>
    <w:multiLevelType w:val="hybridMultilevel"/>
    <w:lvl w:ilvl="0">
      <w:lvlJc w:val="left"/>
      <w:lvlText w:val="%1."/>
      <w:numFmt w:val="decimal"/>
      <w:start w:val="20"/>
    </w:lvl>
  </w:abstractNum>
  <w:abstractNum w:abstractNumId="81">
    <w:nsid w:val="53584BCB"/>
    <w:multiLevelType w:val="hybridMultilevel"/>
    <w:lvl w:ilvl="0">
      <w:lvlJc w:val="left"/>
      <w:lvlText w:val="(%1)"/>
      <w:numFmt w:val="lowerLetter"/>
      <w:start w:val="1"/>
    </w:lvl>
  </w:abstractNum>
  <w:abstractNum w:abstractNumId="82">
    <w:nsid w:val="415E286C"/>
    <w:multiLevelType w:val="hybridMultilevel"/>
    <w:lvl w:ilvl="0">
      <w:lvlJc w:val="left"/>
      <w:lvlText w:val="%1."/>
      <w:numFmt w:val="decimal"/>
      <w:start w:val="21"/>
    </w:lvl>
  </w:abstractNum>
  <w:abstractNum w:abstractNumId="83">
    <w:nsid w:val="7C58FD05"/>
    <w:multiLevelType w:val="hybridMultilevel"/>
    <w:lvl w:ilvl="0">
      <w:lvlJc w:val="left"/>
      <w:lvlText w:val="|||"/>
      <w:numFmt w:val="bullet"/>
      <w:start w:val="1"/>
    </w:lvl>
  </w:abstractNum>
  <w:abstractNum w:abstractNumId="84">
    <w:nsid w:val="23D86AAC"/>
    <w:multiLevelType w:val="hybridMultilevel"/>
    <w:lvl w:ilvl="0">
      <w:lvlJc w:val="left"/>
      <w:lvlText w:val="%1."/>
      <w:numFmt w:val="upperLetter"/>
      <w:start w:val="9"/>
    </w:lvl>
  </w:abstractNum>
  <w:abstractNum w:abstractNumId="85">
    <w:nsid w:val="45E6D486"/>
    <w:multiLevelType w:val="hybridMultilevel"/>
    <w:lvl w:ilvl="0">
      <w:lvlJc w:val="left"/>
      <w:lvlText w:val="%1"/>
      <w:numFmt w:val="upperLetter"/>
      <w:start w:val="61"/>
    </w:lvl>
  </w:abstractNum>
  <w:abstractNum w:abstractNumId="86">
    <w:nsid w:val="5C10FE21"/>
    <w:multiLevelType w:val="hybridMultilevel"/>
    <w:lvl w:ilvl="0">
      <w:lvlJc w:val="left"/>
      <w:lvlText w:val="%1."/>
      <w:numFmt w:val="upperLetter"/>
      <w:start w:val="35"/>
    </w:lvl>
  </w:abstractNum>
  <w:abstractNum w:abstractNumId="87">
    <w:nsid w:val="E7FFA2B"/>
    <w:multiLevelType w:val="hybridMultilevel"/>
    <w:lvl w:ilvl="0">
      <w:lvlJc w:val="left"/>
      <w:lvlText w:val=" "/>
      <w:numFmt w:val="bullet"/>
      <w:start w:val="1"/>
    </w:lvl>
  </w:abstractNum>
  <w:abstractNum w:abstractNumId="88">
    <w:nsid w:val="3C5991AA"/>
    <w:multiLevelType w:val="hybridMultilevel"/>
    <w:lvl w:ilvl="0">
      <w:lvlJc w:val="left"/>
      <w:lvlText w:val=" "/>
      <w:numFmt w:val="bullet"/>
      <w:start w:val="1"/>
    </w:lvl>
  </w:abstractNum>
  <w:abstractNum w:abstractNumId="89">
    <w:nsid w:val="4BD8591A"/>
    <w:multiLevelType w:val="hybridMultilevel"/>
    <w:lvl w:ilvl="0">
      <w:lvlJc w:val="left"/>
      <w:lvlText w:val="%1."/>
      <w:numFmt w:val="upperLetter"/>
      <w:start w:val="61"/>
    </w:lvl>
  </w:abstractNum>
  <w:abstractNum w:abstractNumId="90">
    <w:nsid w:val="78DF6A55"/>
    <w:multiLevelType w:val="hybridMultilevel"/>
    <w:lvl w:ilvl="0">
      <w:lvlJc w:val="left"/>
      <w:lvlText w:val=" "/>
      <w:numFmt w:val="bullet"/>
      <w:start w:val="1"/>
    </w:lvl>
  </w:abstractNum>
  <w:abstractNum w:abstractNumId="91">
    <w:nsid w:val="39B7AAA2"/>
    <w:multiLevelType w:val="hybridMultilevel"/>
    <w:lvl w:ilvl="0">
      <w:lvlJc w:val="left"/>
      <w:lvlText w:val="%1."/>
      <w:numFmt w:val="upperLetter"/>
      <w:start w:val="1"/>
    </w:lvl>
  </w:abstractNum>
  <w:abstractNum w:abstractNumId="92">
    <w:nsid w:val="2B0D8DBE"/>
    <w:multiLevelType w:val="hybridMultilevel"/>
    <w:lvl w:ilvl="0">
      <w:lvlJc w:val="left"/>
      <w:lvlText w:val="%1."/>
      <w:numFmt w:val="upperLetter"/>
      <w:start w:val="2"/>
    </w:lvl>
  </w:abstractNum>
  <w:abstractNum w:abstractNumId="93">
    <w:nsid w:val="6C80EC70"/>
    <w:multiLevelType w:val="hybridMultilevel"/>
    <w:lvl w:ilvl="0">
      <w:lvlJc w:val="left"/>
      <w:lvlText w:val="%1."/>
      <w:numFmt w:val="upperLetter"/>
      <w:start w:val="3"/>
    </w:lvl>
  </w:abstractNum>
  <w:abstractNum w:abstractNumId="94">
    <w:nsid w:val="379E21B5"/>
    <w:multiLevelType w:val="hybridMultilevel"/>
    <w:lvl w:ilvl="0">
      <w:lvlJc w:val="left"/>
      <w:lvlText w:val="%1."/>
      <w:numFmt w:val="upperLetter"/>
      <w:start w:val="4"/>
    </w:lvl>
  </w:abstractNum>
  <w:abstractNum w:abstractNumId="95">
    <w:nsid w:val="69E373"/>
    <w:multiLevelType w:val="hybridMultilevel"/>
    <w:lvl w:ilvl="0">
      <w:lvlJc w:val="left"/>
      <w:lvlText w:val="%1."/>
      <w:numFmt w:val="upperLetter"/>
      <w:start w:val="5"/>
    </w:lvl>
  </w:abstractNum>
  <w:abstractNum w:abstractNumId="96">
    <w:nsid w:val="2C27173B"/>
    <w:multiLevelType w:val="hybridMultilevel"/>
    <w:lvl w:ilvl="0">
      <w:lvlJc w:val="left"/>
      <w:lvlText w:val=" "/>
      <w:numFmt w:val="bullet"/>
      <w:start w:val="1"/>
    </w:lvl>
  </w:abstractNum>
  <w:abstractNum w:abstractNumId="97">
    <w:nsid w:val="4C9B0904"/>
    <w:multiLevelType w:val="hybridMultilevel"/>
    <w:lvl w:ilvl="0">
      <w:lvlJc w:val="left"/>
      <w:lvlText w:val=" "/>
      <w:numFmt w:val="bullet"/>
      <w:start w:val="1"/>
    </w:lvl>
  </w:abstractNum>
  <w:abstractNum w:abstractNumId="98">
    <w:nsid w:val="6AA7B75C"/>
    <w:multiLevelType w:val="hybridMultilevel"/>
    <w:lvl w:ilvl="0">
      <w:lvlJc w:val="left"/>
      <w:lvlText w:val="%1."/>
      <w:numFmt w:val="upperLetter"/>
      <w:start w:val="6"/>
    </w:lvl>
  </w:abstractNum>
  <w:abstractNum w:abstractNumId="99">
    <w:nsid w:val="1DF029D3"/>
    <w:multiLevelType w:val="hybridMultilevel"/>
    <w:lvl w:ilvl="0">
      <w:lvlJc w:val="left"/>
      <w:lvlText w:val="%1."/>
      <w:numFmt w:val="upperLetter"/>
      <w:start w:val="7"/>
    </w:lvl>
  </w:abstractNum>
  <w:abstractNum w:abstractNumId="100">
    <w:nsid w:val="5675FF36"/>
    <w:multiLevelType w:val="hybridMultilevel"/>
    <w:lvl w:ilvl="0">
      <w:lvlJc w:val="left"/>
      <w:lvlText w:val="%1."/>
      <w:numFmt w:val="upperLetter"/>
      <w:start w:val="8"/>
    </w:lvl>
  </w:abstractNum>
  <w:abstractNum w:abstractNumId="101">
    <w:nsid w:val="3DD15094"/>
    <w:multiLevelType w:val="hybridMultilevel"/>
    <w:lvl w:ilvl="0">
      <w:lvlJc w:val="left"/>
      <w:lvlText w:val="%1."/>
      <w:numFmt w:val="upperLetter"/>
      <w:start w:val="1"/>
    </w:lvl>
  </w:abstractNum>
  <w:abstractNum w:abstractNumId="102">
    <w:nsid w:val="3DB012B3"/>
    <w:multiLevelType w:val="hybridMultilevel"/>
    <w:lvl w:ilvl="0">
      <w:lvlJc w:val="left"/>
      <w:lvlText w:val="%1."/>
      <w:numFmt w:val="upperLetter"/>
      <w:start w:val="2"/>
    </w:lvl>
  </w:abstractNum>
  <w:abstractNum w:abstractNumId="103">
    <w:nsid w:val="2708C9AF"/>
    <w:multiLevelType w:val="hybridMultilevel"/>
    <w:lvl w:ilvl="0">
      <w:lvlJc w:val="left"/>
      <w:lvlText w:val=" "/>
      <w:numFmt w:val="bullet"/>
      <w:start w:val="1"/>
    </w:lvl>
  </w:abstractNum>
  <w:abstractNum w:abstractNumId="104">
    <w:nsid w:val="5B25ACE2"/>
    <w:multiLevelType w:val="hybridMultilevel"/>
    <w:lvl w:ilvl="0">
      <w:lvlJc w:val="left"/>
      <w:lvlText w:val="%1."/>
      <w:numFmt w:val="upperLetter"/>
      <w:start w:val="3"/>
    </w:lvl>
  </w:abstractNum>
  <w:abstractNum w:abstractNumId="105">
    <w:nsid w:val="175DFCF0"/>
    <w:multiLevelType w:val="hybridMultilevel"/>
    <w:lvl w:ilvl="0">
      <w:lvlJc w:val="left"/>
      <w:lvlText w:val="%1."/>
      <w:numFmt w:val="upperLetter"/>
      <w:start w:val="4"/>
    </w:lvl>
  </w:abstractNum>
  <w:abstractNum w:abstractNumId="106">
    <w:nsid w:val="4F97E3E4"/>
    <w:multiLevelType w:val="hybridMultilevel"/>
    <w:lvl w:ilvl="0">
      <w:lvlJc w:val="left"/>
      <w:lvlText w:val="%1."/>
      <w:numFmt w:val="decimal"/>
      <w:start w:val="1"/>
    </w:lvl>
  </w:abstractNum>
  <w:abstractNum w:abstractNumId="107">
    <w:nsid w:val="53B0A9E"/>
    <w:multiLevelType w:val="hybridMultilevel"/>
    <w:lvl w:ilvl="0">
      <w:lvlJc w:val="left"/>
      <w:lvlText w:val="%1."/>
      <w:numFmt w:val="decimal"/>
      <w:start w:val="2"/>
    </w:lvl>
  </w:abstractNum>
  <w:abstractNum w:abstractNumId="108">
    <w:nsid w:val="34FD6B4F"/>
    <w:multiLevelType w:val="hybridMultilevel"/>
    <w:lvl w:ilvl="0">
      <w:lvlJc w:val="left"/>
      <w:lvlText w:val="%1."/>
      <w:numFmt w:val="upperLetter"/>
      <w:start w:val="5"/>
    </w:lvl>
  </w:abstractNum>
  <w:abstractNum w:abstractNumId="109">
    <w:nsid w:val="5915FF32"/>
    <w:multiLevelType w:val="hybridMultilevel"/>
    <w:lvl w:ilvl="0">
      <w:lvlJc w:val="left"/>
      <w:lvlText w:val=" "/>
      <w:numFmt w:val="bullet"/>
      <w:start w:val="1"/>
    </w:lvl>
  </w:abstractNum>
  <w:abstractNum w:abstractNumId="110">
    <w:nsid w:val="56438D15"/>
    <w:multiLevelType w:val="hybridMultilevel"/>
    <w:lvl w:ilvl="0">
      <w:lvlJc w:val="left"/>
      <w:lvlText w:val=" "/>
      <w:numFmt w:val="bullet"/>
      <w:start w:val="1"/>
    </w:lvl>
  </w:abstractNum>
  <w:abstractNum w:abstractNumId="111">
    <w:nsid w:val="519E3149"/>
    <w:multiLevelType w:val="hybridMultilevel"/>
    <w:lvl w:ilvl="0">
      <w:lvlJc w:val="left"/>
      <w:lvlText w:val="%1."/>
      <w:numFmt w:val="upperLetter"/>
      <w:start w:val="22"/>
    </w:lvl>
  </w:abstractNum>
  <w:abstractNum w:abstractNumId="112">
    <w:nsid w:val="2C6E4AFD"/>
    <w:multiLevelType w:val="hybridMultilevel"/>
    <w:lvl w:ilvl="0">
      <w:lvlJc w:val="left"/>
      <w:lvlText w:val="%1."/>
      <w:numFmt w:val="upperLetter"/>
      <w:start w:val="1"/>
    </w:lvl>
  </w:abstractNum>
  <w:abstractNum w:abstractNumId="113">
    <w:nsid w:val="17A1B582"/>
    <w:multiLevelType w:val="hybridMultilevel"/>
    <w:lvl w:ilvl="0">
      <w:lvlJc w:val="left"/>
      <w:lvlText w:val="%1."/>
      <w:numFmt w:val="upperLetter"/>
      <w:start w:val="2"/>
    </w:lvl>
  </w:abstractNum>
  <w:abstractNum w:abstractNumId="114">
    <w:nsid w:val="4DF72E4E"/>
    <w:multiLevelType w:val="hybridMultilevel"/>
    <w:lvl w:ilvl="0">
      <w:lvlJc w:val="left"/>
      <w:lvlText w:val="%1."/>
      <w:numFmt w:val="upperLetter"/>
      <w:start w:val="3"/>
    </w:lvl>
  </w:abstractNum>
  <w:abstractNum w:abstractNumId="115">
    <w:nsid w:val="5046B5A9"/>
    <w:multiLevelType w:val="hybridMultilevel"/>
    <w:lvl w:ilvl="0">
      <w:lvlJc w:val="left"/>
      <w:lvlText w:val="%1."/>
      <w:numFmt w:val="upperLetter"/>
      <w:start w:val="4"/>
    </w:lvl>
  </w:abstractNum>
  <w:abstractNum w:abstractNumId="116">
    <w:nsid w:val="5D888A08"/>
    <w:multiLevelType w:val="hybridMultilevel"/>
    <w:lvl w:ilvl="0">
      <w:lvlJc w:val="left"/>
      <w:lvlText w:val="%1."/>
      <w:numFmt w:val="upperLetter"/>
      <w:start w:val="5"/>
    </w:lvl>
  </w:abstractNum>
  <w:abstractNum w:abstractNumId="117">
    <w:nsid w:val="2A082C70"/>
    <w:multiLevelType w:val="hybridMultilevel"/>
    <w:lvl w:ilvl="0">
      <w:lvlJc w:val="left"/>
      <w:lvlText w:val="%1."/>
      <w:numFmt w:val="upperLetter"/>
      <w:start w:val="1"/>
    </w:lvl>
    <w:lvl w:ilvl="1">
      <w:lvlJc w:val="left"/>
      <w:lvlText w:val="%2."/>
      <w:numFmt w:val="decimal"/>
      <w:start w:val="1"/>
    </w:lvl>
  </w:abstractNum>
  <w:abstractNum w:abstractNumId="118">
    <w:nsid w:val="5EC6AFD4"/>
    <w:multiLevelType w:val="hybridMultilevel"/>
    <w:lvl w:ilvl="0">
      <w:lvlJc w:val="left"/>
      <w:lvlText w:val=" "/>
      <w:numFmt w:val="bullet"/>
      <w:start w:val="1"/>
    </w:lvl>
    <w:lvl w:ilvl="1">
      <w:lvlJc w:val="left"/>
      <w:lvlText w:val="(%2)"/>
      <w:numFmt w:val="lowerRoman"/>
      <w:start w:val="2"/>
    </w:lvl>
  </w:abstractNum>
  <w:abstractNum w:abstractNumId="119">
    <w:nsid w:val="19E21BB2"/>
    <w:multiLevelType w:val="hybridMultilevel"/>
    <w:lvl w:ilvl="0">
      <w:lvlJc w:val="left"/>
      <w:lvlText w:val=" "/>
      <w:numFmt w:val="bullet"/>
      <w:start w:val="1"/>
    </w:lvl>
    <w:lvl w:ilvl="1">
      <w:lvlJc w:val="left"/>
      <w:lvlText w:val=" "/>
      <w:numFmt w:val="bullet"/>
      <w:start w:val="1"/>
    </w:lvl>
  </w:abstractNum>
  <w:abstractNum w:abstractNumId="120">
    <w:nsid w:val="75E0858A"/>
    <w:multiLevelType w:val="hybridMultilevel"/>
    <w:lvl w:ilvl="0">
      <w:lvlJc w:val="left"/>
      <w:lvlText w:val="%1."/>
      <w:numFmt w:val="decimal"/>
      <w:start w:val="2"/>
    </w:lvl>
  </w:abstractNum>
  <w:abstractNum w:abstractNumId="121">
    <w:nsid w:val="57A61A29"/>
    <w:multiLevelType w:val="hybridMultilevel"/>
    <w:lvl w:ilvl="0">
      <w:lvlJc w:val="left"/>
      <w:lvlText w:val="%1."/>
      <w:numFmt w:val="decimal"/>
      <w:start w:val="3"/>
    </w:lvl>
  </w:abstractNum>
  <w:abstractNum w:abstractNumId="122">
    <w:nsid w:val="5399C654"/>
    <w:multiLevelType w:val="hybridMultilevel"/>
    <w:lvl w:ilvl="0">
      <w:lvlJc w:val="left"/>
      <w:lvlText w:val="%1."/>
      <w:numFmt w:val="decimal"/>
      <w:start w:val="4"/>
    </w:lvl>
  </w:abstractNum>
  <w:abstractNum w:abstractNumId="123">
    <w:nsid w:val="20EE1348"/>
    <w:multiLevelType w:val="hybridMultilevel"/>
    <w:lvl w:ilvl="0">
      <w:lvlJc w:val="left"/>
      <w:lvlText w:val="%1."/>
      <w:numFmt w:val="decimal"/>
      <w:start w:val="5"/>
    </w:lvl>
  </w:abstractNum>
  <w:abstractNum w:abstractNumId="124">
    <w:nsid w:val="4427069A"/>
    <w:multiLevelType w:val="hybridMultilevel"/>
    <w:lvl w:ilvl="0">
      <w:lvlJc w:val="left"/>
      <w:lvlText w:val="%1."/>
      <w:numFmt w:val="decimal"/>
      <w:start w:val="6"/>
    </w:lvl>
  </w:abstractNum>
  <w:abstractNum w:abstractNumId="125">
    <w:nsid w:val="B37E80A"/>
    <w:multiLevelType w:val="hybridMultilevel"/>
    <w:lvl w:ilvl="0">
      <w:lvlJc w:val="left"/>
      <w:lvlText w:val="%1."/>
      <w:numFmt w:val="decimal"/>
      <w:start w:val="7"/>
    </w:lvl>
  </w:abstractNum>
  <w:abstractNum w:abstractNumId="126">
    <w:nsid w:val="2157F6BC"/>
    <w:multiLevelType w:val="hybridMultilevel"/>
    <w:lvl w:ilvl="0">
      <w:lvlJc w:val="left"/>
      <w:lvlText w:val="%1."/>
      <w:numFmt w:val="decimal"/>
      <w:start w:val="8"/>
    </w:lvl>
  </w:abstractNum>
  <w:abstractNum w:abstractNumId="127">
    <w:nsid w:val="704E1DD5"/>
    <w:multiLevelType w:val="hybridMultilevel"/>
    <w:lvl w:ilvl="0">
      <w:lvlJc w:val="left"/>
      <w:lvlText w:val="%1."/>
      <w:numFmt w:val="decimal"/>
      <w:start w:val="9"/>
    </w:lvl>
  </w:abstractNum>
  <w:abstractNum w:abstractNumId="128">
    <w:nsid w:val="57D2F10E"/>
    <w:multiLevelType w:val="hybridMultilevel"/>
    <w:lvl w:ilvl="0">
      <w:lvlJc w:val="left"/>
      <w:lvlText w:val="%1."/>
      <w:numFmt w:val="decimal"/>
      <w:start w:val="10"/>
    </w:lvl>
  </w:abstractNum>
  <w:abstractNum w:abstractNumId="129">
    <w:nsid w:val="BFFAE18"/>
    <w:multiLevelType w:val="hybridMultilevel"/>
    <w:lvl w:ilvl="0">
      <w:lvlJc w:val="left"/>
      <w:lvlText w:val="%1."/>
      <w:numFmt w:val="upperLetter"/>
      <w:start w:val="2"/>
    </w:lvl>
    <w:lvl w:ilvl="1">
      <w:lvlJc w:val="left"/>
      <w:lvlText w:val="%2."/>
      <w:numFmt w:val="decimal"/>
      <w:start w:val="1"/>
    </w:lvl>
  </w:abstractNum>
  <w:abstractNum w:abstractNumId="130">
    <w:nsid w:val="E3E47A8"/>
    <w:multiLevelType w:val="hybridMultilevel"/>
    <w:lvl w:ilvl="0">
      <w:lvlJc w:val="left"/>
      <w:lvlText w:val="%1."/>
      <w:numFmt w:val="decimal"/>
      <w:start w:val="2"/>
    </w:lvl>
  </w:abstractNum>
  <w:abstractNum w:abstractNumId="131">
    <w:nsid w:val="2E48F044"/>
    <w:multiLevelType w:val="hybridMultilevel"/>
    <w:lvl w:ilvl="0">
      <w:lvlJc w:val="left"/>
      <w:lvlText w:val="%1."/>
      <w:numFmt w:val="decimal"/>
      <w:start w:val="3"/>
    </w:lvl>
  </w:abstractNum>
  <w:abstractNum w:abstractNumId="132">
    <w:nsid w:val="49D0FEAC"/>
    <w:multiLevelType w:val="hybridMultilevel"/>
    <w:lvl w:ilvl="0">
      <w:lvlJc w:val="left"/>
      <w:lvlText w:val="%1."/>
      <w:numFmt w:val="upperLetter"/>
      <w:start w:val="3"/>
    </w:lvl>
  </w:abstractNum>
  <w:abstractNum w:abstractNumId="133">
    <w:nsid w:val="4BEE5A5B"/>
    <w:multiLevelType w:val="hybridMultilevel"/>
    <w:lvl w:ilvl="0">
      <w:lvlJc w:val="left"/>
      <w:lvlText w:val=" "/>
      <w:numFmt w:val="bullet"/>
      <w:start w:val="1"/>
    </w:lvl>
  </w:abstractNum>
  <w:abstractNum w:abstractNumId="134">
    <w:nsid w:val="5551B9F3"/>
    <w:multiLevelType w:val="hybridMultilevel"/>
    <w:lvl w:ilvl="0">
      <w:lvlJc w:val="left"/>
      <w:lvlText w:val="%1."/>
      <w:numFmt w:val="decimal"/>
      <w:start w:val="1"/>
    </w:lvl>
  </w:abstractNum>
  <w:abstractNum w:abstractNumId="135">
    <w:nsid w:val="24F6AB8E"/>
    <w:multiLevelType w:val="hybridMultilevel"/>
    <w:lvl w:ilvl="0">
      <w:lvlJc w:val="left"/>
      <w:lvlText w:val="%1."/>
      <w:numFmt w:val="decimal"/>
      <w:start w:val="1"/>
    </w:lvl>
  </w:abstractNum>
  <w:abstractNum w:abstractNumId="136">
    <w:nsid w:val="634C574C"/>
    <w:multiLevelType w:val="hybridMultilevel"/>
    <w:lvl w:ilvl="0">
      <w:lvlJc w:val="left"/>
      <w:lvlText w:val="%1."/>
      <w:numFmt w:val="decimal"/>
      <w:start w:val="1"/>
    </w:lvl>
    <w:lvl w:ilvl="1">
      <w:lvlJc w:val="left"/>
      <w:lvlText w:val="(%2)"/>
      <w:numFmt w:val="lowerLetter"/>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4"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9" Type="http://schemas.openxmlformats.org/officeDocument/2006/relationships/image" Target="media/image179.png"/><Relationship Id="rId221" Type="http://schemas.openxmlformats.org/officeDocument/2006/relationships/image" Target="media/image180.png"/><Relationship Id="rId223" Type="http://schemas.openxmlformats.org/officeDocument/2006/relationships/image" Target="media/image181.png"/><Relationship Id="rId225"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30" Type="http://schemas.openxmlformats.org/officeDocument/2006/relationships/image" Target="media/image185.png"/><Relationship Id="rId231"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42" Type="http://schemas.openxmlformats.org/officeDocument/2006/relationships/image" Target="media/image193.png"/><Relationship Id="rId243"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3" Type="http://schemas.openxmlformats.org/officeDocument/2006/relationships/image" Target="media/image207.png"/><Relationship Id="rId264" Type="http://schemas.openxmlformats.org/officeDocument/2006/relationships/image" Target="media/image208.png"/><Relationship Id="rId266" Type="http://schemas.openxmlformats.org/officeDocument/2006/relationships/image" Target="media/image209.png"/><Relationship Id="rId267" Type="http://schemas.openxmlformats.org/officeDocument/2006/relationships/image" Target="media/image210.png"/><Relationship Id="rId269" Type="http://schemas.openxmlformats.org/officeDocument/2006/relationships/image" Target="media/image211.png"/><Relationship Id="rId270" Type="http://schemas.openxmlformats.org/officeDocument/2006/relationships/image" Target="media/image212.png"/><Relationship Id="rId272" Type="http://schemas.openxmlformats.org/officeDocument/2006/relationships/image" Target="media/image213.png"/><Relationship Id="rId273" Type="http://schemas.openxmlformats.org/officeDocument/2006/relationships/image" Target="media/image214.png"/><Relationship Id="rId274" Type="http://schemas.openxmlformats.org/officeDocument/2006/relationships/image" Target="media/image215.png"/><Relationship Id="rId275" Type="http://schemas.openxmlformats.org/officeDocument/2006/relationships/image" Target="media/image216.png"/><Relationship Id="rId276" Type="http://schemas.openxmlformats.org/officeDocument/2006/relationships/image" Target="media/image217.png"/><Relationship Id="rId278" Type="http://schemas.openxmlformats.org/officeDocument/2006/relationships/image" Target="media/image218.png"/><Relationship Id="rId279" Type="http://schemas.openxmlformats.org/officeDocument/2006/relationships/image" Target="media/image219.png"/><Relationship Id="rId280" Type="http://schemas.openxmlformats.org/officeDocument/2006/relationships/image" Target="media/image220.png"/><Relationship Id="rId296" Type="http://schemas.openxmlformats.org/officeDocument/2006/relationships/image" Target="media/image221.png"/><Relationship Id="rId297" Type="http://schemas.openxmlformats.org/officeDocument/2006/relationships/image" Target="media/image222.png"/><Relationship Id="rId298" Type="http://schemas.openxmlformats.org/officeDocument/2006/relationships/image" Target="media/image223.png"/><Relationship Id="rId299" Type="http://schemas.openxmlformats.org/officeDocument/2006/relationships/image" Target="media/image224.png"/><Relationship Id="rId300" Type="http://schemas.openxmlformats.org/officeDocument/2006/relationships/image" Target="media/image225.png"/><Relationship Id="rId301" Type="http://schemas.openxmlformats.org/officeDocument/2006/relationships/image" Target="media/image226.png"/><Relationship Id="rId302" Type="http://schemas.openxmlformats.org/officeDocument/2006/relationships/image" Target="media/image227.png"/><Relationship Id="rId303" Type="http://schemas.openxmlformats.org/officeDocument/2006/relationships/image" Target="media/image228.png"/><Relationship Id="rId304" Type="http://schemas.openxmlformats.org/officeDocument/2006/relationships/image" Target="media/image229.png"/><Relationship Id="rId305" Type="http://schemas.openxmlformats.org/officeDocument/2006/relationships/image" Target="media/image230.png"/><Relationship Id="rId306" Type="http://schemas.openxmlformats.org/officeDocument/2006/relationships/image" Target="media/image231.png"/><Relationship Id="rId307" Type="http://schemas.openxmlformats.org/officeDocument/2006/relationships/image" Target="media/image232.png"/><Relationship Id="rId308" Type="http://schemas.openxmlformats.org/officeDocument/2006/relationships/image" Target="media/image233.png"/><Relationship Id="rId309" Type="http://schemas.openxmlformats.org/officeDocument/2006/relationships/image" Target="media/image234.png"/><Relationship Id="rId310" Type="http://schemas.openxmlformats.org/officeDocument/2006/relationships/image" Target="media/image235.png"/><Relationship Id="rId311" Type="http://schemas.openxmlformats.org/officeDocument/2006/relationships/image" Target="media/image236.png"/><Relationship Id="rId312" Type="http://schemas.openxmlformats.org/officeDocument/2006/relationships/image" Target="media/image237.png"/><Relationship Id="rId313" Type="http://schemas.openxmlformats.org/officeDocument/2006/relationships/image" Target="media/image238.png"/><Relationship Id="rId314" Type="http://schemas.openxmlformats.org/officeDocument/2006/relationships/image" Target="media/image239.png"/><Relationship Id="rId315" Type="http://schemas.openxmlformats.org/officeDocument/2006/relationships/image" Target="media/image240.png"/><Relationship Id="rId316" Type="http://schemas.openxmlformats.org/officeDocument/2006/relationships/image" Target="media/image241.png"/><Relationship Id="rId317" Type="http://schemas.openxmlformats.org/officeDocument/2006/relationships/image" Target="media/image242.png"/><Relationship Id="rId318" Type="http://schemas.openxmlformats.org/officeDocument/2006/relationships/image" Target="media/image243.png"/><Relationship Id="rId319" Type="http://schemas.openxmlformats.org/officeDocument/2006/relationships/image" Target="media/image244.png"/><Relationship Id="rId320" Type="http://schemas.openxmlformats.org/officeDocument/2006/relationships/image" Target="media/image245.png"/><Relationship Id="rId321" Type="http://schemas.openxmlformats.org/officeDocument/2006/relationships/image" Target="media/image246.png"/><Relationship Id="rId322" Type="http://schemas.openxmlformats.org/officeDocument/2006/relationships/image" Target="media/image247.png"/><Relationship Id="rId323" Type="http://schemas.openxmlformats.org/officeDocument/2006/relationships/image" Target="media/image248.png"/><Relationship Id="rId324" Type="http://schemas.openxmlformats.org/officeDocument/2006/relationships/image" Target="media/image249.png"/><Relationship Id="rId325" Type="http://schemas.openxmlformats.org/officeDocument/2006/relationships/image" Target="media/image250.png"/><Relationship Id="rId326" Type="http://schemas.openxmlformats.org/officeDocument/2006/relationships/image" Target="media/image251.png"/><Relationship Id="rId327" Type="http://schemas.openxmlformats.org/officeDocument/2006/relationships/image" Target="media/image252.png"/><Relationship Id="rId328" Type="http://schemas.openxmlformats.org/officeDocument/2006/relationships/image" Target="media/image253.png"/><Relationship Id="rId329" Type="http://schemas.openxmlformats.org/officeDocument/2006/relationships/image" Target="media/image254.png"/><Relationship Id="rId330" Type="http://schemas.openxmlformats.org/officeDocument/2006/relationships/image" Target="media/image255.png"/><Relationship Id="rId331" Type="http://schemas.openxmlformats.org/officeDocument/2006/relationships/image" Target="media/image256.png"/><Relationship Id="rId332" Type="http://schemas.openxmlformats.org/officeDocument/2006/relationships/image" Target="media/image257.png"/><Relationship Id="rId333" Type="http://schemas.openxmlformats.org/officeDocument/2006/relationships/image" Target="media/image258.png"/><Relationship Id="rId334" Type="http://schemas.openxmlformats.org/officeDocument/2006/relationships/image" Target="media/image259.png"/><Relationship Id="rId335" Type="http://schemas.openxmlformats.org/officeDocument/2006/relationships/image" Target="media/image260.png"/><Relationship Id="rId336" Type="http://schemas.openxmlformats.org/officeDocument/2006/relationships/image" Target="media/image261.png"/><Relationship Id="rId337" Type="http://schemas.openxmlformats.org/officeDocument/2006/relationships/image" Target="media/image262.png"/><Relationship Id="rId338" Type="http://schemas.openxmlformats.org/officeDocument/2006/relationships/image" Target="media/image263.png"/><Relationship Id="rId339" Type="http://schemas.openxmlformats.org/officeDocument/2006/relationships/image" Target="media/image264.png"/><Relationship Id="rId340" Type="http://schemas.openxmlformats.org/officeDocument/2006/relationships/image" Target="media/image265.png"/><Relationship Id="rId341" Type="http://schemas.openxmlformats.org/officeDocument/2006/relationships/image" Target="media/image266.png"/><Relationship Id="rId342" Type="http://schemas.openxmlformats.org/officeDocument/2006/relationships/image" Target="media/image267.png"/><Relationship Id="rId343" Type="http://schemas.openxmlformats.org/officeDocument/2006/relationships/image" Target="media/image268.png"/><Relationship Id="rId344" Type="http://schemas.openxmlformats.org/officeDocument/2006/relationships/image" Target="media/image269.png"/><Relationship Id="rId345" Type="http://schemas.openxmlformats.org/officeDocument/2006/relationships/image" Target="media/image270.png"/><Relationship Id="rId346" Type="http://schemas.openxmlformats.org/officeDocument/2006/relationships/image" Target="media/image271.png"/><Relationship Id="rId347" Type="http://schemas.openxmlformats.org/officeDocument/2006/relationships/image" Target="media/image272.png"/><Relationship Id="rId348" Type="http://schemas.openxmlformats.org/officeDocument/2006/relationships/image" Target="media/image273.png"/><Relationship Id="rId349" Type="http://schemas.openxmlformats.org/officeDocument/2006/relationships/image" Target="media/image274.png"/><Relationship Id="rId350" Type="http://schemas.openxmlformats.org/officeDocument/2006/relationships/image" Target="media/image275.png"/><Relationship Id="rId351" Type="http://schemas.openxmlformats.org/officeDocument/2006/relationships/image" Target="media/image276.png"/><Relationship Id="rId352" Type="http://schemas.openxmlformats.org/officeDocument/2006/relationships/image" Target="media/image277.png"/><Relationship Id="rId353" Type="http://schemas.openxmlformats.org/officeDocument/2006/relationships/image" Target="media/image278.png"/><Relationship Id="rId354" Type="http://schemas.openxmlformats.org/officeDocument/2006/relationships/image" Target="media/image279.png"/><Relationship Id="rId355" Type="http://schemas.openxmlformats.org/officeDocument/2006/relationships/image" Target="media/image280.png"/><Relationship Id="rId356" Type="http://schemas.openxmlformats.org/officeDocument/2006/relationships/image" Target="media/image281.png"/><Relationship Id="rId357" Type="http://schemas.openxmlformats.org/officeDocument/2006/relationships/image" Target="media/image282.png"/><Relationship Id="rId358" Type="http://schemas.openxmlformats.org/officeDocument/2006/relationships/image" Target="media/image283.png"/><Relationship Id="rId359" Type="http://schemas.openxmlformats.org/officeDocument/2006/relationships/image" Target="media/image284.png"/><Relationship Id="rId360" Type="http://schemas.openxmlformats.org/officeDocument/2006/relationships/image" Target="media/image285.png"/><Relationship Id="rId361" Type="http://schemas.openxmlformats.org/officeDocument/2006/relationships/image" Target="media/image286.png"/><Relationship Id="rId362" Type="http://schemas.openxmlformats.org/officeDocument/2006/relationships/image" Target="media/image287.png"/><Relationship Id="rId363" Type="http://schemas.openxmlformats.org/officeDocument/2006/relationships/image" Target="media/image288.png"/><Relationship Id="rId364" Type="http://schemas.openxmlformats.org/officeDocument/2006/relationships/image" Target="media/image289.png"/><Relationship Id="rId365" Type="http://schemas.openxmlformats.org/officeDocument/2006/relationships/image" Target="media/image290.png"/><Relationship Id="rId366" Type="http://schemas.openxmlformats.org/officeDocument/2006/relationships/image" Target="media/image291.png"/><Relationship Id="rId367" Type="http://schemas.openxmlformats.org/officeDocument/2006/relationships/image" Target="media/image292.png"/><Relationship Id="rId368" Type="http://schemas.openxmlformats.org/officeDocument/2006/relationships/image" Target="media/image293.png"/><Relationship Id="rId369" Type="http://schemas.openxmlformats.org/officeDocument/2006/relationships/image" Target="media/image294.png"/><Relationship Id="rId370" Type="http://schemas.openxmlformats.org/officeDocument/2006/relationships/image" Target="media/image295.png"/><Relationship Id="rId371" Type="http://schemas.openxmlformats.org/officeDocument/2006/relationships/image" Target="media/image296.png"/><Relationship Id="rId372" Type="http://schemas.openxmlformats.org/officeDocument/2006/relationships/image" Target="media/image297.png"/><Relationship Id="rId373" Type="http://schemas.openxmlformats.org/officeDocument/2006/relationships/image" Target="media/image298.png"/><Relationship Id="rId374" Type="http://schemas.openxmlformats.org/officeDocument/2006/relationships/image" Target="media/image299.png"/><Relationship Id="rId375" Type="http://schemas.openxmlformats.org/officeDocument/2006/relationships/image" Target="media/image300.png"/><Relationship Id="rId376" Type="http://schemas.openxmlformats.org/officeDocument/2006/relationships/image" Target="media/image301.png"/><Relationship Id="rId377" Type="http://schemas.openxmlformats.org/officeDocument/2006/relationships/image" Target="media/image302.png"/><Relationship Id="rId378" Type="http://schemas.openxmlformats.org/officeDocument/2006/relationships/image" Target="media/image303.png"/><Relationship Id="rId379" Type="http://schemas.openxmlformats.org/officeDocument/2006/relationships/image" Target="media/image304.png"/><Relationship Id="rId380" Type="http://schemas.openxmlformats.org/officeDocument/2006/relationships/image" Target="media/image305.png"/><Relationship Id="rId381" Type="http://schemas.openxmlformats.org/officeDocument/2006/relationships/image" Target="media/image306.png"/><Relationship Id="rId382" Type="http://schemas.openxmlformats.org/officeDocument/2006/relationships/image" Target="media/image307.png"/><Relationship Id="rId383" Type="http://schemas.openxmlformats.org/officeDocument/2006/relationships/image" Target="media/image308.png"/><Relationship Id="rId384" Type="http://schemas.openxmlformats.org/officeDocument/2006/relationships/image" Target="media/image309.png"/><Relationship Id="rId385" Type="http://schemas.openxmlformats.org/officeDocument/2006/relationships/image" Target="media/image310.png"/><Relationship Id="rId386" Type="http://schemas.openxmlformats.org/officeDocument/2006/relationships/image" Target="media/image311.png"/><Relationship Id="rId387" Type="http://schemas.openxmlformats.org/officeDocument/2006/relationships/image" Target="media/image312.png"/><Relationship Id="rId388" Type="http://schemas.openxmlformats.org/officeDocument/2006/relationships/image" Target="media/image313.png"/><Relationship Id="rId389" Type="http://schemas.openxmlformats.org/officeDocument/2006/relationships/image" Target="media/image314.png"/><Relationship Id="rId390" Type="http://schemas.openxmlformats.org/officeDocument/2006/relationships/image" Target="media/image315.png"/><Relationship Id="rId391" Type="http://schemas.openxmlformats.org/officeDocument/2006/relationships/image" Target="media/image316.png"/><Relationship Id="rId392" Type="http://schemas.openxmlformats.org/officeDocument/2006/relationships/image" Target="media/image317.png"/><Relationship Id="rId393" Type="http://schemas.openxmlformats.org/officeDocument/2006/relationships/image" Target="media/image318.png"/><Relationship Id="rId394" Type="http://schemas.openxmlformats.org/officeDocument/2006/relationships/image" Target="media/image319.png"/><Relationship Id="rId395" Type="http://schemas.openxmlformats.org/officeDocument/2006/relationships/image" Target="media/image320.png"/><Relationship Id="rId396" Type="http://schemas.openxmlformats.org/officeDocument/2006/relationships/image" Target="media/image321.png"/><Relationship Id="rId397" Type="http://schemas.openxmlformats.org/officeDocument/2006/relationships/image" Target="media/image322.png"/><Relationship Id="rId398" Type="http://schemas.openxmlformats.org/officeDocument/2006/relationships/image" Target="media/image323.png"/><Relationship Id="rId399" Type="http://schemas.openxmlformats.org/officeDocument/2006/relationships/image" Target="media/image324.png"/><Relationship Id="rId400" Type="http://schemas.openxmlformats.org/officeDocument/2006/relationships/image" Target="media/image325.png"/><Relationship Id="rId401" Type="http://schemas.openxmlformats.org/officeDocument/2006/relationships/image" Target="media/image326.png"/><Relationship Id="rId402" Type="http://schemas.openxmlformats.org/officeDocument/2006/relationships/image" Target="media/image327.png"/><Relationship Id="rId403" Type="http://schemas.openxmlformats.org/officeDocument/2006/relationships/image" Target="media/image328.png"/><Relationship Id="rId404" Type="http://schemas.openxmlformats.org/officeDocument/2006/relationships/image" Target="media/image329.png"/><Relationship Id="rId405" Type="http://schemas.openxmlformats.org/officeDocument/2006/relationships/image" Target="media/image330.png"/><Relationship Id="rId406" Type="http://schemas.openxmlformats.org/officeDocument/2006/relationships/image" Target="media/image331.png"/><Relationship Id="rId407" Type="http://schemas.openxmlformats.org/officeDocument/2006/relationships/image" Target="media/image332.png"/><Relationship Id="rId408" Type="http://schemas.openxmlformats.org/officeDocument/2006/relationships/image" Target="media/image333.png"/><Relationship Id="rId409" Type="http://schemas.openxmlformats.org/officeDocument/2006/relationships/image" Target="media/image334.png"/><Relationship Id="rId410" Type="http://schemas.openxmlformats.org/officeDocument/2006/relationships/image" Target="media/image335.png"/><Relationship Id="rId411" Type="http://schemas.openxmlformats.org/officeDocument/2006/relationships/image" Target="media/image336.png"/><Relationship Id="rId412" Type="http://schemas.openxmlformats.org/officeDocument/2006/relationships/image" Target="media/image337.png"/><Relationship Id="rId413" Type="http://schemas.openxmlformats.org/officeDocument/2006/relationships/image" Target="media/image338.png"/><Relationship Id="rId414" Type="http://schemas.openxmlformats.org/officeDocument/2006/relationships/image" Target="media/image339.png"/><Relationship Id="rId415" Type="http://schemas.openxmlformats.org/officeDocument/2006/relationships/image" Target="media/image340.png"/><Relationship Id="rId416" Type="http://schemas.openxmlformats.org/officeDocument/2006/relationships/image" Target="media/image341.png"/><Relationship Id="rId417" Type="http://schemas.openxmlformats.org/officeDocument/2006/relationships/image" Target="media/image342.png"/><Relationship Id="rId418" Type="http://schemas.openxmlformats.org/officeDocument/2006/relationships/image" Target="media/image343.png"/><Relationship Id="rId419" Type="http://schemas.openxmlformats.org/officeDocument/2006/relationships/image" Target="media/image344.png"/><Relationship Id="rId420" Type="http://schemas.openxmlformats.org/officeDocument/2006/relationships/image" Target="media/image345.png"/><Relationship Id="rId421" Type="http://schemas.openxmlformats.org/officeDocument/2006/relationships/image" Target="media/image346.png"/><Relationship Id="rId422" Type="http://schemas.openxmlformats.org/officeDocument/2006/relationships/image" Target="media/image347.png"/><Relationship Id="rId423" Type="http://schemas.openxmlformats.org/officeDocument/2006/relationships/image" Target="media/image348.png"/><Relationship Id="rId424" Type="http://schemas.openxmlformats.org/officeDocument/2006/relationships/image" Target="media/image349.png"/><Relationship Id="rId425" Type="http://schemas.openxmlformats.org/officeDocument/2006/relationships/image" Target="media/image350.png"/><Relationship Id="rId426" Type="http://schemas.openxmlformats.org/officeDocument/2006/relationships/image" Target="media/image351.png"/><Relationship Id="rId427" Type="http://schemas.openxmlformats.org/officeDocument/2006/relationships/image" Target="media/image352.png"/><Relationship Id="rId428" Type="http://schemas.openxmlformats.org/officeDocument/2006/relationships/image" Target="media/image353.png"/><Relationship Id="rId429" Type="http://schemas.openxmlformats.org/officeDocument/2006/relationships/image" Target="media/image354.png"/><Relationship Id="rId430" Type="http://schemas.openxmlformats.org/officeDocument/2006/relationships/image" Target="media/image355.png"/><Relationship Id="rId431" Type="http://schemas.openxmlformats.org/officeDocument/2006/relationships/image" Target="media/image356.png"/><Relationship Id="rId432" Type="http://schemas.openxmlformats.org/officeDocument/2006/relationships/image" Target="media/image357.png"/><Relationship Id="rId433" Type="http://schemas.openxmlformats.org/officeDocument/2006/relationships/image" Target="media/image358.png"/><Relationship Id="rId434" Type="http://schemas.openxmlformats.org/officeDocument/2006/relationships/image" Target="media/image359.png"/><Relationship Id="rId435" Type="http://schemas.openxmlformats.org/officeDocument/2006/relationships/image" Target="media/image360.png"/><Relationship Id="rId436" Type="http://schemas.openxmlformats.org/officeDocument/2006/relationships/image" Target="media/image361.png"/><Relationship Id="rId437" Type="http://schemas.openxmlformats.org/officeDocument/2006/relationships/image" Target="media/image362.png"/><Relationship Id="rId438" Type="http://schemas.openxmlformats.org/officeDocument/2006/relationships/image" Target="media/image363.png"/><Relationship Id="rId439" Type="http://schemas.openxmlformats.org/officeDocument/2006/relationships/image" Target="media/image364.png"/><Relationship Id="rId440" Type="http://schemas.openxmlformats.org/officeDocument/2006/relationships/image" Target="media/image365.png"/><Relationship Id="rId441" Type="http://schemas.openxmlformats.org/officeDocument/2006/relationships/image" Target="media/image366.png"/><Relationship Id="rId442" Type="http://schemas.openxmlformats.org/officeDocument/2006/relationships/image" Target="media/image367.png"/><Relationship Id="rId443" Type="http://schemas.openxmlformats.org/officeDocument/2006/relationships/image" Target="media/image368.png"/><Relationship Id="rId444" Type="http://schemas.openxmlformats.org/officeDocument/2006/relationships/image" Target="media/image369.png"/><Relationship Id="rId445" Type="http://schemas.openxmlformats.org/officeDocument/2006/relationships/image" Target="media/image370.png"/><Relationship Id="rId446" Type="http://schemas.openxmlformats.org/officeDocument/2006/relationships/image" Target="media/image371.png"/><Relationship Id="rId447" Type="http://schemas.openxmlformats.org/officeDocument/2006/relationships/image" Target="media/image372.png"/><Relationship Id="rId448" Type="http://schemas.openxmlformats.org/officeDocument/2006/relationships/image" Target="media/image373.png"/><Relationship Id="rId449" Type="http://schemas.openxmlformats.org/officeDocument/2006/relationships/image" Target="media/image374.png"/><Relationship Id="rId450" Type="http://schemas.openxmlformats.org/officeDocument/2006/relationships/image" Target="media/image375.png"/><Relationship Id="rId451" Type="http://schemas.openxmlformats.org/officeDocument/2006/relationships/image" Target="media/image376.png"/><Relationship Id="rId452" Type="http://schemas.openxmlformats.org/officeDocument/2006/relationships/image" Target="media/image377.png"/><Relationship Id="rId453" Type="http://schemas.openxmlformats.org/officeDocument/2006/relationships/image" Target="media/image378.png"/><Relationship Id="rId454" Type="http://schemas.openxmlformats.org/officeDocument/2006/relationships/image" Target="media/image379.png"/><Relationship Id="rId455" Type="http://schemas.openxmlformats.org/officeDocument/2006/relationships/image" Target="media/image380.png"/><Relationship Id="rId456" Type="http://schemas.openxmlformats.org/officeDocument/2006/relationships/image" Target="media/image381.png"/><Relationship Id="rId457" Type="http://schemas.openxmlformats.org/officeDocument/2006/relationships/image" Target="media/image382.png"/><Relationship Id="rId458" Type="http://schemas.openxmlformats.org/officeDocument/2006/relationships/image" Target="media/image383.png"/><Relationship Id="rId459" Type="http://schemas.openxmlformats.org/officeDocument/2006/relationships/image" Target="media/image384.png"/><Relationship Id="rId460" Type="http://schemas.openxmlformats.org/officeDocument/2006/relationships/image" Target="media/image385.png"/><Relationship Id="rId461" Type="http://schemas.openxmlformats.org/officeDocument/2006/relationships/image" Target="media/image386.png"/><Relationship Id="rId462" Type="http://schemas.openxmlformats.org/officeDocument/2006/relationships/image" Target="media/image387.png"/><Relationship Id="rId463" Type="http://schemas.openxmlformats.org/officeDocument/2006/relationships/image" Target="media/image388.png"/><Relationship Id="rId464" Type="http://schemas.openxmlformats.org/officeDocument/2006/relationships/image" Target="media/image389.png"/><Relationship Id="rId465" Type="http://schemas.openxmlformats.org/officeDocument/2006/relationships/image" Target="media/image390.png"/><Relationship Id="rId466" Type="http://schemas.openxmlformats.org/officeDocument/2006/relationships/image" Target="media/image391.png"/><Relationship Id="rId467" Type="http://schemas.openxmlformats.org/officeDocument/2006/relationships/image" Target="media/image392.png"/><Relationship Id="rId468" Type="http://schemas.openxmlformats.org/officeDocument/2006/relationships/image" Target="media/image393.png"/><Relationship Id="rId469" Type="http://schemas.openxmlformats.org/officeDocument/2006/relationships/image" Target="media/image394.png"/><Relationship Id="rId470" Type="http://schemas.openxmlformats.org/officeDocument/2006/relationships/image" Target="media/image395.png"/><Relationship Id="rId471" Type="http://schemas.openxmlformats.org/officeDocument/2006/relationships/image" Target="media/image396.png"/><Relationship Id="rId472" Type="http://schemas.openxmlformats.org/officeDocument/2006/relationships/image" Target="media/image397.png"/><Relationship Id="rId473" Type="http://schemas.openxmlformats.org/officeDocument/2006/relationships/image" Target="media/image398.png"/><Relationship Id="rId474" Type="http://schemas.openxmlformats.org/officeDocument/2006/relationships/image" Target="media/image399.png"/><Relationship Id="rId475" Type="http://schemas.openxmlformats.org/officeDocument/2006/relationships/image" Target="media/image400.png"/><Relationship Id="rId476" Type="http://schemas.openxmlformats.org/officeDocument/2006/relationships/image" Target="media/image401.png"/><Relationship Id="rId477" Type="http://schemas.openxmlformats.org/officeDocument/2006/relationships/image" Target="media/image402.png"/><Relationship Id="rId478" Type="http://schemas.openxmlformats.org/officeDocument/2006/relationships/image" Target="media/image403.png"/><Relationship Id="rId479" Type="http://schemas.openxmlformats.org/officeDocument/2006/relationships/image" Target="media/image404.png"/><Relationship Id="rId480" Type="http://schemas.openxmlformats.org/officeDocument/2006/relationships/image" Target="media/image405.png"/><Relationship Id="rId481" Type="http://schemas.openxmlformats.org/officeDocument/2006/relationships/image" Target="media/image406.png"/><Relationship Id="rId482" Type="http://schemas.openxmlformats.org/officeDocument/2006/relationships/image" Target="media/image407.png"/><Relationship Id="rId483" Type="http://schemas.openxmlformats.org/officeDocument/2006/relationships/image" Target="media/image408.png"/><Relationship Id="rId484" Type="http://schemas.openxmlformats.org/officeDocument/2006/relationships/image" Target="media/image409.png"/><Relationship Id="rId485" Type="http://schemas.openxmlformats.org/officeDocument/2006/relationships/image" Target="media/image410.png"/><Relationship Id="rId486" Type="http://schemas.openxmlformats.org/officeDocument/2006/relationships/image" Target="media/image411.png"/><Relationship Id="rId487" Type="http://schemas.openxmlformats.org/officeDocument/2006/relationships/image" Target="media/image412.png"/><Relationship Id="rId488" Type="http://schemas.openxmlformats.org/officeDocument/2006/relationships/image" Target="media/image413.png"/><Relationship Id="rId489" Type="http://schemas.openxmlformats.org/officeDocument/2006/relationships/image" Target="media/image414.png"/><Relationship Id="rId490" Type="http://schemas.openxmlformats.org/officeDocument/2006/relationships/image" Target="media/image415.png"/><Relationship Id="rId491" Type="http://schemas.openxmlformats.org/officeDocument/2006/relationships/image" Target="media/image416.png"/><Relationship Id="rId492" Type="http://schemas.openxmlformats.org/officeDocument/2006/relationships/image" Target="media/image417.png"/><Relationship Id="rId493" Type="http://schemas.openxmlformats.org/officeDocument/2006/relationships/image" Target="media/image418.png"/><Relationship Id="rId494" Type="http://schemas.openxmlformats.org/officeDocument/2006/relationships/image" Target="media/image419.png"/><Relationship Id="rId495" Type="http://schemas.openxmlformats.org/officeDocument/2006/relationships/image" Target="media/image420.png"/><Relationship Id="rId496" Type="http://schemas.openxmlformats.org/officeDocument/2006/relationships/image" Target="media/image421.png"/><Relationship Id="rId497" Type="http://schemas.openxmlformats.org/officeDocument/2006/relationships/image" Target="media/image422.png"/><Relationship Id="rId498" Type="http://schemas.openxmlformats.org/officeDocument/2006/relationships/image" Target="media/image423.png"/><Relationship Id="rId499" Type="http://schemas.openxmlformats.org/officeDocument/2006/relationships/image" Target="media/image424.png"/><Relationship Id="rId500" Type="http://schemas.openxmlformats.org/officeDocument/2006/relationships/image" Target="media/image425.png"/><Relationship Id="rId501" Type="http://schemas.openxmlformats.org/officeDocument/2006/relationships/image" Target="media/image426.png"/><Relationship Id="rId502" Type="http://schemas.openxmlformats.org/officeDocument/2006/relationships/image" Target="media/image427.png"/><Relationship Id="rId503" Type="http://schemas.openxmlformats.org/officeDocument/2006/relationships/image" Target="media/image428.png"/><Relationship Id="rId504" Type="http://schemas.openxmlformats.org/officeDocument/2006/relationships/image" Target="media/image429.png"/><Relationship Id="rId505" Type="http://schemas.openxmlformats.org/officeDocument/2006/relationships/image" Target="media/image430.png"/><Relationship Id="rId506" Type="http://schemas.openxmlformats.org/officeDocument/2006/relationships/image" Target="media/image431.png"/><Relationship Id="rId507" Type="http://schemas.openxmlformats.org/officeDocument/2006/relationships/image" Target="media/image432.png"/><Relationship Id="rId508" Type="http://schemas.openxmlformats.org/officeDocument/2006/relationships/image" Target="media/image433.png"/><Relationship Id="rId509" Type="http://schemas.openxmlformats.org/officeDocument/2006/relationships/image" Target="media/image434.png"/><Relationship Id="rId510" Type="http://schemas.openxmlformats.org/officeDocument/2006/relationships/image" Target="media/image435.png"/><Relationship Id="rId511" Type="http://schemas.openxmlformats.org/officeDocument/2006/relationships/image" Target="media/image436.png"/><Relationship Id="rId512" Type="http://schemas.openxmlformats.org/officeDocument/2006/relationships/image" Target="media/image437.png"/><Relationship Id="rId513" Type="http://schemas.openxmlformats.org/officeDocument/2006/relationships/image" Target="media/image438.png"/><Relationship Id="rId514" Type="http://schemas.openxmlformats.org/officeDocument/2006/relationships/image" Target="media/image439.png"/><Relationship Id="rId515" Type="http://schemas.openxmlformats.org/officeDocument/2006/relationships/image" Target="media/image440.png"/><Relationship Id="rId516" Type="http://schemas.openxmlformats.org/officeDocument/2006/relationships/image" Target="media/image441.png"/><Relationship Id="rId517" Type="http://schemas.openxmlformats.org/officeDocument/2006/relationships/image" Target="media/image442.png"/><Relationship Id="rId518" Type="http://schemas.openxmlformats.org/officeDocument/2006/relationships/image" Target="media/image443.png"/><Relationship Id="rId519" Type="http://schemas.openxmlformats.org/officeDocument/2006/relationships/image" Target="media/image444.png"/><Relationship Id="rId520" Type="http://schemas.openxmlformats.org/officeDocument/2006/relationships/image" Target="media/image445.png"/><Relationship Id="rId521" Type="http://schemas.openxmlformats.org/officeDocument/2006/relationships/image" Target="media/image446.png"/><Relationship Id="rId522" Type="http://schemas.openxmlformats.org/officeDocument/2006/relationships/image" Target="media/image447.png"/><Relationship Id="rId523" Type="http://schemas.openxmlformats.org/officeDocument/2006/relationships/image" Target="media/image448.png"/><Relationship Id="rId524" Type="http://schemas.openxmlformats.org/officeDocument/2006/relationships/image" Target="media/image449.png"/><Relationship Id="rId525" Type="http://schemas.openxmlformats.org/officeDocument/2006/relationships/image" Target="media/image450.png"/><Relationship Id="rId526" Type="http://schemas.openxmlformats.org/officeDocument/2006/relationships/image" Target="media/image451.png"/><Relationship Id="rId527" Type="http://schemas.openxmlformats.org/officeDocument/2006/relationships/image" Target="media/image452.png"/><Relationship Id="rId528" Type="http://schemas.openxmlformats.org/officeDocument/2006/relationships/image" Target="media/image453.png"/><Relationship Id="rId529" Type="http://schemas.openxmlformats.org/officeDocument/2006/relationships/image" Target="media/image454.png"/><Relationship Id="rId530" Type="http://schemas.openxmlformats.org/officeDocument/2006/relationships/image" Target="media/image455.png"/><Relationship Id="rId531" Type="http://schemas.openxmlformats.org/officeDocument/2006/relationships/image" Target="media/image456.png"/><Relationship Id="rId532" Type="http://schemas.openxmlformats.org/officeDocument/2006/relationships/image" Target="media/image457.png"/><Relationship Id="rId533" Type="http://schemas.openxmlformats.org/officeDocument/2006/relationships/image" Target="media/image458.png"/><Relationship Id="rId534" Type="http://schemas.openxmlformats.org/officeDocument/2006/relationships/image" Target="media/image459.png"/><Relationship Id="rId535" Type="http://schemas.openxmlformats.org/officeDocument/2006/relationships/image" Target="media/image460.png"/><Relationship Id="rId536" Type="http://schemas.openxmlformats.org/officeDocument/2006/relationships/image" Target="media/image461.png"/><Relationship Id="rId537" Type="http://schemas.openxmlformats.org/officeDocument/2006/relationships/image" Target="media/image462.png"/><Relationship Id="rId538" Type="http://schemas.openxmlformats.org/officeDocument/2006/relationships/image" Target="media/image463.png"/><Relationship Id="rId539" Type="http://schemas.openxmlformats.org/officeDocument/2006/relationships/image" Target="media/image464.png"/><Relationship Id="rId540" Type="http://schemas.openxmlformats.org/officeDocument/2006/relationships/image" Target="media/image465.png"/><Relationship Id="rId541" Type="http://schemas.openxmlformats.org/officeDocument/2006/relationships/image" Target="media/image466.png"/><Relationship Id="rId542" Type="http://schemas.openxmlformats.org/officeDocument/2006/relationships/image" Target="media/image467.png"/><Relationship Id="rId543" Type="http://schemas.openxmlformats.org/officeDocument/2006/relationships/image" Target="media/image468.png"/><Relationship Id="rId544" Type="http://schemas.openxmlformats.org/officeDocument/2006/relationships/image" Target="media/image469.png"/><Relationship Id="rId545" Type="http://schemas.openxmlformats.org/officeDocument/2006/relationships/image" Target="media/image470.png"/><Relationship Id="rId546" Type="http://schemas.openxmlformats.org/officeDocument/2006/relationships/image" Target="media/image471.png"/><Relationship Id="rId547" Type="http://schemas.openxmlformats.org/officeDocument/2006/relationships/image" Target="media/image472.png"/><Relationship Id="rId548" Type="http://schemas.openxmlformats.org/officeDocument/2006/relationships/image" Target="media/image473.png"/><Relationship Id="rId549" Type="http://schemas.openxmlformats.org/officeDocument/2006/relationships/image" Target="media/image474.png"/><Relationship Id="rId550" Type="http://schemas.openxmlformats.org/officeDocument/2006/relationships/image" Target="media/image475.png"/><Relationship Id="rId551" Type="http://schemas.openxmlformats.org/officeDocument/2006/relationships/image" Target="media/image476.png"/><Relationship Id="rId552" Type="http://schemas.openxmlformats.org/officeDocument/2006/relationships/image" Target="media/image477.png"/><Relationship Id="rId553" Type="http://schemas.openxmlformats.org/officeDocument/2006/relationships/image" Target="media/image478.png"/><Relationship Id="rId554" Type="http://schemas.openxmlformats.org/officeDocument/2006/relationships/image" Target="media/image479.png"/><Relationship Id="rId555" Type="http://schemas.openxmlformats.org/officeDocument/2006/relationships/image" Target="media/image480.png"/><Relationship Id="rId556" Type="http://schemas.openxmlformats.org/officeDocument/2006/relationships/image" Target="media/image481.png"/><Relationship Id="rId557" Type="http://schemas.openxmlformats.org/officeDocument/2006/relationships/image" Target="media/image482.png"/><Relationship Id="rId558" Type="http://schemas.openxmlformats.org/officeDocument/2006/relationships/image" Target="media/image483.png"/><Relationship Id="rId559" Type="http://schemas.openxmlformats.org/officeDocument/2006/relationships/image" Target="media/image484.png"/><Relationship Id="rId560" Type="http://schemas.openxmlformats.org/officeDocument/2006/relationships/image" Target="media/image485.png"/><Relationship Id="rId561" Type="http://schemas.openxmlformats.org/officeDocument/2006/relationships/image" Target="media/image486.png"/><Relationship Id="rId562" Type="http://schemas.openxmlformats.org/officeDocument/2006/relationships/image" Target="media/image487.png"/><Relationship Id="rId563" Type="http://schemas.openxmlformats.org/officeDocument/2006/relationships/image" Target="media/image488.png"/><Relationship Id="rId564" Type="http://schemas.openxmlformats.org/officeDocument/2006/relationships/image" Target="media/image489.png"/><Relationship Id="rId565" Type="http://schemas.openxmlformats.org/officeDocument/2006/relationships/image" Target="media/image490.png"/><Relationship Id="rId566" Type="http://schemas.openxmlformats.org/officeDocument/2006/relationships/image" Target="media/image491.png"/><Relationship Id="rId567" Type="http://schemas.openxmlformats.org/officeDocument/2006/relationships/image" Target="media/image492.png"/><Relationship Id="rId568" Type="http://schemas.openxmlformats.org/officeDocument/2006/relationships/image" Target="media/image493.png"/><Relationship Id="rId569" Type="http://schemas.openxmlformats.org/officeDocument/2006/relationships/image" Target="media/image494.png"/><Relationship Id="rId570" Type="http://schemas.openxmlformats.org/officeDocument/2006/relationships/image" Target="media/image495.png"/><Relationship Id="rId571" Type="http://schemas.openxmlformats.org/officeDocument/2006/relationships/image" Target="media/image496.png"/><Relationship Id="rId572" Type="http://schemas.openxmlformats.org/officeDocument/2006/relationships/image" Target="media/image497.png"/><Relationship Id="rId573" Type="http://schemas.openxmlformats.org/officeDocument/2006/relationships/image" Target="media/image498.png"/><Relationship Id="rId574" Type="http://schemas.openxmlformats.org/officeDocument/2006/relationships/image" Target="media/image499.png"/><Relationship Id="rId575" Type="http://schemas.openxmlformats.org/officeDocument/2006/relationships/image" Target="media/image500.png"/><Relationship Id="rId576" Type="http://schemas.openxmlformats.org/officeDocument/2006/relationships/image" Target="media/image501.png"/><Relationship Id="rId577" Type="http://schemas.openxmlformats.org/officeDocument/2006/relationships/image" Target="media/image502.png"/><Relationship Id="rId578" Type="http://schemas.openxmlformats.org/officeDocument/2006/relationships/image" Target="media/image503.png"/><Relationship Id="rId579" Type="http://schemas.openxmlformats.org/officeDocument/2006/relationships/image" Target="media/image504.png"/><Relationship Id="rId580" Type="http://schemas.openxmlformats.org/officeDocument/2006/relationships/image" Target="media/image505.png"/><Relationship Id="rId581" Type="http://schemas.openxmlformats.org/officeDocument/2006/relationships/image" Target="media/image506.png"/><Relationship Id="rId582" Type="http://schemas.openxmlformats.org/officeDocument/2006/relationships/image" Target="media/image507.png"/><Relationship Id="rId583" Type="http://schemas.openxmlformats.org/officeDocument/2006/relationships/image" Target="media/image508.png"/><Relationship Id="rId584" Type="http://schemas.openxmlformats.org/officeDocument/2006/relationships/image" Target="media/image509.png"/><Relationship Id="rId585" Type="http://schemas.openxmlformats.org/officeDocument/2006/relationships/image" Target="media/image510.png"/><Relationship Id="rId586" Type="http://schemas.openxmlformats.org/officeDocument/2006/relationships/image" Target="media/image511.png"/><Relationship Id="rId587" Type="http://schemas.openxmlformats.org/officeDocument/2006/relationships/image" Target="media/image512.png"/><Relationship Id="rId588" Type="http://schemas.openxmlformats.org/officeDocument/2006/relationships/image" Target="media/image513.png"/><Relationship Id="rId589" Type="http://schemas.openxmlformats.org/officeDocument/2006/relationships/image" Target="media/image514.png"/><Relationship Id="rId590" Type="http://schemas.openxmlformats.org/officeDocument/2006/relationships/image" Target="media/image515.png"/><Relationship Id="rId591" Type="http://schemas.openxmlformats.org/officeDocument/2006/relationships/image" Target="media/image516.png"/><Relationship Id="rId592" Type="http://schemas.openxmlformats.org/officeDocument/2006/relationships/image" Target="media/image517.png"/><Relationship Id="rId593" Type="http://schemas.openxmlformats.org/officeDocument/2006/relationships/image" Target="media/image518.png"/><Relationship Id="rId594" Type="http://schemas.openxmlformats.org/officeDocument/2006/relationships/image" Target="media/image519.png"/><Relationship Id="rId595" Type="http://schemas.openxmlformats.org/officeDocument/2006/relationships/image" Target="media/image520.png"/><Relationship Id="rId596" Type="http://schemas.openxmlformats.org/officeDocument/2006/relationships/image" Target="media/image521.png"/><Relationship Id="rId597" Type="http://schemas.openxmlformats.org/officeDocument/2006/relationships/image" Target="media/image522.png"/><Relationship Id="rId598" Type="http://schemas.openxmlformats.org/officeDocument/2006/relationships/image" Target="media/image523.png"/><Relationship Id="rId599" Type="http://schemas.openxmlformats.org/officeDocument/2006/relationships/image" Target="media/image524.png"/><Relationship Id="rId600" Type="http://schemas.openxmlformats.org/officeDocument/2006/relationships/image" Target="media/image525.png"/><Relationship Id="rId601" Type="http://schemas.openxmlformats.org/officeDocument/2006/relationships/image" Target="media/image526.png"/><Relationship Id="rId602" Type="http://schemas.openxmlformats.org/officeDocument/2006/relationships/image" Target="media/image527.png"/><Relationship Id="rId603" Type="http://schemas.openxmlformats.org/officeDocument/2006/relationships/image" Target="media/image528.png"/><Relationship Id="rId604" Type="http://schemas.openxmlformats.org/officeDocument/2006/relationships/image" Target="media/image529.png"/><Relationship Id="rId605" Type="http://schemas.openxmlformats.org/officeDocument/2006/relationships/image" Target="media/image530.png"/><Relationship Id="rId606" Type="http://schemas.openxmlformats.org/officeDocument/2006/relationships/image" Target="media/image531.png"/><Relationship Id="rId607" Type="http://schemas.openxmlformats.org/officeDocument/2006/relationships/image" Target="media/image532.png"/><Relationship Id="rId608" Type="http://schemas.openxmlformats.org/officeDocument/2006/relationships/image" Target="media/image533.png"/><Relationship Id="rId609" Type="http://schemas.openxmlformats.org/officeDocument/2006/relationships/image" Target="media/image534.png"/><Relationship Id="rId610" Type="http://schemas.openxmlformats.org/officeDocument/2006/relationships/image" Target="media/image535.png"/><Relationship Id="rId611" Type="http://schemas.openxmlformats.org/officeDocument/2006/relationships/image" Target="media/image536.png"/><Relationship Id="rId612" Type="http://schemas.openxmlformats.org/officeDocument/2006/relationships/image" Target="media/image537.png"/><Relationship Id="rId613" Type="http://schemas.openxmlformats.org/officeDocument/2006/relationships/image" Target="media/image538.png"/><Relationship Id="rId614" Type="http://schemas.openxmlformats.org/officeDocument/2006/relationships/image" Target="media/image539.png"/><Relationship Id="rId615" Type="http://schemas.openxmlformats.org/officeDocument/2006/relationships/image" Target="media/image540.png"/><Relationship Id="rId616" Type="http://schemas.openxmlformats.org/officeDocument/2006/relationships/image" Target="media/image541.png"/><Relationship Id="rId617" Type="http://schemas.openxmlformats.org/officeDocument/2006/relationships/image" Target="media/image542.png"/><Relationship Id="rId618" Type="http://schemas.openxmlformats.org/officeDocument/2006/relationships/image" Target="media/image543.png"/><Relationship Id="rId619" Type="http://schemas.openxmlformats.org/officeDocument/2006/relationships/image" Target="media/image544.png"/><Relationship Id="rId620" Type="http://schemas.openxmlformats.org/officeDocument/2006/relationships/image" Target="media/image545.png"/><Relationship Id="rId621" Type="http://schemas.openxmlformats.org/officeDocument/2006/relationships/image" Target="media/image546.png"/><Relationship Id="rId622" Type="http://schemas.openxmlformats.org/officeDocument/2006/relationships/image" Target="media/image547.png"/><Relationship Id="rId623" Type="http://schemas.openxmlformats.org/officeDocument/2006/relationships/image" Target="media/image548.png"/><Relationship Id="rId624" Type="http://schemas.openxmlformats.org/officeDocument/2006/relationships/image" Target="media/image549.png"/><Relationship Id="rId625" Type="http://schemas.openxmlformats.org/officeDocument/2006/relationships/image" Target="media/image550.png"/><Relationship Id="rId626" Type="http://schemas.openxmlformats.org/officeDocument/2006/relationships/image" Target="media/image551.png"/><Relationship Id="rId627" Type="http://schemas.openxmlformats.org/officeDocument/2006/relationships/image" Target="media/image552.png"/><Relationship Id="rId628" Type="http://schemas.openxmlformats.org/officeDocument/2006/relationships/image" Target="media/image553.png"/><Relationship Id="rId629" Type="http://schemas.openxmlformats.org/officeDocument/2006/relationships/image" Target="media/image554.png"/><Relationship Id="rId630" Type="http://schemas.openxmlformats.org/officeDocument/2006/relationships/image" Target="media/image555.png"/><Relationship Id="rId631" Type="http://schemas.openxmlformats.org/officeDocument/2006/relationships/image" Target="media/image556.png"/><Relationship Id="rId632" Type="http://schemas.openxmlformats.org/officeDocument/2006/relationships/image" Target="media/image557.png"/><Relationship Id="rId633" Type="http://schemas.openxmlformats.org/officeDocument/2006/relationships/image" Target="media/image558.png"/><Relationship Id="rId634" Type="http://schemas.openxmlformats.org/officeDocument/2006/relationships/image" Target="media/image559.png"/><Relationship Id="rId635" Type="http://schemas.openxmlformats.org/officeDocument/2006/relationships/image" Target="media/image560.png"/><Relationship Id="rId636" Type="http://schemas.openxmlformats.org/officeDocument/2006/relationships/image" Target="media/image561.png"/><Relationship Id="rId637" Type="http://schemas.openxmlformats.org/officeDocument/2006/relationships/image" Target="media/image562.png"/><Relationship Id="rId638" Type="http://schemas.openxmlformats.org/officeDocument/2006/relationships/image" Target="media/image563.png"/><Relationship Id="rId639" Type="http://schemas.openxmlformats.org/officeDocument/2006/relationships/image" Target="media/image564.png"/><Relationship Id="rId640" Type="http://schemas.openxmlformats.org/officeDocument/2006/relationships/image" Target="media/image565.png"/><Relationship Id="rId641" Type="http://schemas.openxmlformats.org/officeDocument/2006/relationships/image" Target="media/image566.png"/><Relationship Id="rId642" Type="http://schemas.openxmlformats.org/officeDocument/2006/relationships/image" Target="media/image567.png"/><Relationship Id="rId643" Type="http://schemas.openxmlformats.org/officeDocument/2006/relationships/image" Target="media/image568.png"/><Relationship Id="rId644" Type="http://schemas.openxmlformats.org/officeDocument/2006/relationships/image" Target="media/image569.png"/><Relationship Id="rId645" Type="http://schemas.openxmlformats.org/officeDocument/2006/relationships/image" Target="media/image570.png"/><Relationship Id="rId646" Type="http://schemas.openxmlformats.org/officeDocument/2006/relationships/image" Target="media/image571.png"/><Relationship Id="rId647" Type="http://schemas.openxmlformats.org/officeDocument/2006/relationships/image" Target="media/image572.png"/><Relationship Id="rId648" Type="http://schemas.openxmlformats.org/officeDocument/2006/relationships/image" Target="media/image573.png"/><Relationship Id="rId649" Type="http://schemas.openxmlformats.org/officeDocument/2006/relationships/image" Target="media/image574.png"/><Relationship Id="rId650" Type="http://schemas.openxmlformats.org/officeDocument/2006/relationships/image" Target="media/image575.png"/><Relationship Id="rId651" Type="http://schemas.openxmlformats.org/officeDocument/2006/relationships/image" Target="media/image576.png"/><Relationship Id="rId652" Type="http://schemas.openxmlformats.org/officeDocument/2006/relationships/image" Target="media/image577.png"/><Relationship Id="rId653" Type="http://schemas.openxmlformats.org/officeDocument/2006/relationships/image" Target="media/image578.png"/><Relationship Id="rId654" Type="http://schemas.openxmlformats.org/officeDocument/2006/relationships/image" Target="media/image579.png"/><Relationship Id="rId655" Type="http://schemas.openxmlformats.org/officeDocument/2006/relationships/image" Target="media/image580.png"/><Relationship Id="rId656" Type="http://schemas.openxmlformats.org/officeDocument/2006/relationships/image" Target="media/image581.png"/><Relationship Id="rId657" Type="http://schemas.openxmlformats.org/officeDocument/2006/relationships/image" Target="media/image582.png"/><Relationship Id="rId658" Type="http://schemas.openxmlformats.org/officeDocument/2006/relationships/image" Target="media/image583.png"/><Relationship Id="rId659" Type="http://schemas.openxmlformats.org/officeDocument/2006/relationships/image" Target="media/image584.png"/><Relationship Id="rId660" Type="http://schemas.openxmlformats.org/officeDocument/2006/relationships/image" Target="media/image585.png"/><Relationship Id="rId661" Type="http://schemas.openxmlformats.org/officeDocument/2006/relationships/image" Target="media/image586.png"/><Relationship Id="rId662" Type="http://schemas.openxmlformats.org/officeDocument/2006/relationships/image" Target="media/image587.png"/><Relationship Id="rId663" Type="http://schemas.openxmlformats.org/officeDocument/2006/relationships/image" Target="media/image588.png"/><Relationship Id="rId664" Type="http://schemas.openxmlformats.org/officeDocument/2006/relationships/image" Target="media/image589.png"/><Relationship Id="rId665" Type="http://schemas.openxmlformats.org/officeDocument/2006/relationships/image" Target="media/image590.png"/><Relationship Id="rId666" Type="http://schemas.openxmlformats.org/officeDocument/2006/relationships/image" Target="media/image591.png"/><Relationship Id="rId667" Type="http://schemas.openxmlformats.org/officeDocument/2006/relationships/image" Target="media/image592.png"/><Relationship Id="rId668" Type="http://schemas.openxmlformats.org/officeDocument/2006/relationships/image" Target="media/image593.png"/><Relationship Id="rId669" Type="http://schemas.openxmlformats.org/officeDocument/2006/relationships/image" Target="media/image594.png"/><Relationship Id="rId670" Type="http://schemas.openxmlformats.org/officeDocument/2006/relationships/image" Target="media/image595.png"/><Relationship Id="rId671" Type="http://schemas.openxmlformats.org/officeDocument/2006/relationships/image" Target="media/image596.png"/><Relationship Id="rId672" Type="http://schemas.openxmlformats.org/officeDocument/2006/relationships/image" Target="media/image597.png"/><Relationship Id="rId673" Type="http://schemas.openxmlformats.org/officeDocument/2006/relationships/image" Target="media/image598.png"/><Relationship Id="rId674" Type="http://schemas.openxmlformats.org/officeDocument/2006/relationships/image" Target="media/image599.png"/><Relationship Id="rId675" Type="http://schemas.openxmlformats.org/officeDocument/2006/relationships/image" Target="media/image600.png"/><Relationship Id="rId676" Type="http://schemas.openxmlformats.org/officeDocument/2006/relationships/image" Target="media/image601.png"/><Relationship Id="rId677" Type="http://schemas.openxmlformats.org/officeDocument/2006/relationships/image" Target="media/image602.png"/><Relationship Id="rId678" Type="http://schemas.openxmlformats.org/officeDocument/2006/relationships/image" Target="media/image603.png"/><Relationship Id="rId679" Type="http://schemas.openxmlformats.org/officeDocument/2006/relationships/image" Target="media/image604.png"/><Relationship Id="rId680" Type="http://schemas.openxmlformats.org/officeDocument/2006/relationships/image" Target="media/image605.png"/><Relationship Id="rId681" Type="http://schemas.openxmlformats.org/officeDocument/2006/relationships/image" Target="media/image606.png"/><Relationship Id="rId682" Type="http://schemas.openxmlformats.org/officeDocument/2006/relationships/image" Target="media/image607.png"/><Relationship Id="rId683" Type="http://schemas.openxmlformats.org/officeDocument/2006/relationships/image" Target="media/image608.png"/><Relationship Id="rId684" Type="http://schemas.openxmlformats.org/officeDocument/2006/relationships/image" Target="media/image609.png"/><Relationship Id="rId685" Type="http://schemas.openxmlformats.org/officeDocument/2006/relationships/image" Target="media/image610.png"/><Relationship Id="rId686" Type="http://schemas.openxmlformats.org/officeDocument/2006/relationships/image" Target="media/image611.png"/><Relationship Id="rId687" Type="http://schemas.openxmlformats.org/officeDocument/2006/relationships/image" Target="media/image612.png"/><Relationship Id="rId688" Type="http://schemas.openxmlformats.org/officeDocument/2006/relationships/image" Target="media/image613.png"/><Relationship Id="rId689" Type="http://schemas.openxmlformats.org/officeDocument/2006/relationships/image" Target="media/image614.png"/><Relationship Id="rId690" Type="http://schemas.openxmlformats.org/officeDocument/2006/relationships/image" Target="media/image615.png"/><Relationship Id="rId691" Type="http://schemas.openxmlformats.org/officeDocument/2006/relationships/image" Target="media/image616.png"/><Relationship Id="rId692" Type="http://schemas.openxmlformats.org/officeDocument/2006/relationships/image" Target="media/image617.png"/><Relationship Id="rId693" Type="http://schemas.openxmlformats.org/officeDocument/2006/relationships/image" Target="media/image618.png"/><Relationship Id="rId694" Type="http://schemas.openxmlformats.org/officeDocument/2006/relationships/image" Target="media/image619.png"/><Relationship Id="rId695" Type="http://schemas.openxmlformats.org/officeDocument/2006/relationships/image" Target="media/image620.png"/><Relationship Id="rId696" Type="http://schemas.openxmlformats.org/officeDocument/2006/relationships/image" Target="media/image621.png"/><Relationship Id="rId697" Type="http://schemas.openxmlformats.org/officeDocument/2006/relationships/image" Target="media/image622.png"/><Relationship Id="rId698" Type="http://schemas.openxmlformats.org/officeDocument/2006/relationships/image" Target="media/image623.png"/><Relationship Id="rId699" Type="http://schemas.openxmlformats.org/officeDocument/2006/relationships/image" Target="media/image624.png"/><Relationship Id="rId700" Type="http://schemas.openxmlformats.org/officeDocument/2006/relationships/image" Target="media/image625.png"/><Relationship Id="rId701" Type="http://schemas.openxmlformats.org/officeDocument/2006/relationships/image" Target="media/image626.png"/><Relationship Id="rId702" Type="http://schemas.openxmlformats.org/officeDocument/2006/relationships/image" Target="media/image627.png"/><Relationship Id="rId703" Type="http://schemas.openxmlformats.org/officeDocument/2006/relationships/image" Target="media/image628.png"/><Relationship Id="rId704" Type="http://schemas.openxmlformats.org/officeDocument/2006/relationships/image" Target="media/image629.png"/><Relationship Id="rId705" Type="http://schemas.openxmlformats.org/officeDocument/2006/relationships/image" Target="media/image630.png"/><Relationship Id="rId706" Type="http://schemas.openxmlformats.org/officeDocument/2006/relationships/image" Target="media/image631.png"/><Relationship Id="rId707" Type="http://schemas.openxmlformats.org/officeDocument/2006/relationships/image" Target="media/image632.png"/><Relationship Id="rId708" Type="http://schemas.openxmlformats.org/officeDocument/2006/relationships/image" Target="media/image633.png"/><Relationship Id="rId709" Type="http://schemas.openxmlformats.org/officeDocument/2006/relationships/image" Target="media/image634.png"/><Relationship Id="rId710" Type="http://schemas.openxmlformats.org/officeDocument/2006/relationships/image" Target="media/image635.png"/><Relationship Id="rId711" Type="http://schemas.openxmlformats.org/officeDocument/2006/relationships/image" Target="media/image636.png"/><Relationship Id="rId712" Type="http://schemas.openxmlformats.org/officeDocument/2006/relationships/image" Target="media/image637.png"/><Relationship Id="rId713" Type="http://schemas.openxmlformats.org/officeDocument/2006/relationships/image" Target="media/image638.png"/><Relationship Id="rId714" Type="http://schemas.openxmlformats.org/officeDocument/2006/relationships/image" Target="media/image639.png"/><Relationship Id="rId715" Type="http://schemas.openxmlformats.org/officeDocument/2006/relationships/image" Target="media/image640.png"/><Relationship Id="rId716" Type="http://schemas.openxmlformats.org/officeDocument/2006/relationships/image" Target="media/image641.png"/><Relationship Id="rId717" Type="http://schemas.openxmlformats.org/officeDocument/2006/relationships/image" Target="media/image642.png"/><Relationship Id="rId718" Type="http://schemas.openxmlformats.org/officeDocument/2006/relationships/image" Target="media/image643.png"/><Relationship Id="rId719" Type="http://schemas.openxmlformats.org/officeDocument/2006/relationships/image" Target="media/image644.png"/><Relationship Id="rId720" Type="http://schemas.openxmlformats.org/officeDocument/2006/relationships/image" Target="media/image645.png"/><Relationship Id="rId721" Type="http://schemas.openxmlformats.org/officeDocument/2006/relationships/image" Target="media/image646.png"/><Relationship Id="rId722" Type="http://schemas.openxmlformats.org/officeDocument/2006/relationships/image" Target="media/image647.png"/><Relationship Id="rId723" Type="http://schemas.openxmlformats.org/officeDocument/2006/relationships/image" Target="media/image648.png"/><Relationship Id="rId724" Type="http://schemas.openxmlformats.org/officeDocument/2006/relationships/image" Target="media/image649.png"/><Relationship Id="rId725" Type="http://schemas.openxmlformats.org/officeDocument/2006/relationships/image" Target="media/image650.png"/><Relationship Id="rId726" Type="http://schemas.openxmlformats.org/officeDocument/2006/relationships/image" Target="media/image651.png"/><Relationship Id="rId727" Type="http://schemas.openxmlformats.org/officeDocument/2006/relationships/image" Target="media/image652.png"/><Relationship Id="rId728" Type="http://schemas.openxmlformats.org/officeDocument/2006/relationships/image" Target="media/image653.png"/><Relationship Id="rId729" Type="http://schemas.openxmlformats.org/officeDocument/2006/relationships/image" Target="media/image654.png"/><Relationship Id="rId730" Type="http://schemas.openxmlformats.org/officeDocument/2006/relationships/image" Target="media/image655.png"/><Relationship Id="rId731" Type="http://schemas.openxmlformats.org/officeDocument/2006/relationships/image" Target="media/image656.png"/><Relationship Id="rId732" Type="http://schemas.openxmlformats.org/officeDocument/2006/relationships/image" Target="media/image657.png"/><Relationship Id="rId733" Type="http://schemas.openxmlformats.org/officeDocument/2006/relationships/image" Target="media/image658.png"/><Relationship Id="rId734" Type="http://schemas.openxmlformats.org/officeDocument/2006/relationships/image" Target="media/image659.png"/><Relationship Id="rId735" Type="http://schemas.openxmlformats.org/officeDocument/2006/relationships/image" Target="media/image660.png"/><Relationship Id="rId736" Type="http://schemas.openxmlformats.org/officeDocument/2006/relationships/image" Target="media/image661.png"/><Relationship Id="rId737" Type="http://schemas.openxmlformats.org/officeDocument/2006/relationships/image" Target="media/image662.png"/><Relationship Id="rId738" Type="http://schemas.openxmlformats.org/officeDocument/2006/relationships/image" Target="media/image663.png"/><Relationship Id="rId739" Type="http://schemas.openxmlformats.org/officeDocument/2006/relationships/image" Target="media/image664.png"/><Relationship Id="rId740" Type="http://schemas.openxmlformats.org/officeDocument/2006/relationships/image" Target="media/image665.png"/><Relationship Id="rId741" Type="http://schemas.openxmlformats.org/officeDocument/2006/relationships/image" Target="media/image666.png"/><Relationship Id="rId742" Type="http://schemas.openxmlformats.org/officeDocument/2006/relationships/image" Target="media/image667.png"/><Relationship Id="rId743" Type="http://schemas.openxmlformats.org/officeDocument/2006/relationships/image" Target="media/image668.png"/><Relationship Id="rId744" Type="http://schemas.openxmlformats.org/officeDocument/2006/relationships/image" Target="media/image669.png"/><Relationship Id="rId745" Type="http://schemas.openxmlformats.org/officeDocument/2006/relationships/image" Target="media/image670.png"/><Relationship Id="rId746" Type="http://schemas.openxmlformats.org/officeDocument/2006/relationships/image" Target="media/image671.png"/><Relationship Id="rId747" Type="http://schemas.openxmlformats.org/officeDocument/2006/relationships/image" Target="media/image672.png"/><Relationship Id="rId748" Type="http://schemas.openxmlformats.org/officeDocument/2006/relationships/image" Target="media/image673.png"/><Relationship Id="rId749" Type="http://schemas.openxmlformats.org/officeDocument/2006/relationships/image" Target="media/image674.png"/><Relationship Id="rId750" Type="http://schemas.openxmlformats.org/officeDocument/2006/relationships/image" Target="media/image675.png"/><Relationship Id="rId751" Type="http://schemas.openxmlformats.org/officeDocument/2006/relationships/image" Target="media/image676.png"/><Relationship Id="rId752" Type="http://schemas.openxmlformats.org/officeDocument/2006/relationships/image" Target="media/image677.png"/><Relationship Id="rId753" Type="http://schemas.openxmlformats.org/officeDocument/2006/relationships/image" Target="media/image678.png"/><Relationship Id="rId754" Type="http://schemas.openxmlformats.org/officeDocument/2006/relationships/image" Target="media/image679.png"/><Relationship Id="rId755" Type="http://schemas.openxmlformats.org/officeDocument/2006/relationships/image" Target="media/image680.png"/><Relationship Id="rId756" Type="http://schemas.openxmlformats.org/officeDocument/2006/relationships/image" Target="media/image681.png"/><Relationship Id="rId757" Type="http://schemas.openxmlformats.org/officeDocument/2006/relationships/image" Target="media/image682.png"/><Relationship Id="rId758" Type="http://schemas.openxmlformats.org/officeDocument/2006/relationships/image" Target="media/image683.png"/><Relationship Id="rId759" Type="http://schemas.openxmlformats.org/officeDocument/2006/relationships/image" Target="media/image684.png"/><Relationship Id="rId760" Type="http://schemas.openxmlformats.org/officeDocument/2006/relationships/image" Target="media/image685.png"/><Relationship Id="rId761" Type="http://schemas.openxmlformats.org/officeDocument/2006/relationships/image" Target="media/image686.png"/><Relationship Id="rId762" Type="http://schemas.openxmlformats.org/officeDocument/2006/relationships/image" Target="media/image687.png"/><Relationship Id="rId763" Type="http://schemas.openxmlformats.org/officeDocument/2006/relationships/image" Target="media/image688.png"/><Relationship Id="rId764" Type="http://schemas.openxmlformats.org/officeDocument/2006/relationships/image" Target="media/image689.png"/><Relationship Id="rId765" Type="http://schemas.openxmlformats.org/officeDocument/2006/relationships/image" Target="media/image690.png"/><Relationship Id="rId766" Type="http://schemas.openxmlformats.org/officeDocument/2006/relationships/image" Target="media/image691.png"/><Relationship Id="rId767" Type="http://schemas.openxmlformats.org/officeDocument/2006/relationships/image" Target="media/image692.png"/><Relationship Id="rId768" Type="http://schemas.openxmlformats.org/officeDocument/2006/relationships/image" Target="media/image693.png"/><Relationship Id="rId769" Type="http://schemas.openxmlformats.org/officeDocument/2006/relationships/image" Target="media/image694.png"/><Relationship Id="rId770" Type="http://schemas.openxmlformats.org/officeDocument/2006/relationships/image" Target="media/image695.png"/><Relationship Id="rId181" Type="http://schemas.openxmlformats.org/officeDocument/2006/relationships/hyperlink" Target="https://www.sec.gov/Archives/edgar/data/275880/000119312519144517/d730409dex31.htm" TargetMode="External"/><Relationship Id="rId182" Type="http://schemas.openxmlformats.org/officeDocument/2006/relationships/hyperlink" Target="https://www.sec.gov/Archives/edgar/data/275880/000119312519144517/d730409dex32.htm" TargetMode="External"/><Relationship Id="rId183" Type="http://schemas.openxmlformats.org/officeDocument/2006/relationships/hyperlink" Target="https://www.sec.gov/Archives/edgar/data/275880/000119312523012070/d415393dex31.htm" TargetMode="External"/><Relationship Id="rId184" Type="http://schemas.openxmlformats.org/officeDocument/2006/relationships/hyperlink" Target="https://www.sec.gov/Archives/edgar/data/275880/000156459020009791/psn-ex41_813.htm" TargetMode="External"/><Relationship Id="rId185" Type="http://schemas.openxmlformats.org/officeDocument/2006/relationships/hyperlink" Target="https://www.sec.gov/Archives/edgar/data/275880/000119312520225229/d51070dex41.htm" TargetMode="External"/><Relationship Id="rId186" Type="http://schemas.openxmlformats.org/officeDocument/2006/relationships/hyperlink" Target="https://www.sec.gov/Archives/edgar/data/275880/000119312519105051/d625480dex101.htm" TargetMode="External"/><Relationship Id="rId187" Type="http://schemas.openxmlformats.org/officeDocument/2006/relationships/hyperlink" Target="https://www.sec.gov/Archives/edgar/data/275880/000119312519123626/d625480dex102.htm" TargetMode="External"/><Relationship Id="rId188" Type="http://schemas.openxmlformats.org/officeDocument/2006/relationships/hyperlink" Target="https://www.sec.gov/Archives/edgar/data/275880/000156459021007800/psn-ex103_1470.htm" TargetMode="External"/><Relationship Id="rId189" Type="http://schemas.openxmlformats.org/officeDocument/2006/relationships/hyperlink" Target="https://www.sec.gov/Archives/edgar/data/275880/000156459020009791/psn-ex103_702.htm" TargetMode="External"/><Relationship Id="rId190" Type="http://schemas.openxmlformats.org/officeDocument/2006/relationships/hyperlink" Target="https://www.sec.gov/Archives/edgar/data/275880/000119312519105051/d625480dex103.htm" TargetMode="External"/><Relationship Id="rId191" Type="http://schemas.openxmlformats.org/officeDocument/2006/relationships/hyperlink" Target="https://www.sec.gov/Archives/edgar/data/275880/000119312519105051/d625480dex104.htm" TargetMode="External"/><Relationship Id="rId192" Type="http://schemas.openxmlformats.org/officeDocument/2006/relationships/hyperlink" Target="https://www.sec.gov/Archives/edgar/data/275880/000119312519105051/d625480dex105.htm" TargetMode="External"/><Relationship Id="rId193" Type="http://schemas.openxmlformats.org/officeDocument/2006/relationships/hyperlink" Target="https://www.sec.gov/Archives/edgar/data/275880/000156459021007800/psn-ex108_1472.htm" TargetMode="External"/><Relationship Id="rId194" Type="http://schemas.openxmlformats.org/officeDocument/2006/relationships/hyperlink" Target="https://www.sec.gov/Archives/edgar/data/275880/000156459021007800/psn-ex109_1471.htm" TargetMode="External"/><Relationship Id="rId195" Type="http://schemas.openxmlformats.org/officeDocument/2006/relationships/hyperlink" Target="https://www.sec.gov/Archives/edgar/data/275880/000156459022006026/psn-ex1010_1101.htm" TargetMode="External"/><Relationship Id="rId196" Type="http://schemas.openxmlformats.org/officeDocument/2006/relationships/hyperlink" Target="https://www.sec.gov/Archives/edgar/data/275880/000119312519105051/d625480dex107.htm" TargetMode="External"/><Relationship Id="rId197" Type="http://schemas.openxmlformats.org/officeDocument/2006/relationships/hyperlink" Target="https://www.sec.gov/Archives/edgar/data/275880/000119312519105051/d625480dex108.htm" TargetMode="External"/><Relationship Id="rId198" Type="http://schemas.openxmlformats.org/officeDocument/2006/relationships/hyperlink" Target="https://www.sec.gov/Archives/edgar/data/275880/000119312519105051/d625480dex109.htm" TargetMode="External"/><Relationship Id="rId199" Type="http://schemas.openxmlformats.org/officeDocument/2006/relationships/hyperlink" Target="https://www.sec.gov/Archives/edgar/data/275880/000119312519123626/d625480dex1010.htm" TargetMode="External"/><Relationship Id="rId200" Type="http://schemas.openxmlformats.org/officeDocument/2006/relationships/hyperlink" Target="https://www.sec.gov/Archives/edgar/data/275880/000156459020009791/psn-ex1012_572.htm" TargetMode="External"/><Relationship Id="rId201" Type="http://schemas.openxmlformats.org/officeDocument/2006/relationships/hyperlink" Target="https://www.sec.gov/Archives/edgar/data/275880/000156459021007800/psn-ex1015_1473.htm" TargetMode="External"/><Relationship Id="rId202" Type="http://schemas.openxmlformats.org/officeDocument/2006/relationships/hyperlink" Target="https://www.sec.gov/Archives/edgar/data/275880/000156459020009791/psn-ex1014_571.htm" TargetMode="External"/><Relationship Id="rId203" Type="http://schemas.openxmlformats.org/officeDocument/2006/relationships/hyperlink" Target="https://www.sec.gov/Archives/edgar/data/275880/000156459020009791/psn-ex1015_570.htm" TargetMode="External"/><Relationship Id="rId204" Type="http://schemas.openxmlformats.org/officeDocument/2006/relationships/hyperlink" Target="https://www.sec.gov/Archives/edgar/data/275880/000156459020009791/psn-ex1017_568.htm" TargetMode="External"/><Relationship Id="rId205" Type="http://schemas.openxmlformats.org/officeDocument/2006/relationships/hyperlink" Target="https://www.sec.gov/Archives/edgar/data/275880/000156459021007800/psn-ex1019_2198.htm" TargetMode="External"/><Relationship Id="rId206" Type="http://schemas.openxmlformats.org/officeDocument/2006/relationships/hyperlink" Target="https://www.sec.gov/Archives/edgar/data/275880/000119312519123626/d625480dex1028.htm" TargetMode="External"/><Relationship Id="rId207" Type="http://schemas.openxmlformats.org/officeDocument/2006/relationships/hyperlink" Target="https://www.sec.gov/Archives/edgar/data/275880/000156459020009791/psn-ex1019_567.htm" TargetMode="External"/><Relationship Id="rId208" Type="http://schemas.openxmlformats.org/officeDocument/2006/relationships/hyperlink" Target="https://www.sec.gov/Archives/edgar/data/275880/000156459022006026/psn-ex1023_1100.htm" TargetMode="External"/><Relationship Id="rId209" Type="http://schemas.openxmlformats.org/officeDocument/2006/relationships/hyperlink" Target="https://www.sec.gov/Archives/edgar/data/275880/000156459021007800/psn-ex1022_1474.htm" TargetMode="External"/><Relationship Id="rId210" Type="http://schemas.openxmlformats.org/officeDocument/2006/relationships/hyperlink" Target="https://www.sec.gov/Archives/edgar/data/275880/000156459021007800/psn-ex1023_1475.htm" TargetMode="External"/><Relationship Id="rId213" Type="http://schemas.openxmlformats.org/officeDocument/2006/relationships/hyperlink" Target="https://www.sec.gov/Archives/edgar/data/275880/000156459022006026/psn-ex1028_1095.htm" TargetMode="External"/><Relationship Id="rId215" Type="http://schemas.openxmlformats.org/officeDocument/2006/relationships/hyperlink" Target="https://www.sec.gov/Archives/edgar/data/275880/000156459022006026/psn-ex1029_1094.htm" TargetMode="External"/><Relationship Id="rId218" Type="http://schemas.openxmlformats.org/officeDocument/2006/relationships/hyperlink" Target="https://www.sec.gov/Archives/edgar/data/275880/000156459022006026/psn-ex1030_1093.htm" TargetMode="External"/><Relationship Id="rId220" Type="http://schemas.openxmlformats.org/officeDocument/2006/relationships/hyperlink" Target="https://www.sec.gov/Archives/edgar/data/275880/000156459022006026/psn-ex1031_1092.htm" TargetMode="External"/><Relationship Id="rId222" Type="http://schemas.openxmlformats.org/officeDocument/2006/relationships/hyperlink" Target="https://www.sec.gov/Archives/edgar/data/275880/000156459022006026/psn-ex1032_1097.htm" TargetMode="External"/><Relationship Id="rId224" Type="http://schemas.openxmlformats.org/officeDocument/2006/relationships/hyperlink" Target="https://www.sec.gov/Archives/edgar/data/275880/000156459022006026/psn-ex1033_1096.htm" TargetMode="External"/><Relationship Id="rId226" Type="http://schemas.openxmlformats.org/officeDocument/2006/relationships/hyperlink" Target="https://www.sec.gov/Archives/edgar/data/275880/000156459021007800/psn-ex1028_1385.htm" TargetMode="External"/><Relationship Id="rId229" Type="http://schemas.openxmlformats.org/officeDocument/2006/relationships/hyperlink" Target="https://www.sec.gov/Archives/edgar/data/275880/000156459021007800/psn-ex1029_1478.htm" TargetMode="External"/><Relationship Id="rId232" Type="http://schemas.openxmlformats.org/officeDocument/2006/relationships/hyperlink" Target="https://www.sec.gov/Archives/edgar/data/275880/000156459021007800/psn-ex1030_1479.htm" TargetMode="External"/><Relationship Id="rId235" Type="http://schemas.openxmlformats.org/officeDocument/2006/relationships/hyperlink" Target="https://www.sec.gov/Archives/edgar/data/275880/000156459021007800/psn-ex1031_1476.htm" TargetMode="External"/><Relationship Id="rId238" Type="http://schemas.openxmlformats.org/officeDocument/2006/relationships/hyperlink" Target="https://www.sec.gov/Archives/edgar/data/275880/000156459021007800/psn-ex1032_1477.htm" TargetMode="External"/><Relationship Id="rId241" Type="http://schemas.openxmlformats.org/officeDocument/2006/relationships/hyperlink" Target="https://www.sec.gov/Archives/edgar/data/275880/000156459022006026/psn-ex1039_478.htm" TargetMode="External"/><Relationship Id="rId244" Type="http://schemas.openxmlformats.org/officeDocument/2006/relationships/hyperlink" Target="https://www.sec.gov/Archives/edgar/data/275880/000156459022006026/psn-ex1040_477.htm" TargetMode="External"/><Relationship Id="rId247" Type="http://schemas.openxmlformats.org/officeDocument/2006/relationships/hyperlink" Target="https://www.sec.gov/Archives/edgar/data/275880/000156459022006026/psn-ex1041_476.htm" TargetMode="External"/><Relationship Id="rId250" Type="http://schemas.openxmlformats.org/officeDocument/2006/relationships/hyperlink" Target="https://www.sec.gov/Archives/edgar/data/275880/000156459022006026/psn-ex1042_475.htm" TargetMode="External"/><Relationship Id="rId253" Type="http://schemas.openxmlformats.org/officeDocument/2006/relationships/hyperlink" Target="https://www.sec.gov/Archives/edgar/data/275880/000156459022006026/psn-ex1043_474.htm" TargetMode="External"/><Relationship Id="rId256" Type="http://schemas.openxmlformats.org/officeDocument/2006/relationships/hyperlink" Target="https://www.sec.gov/Archives/edgar/data/275880/000156459022006026/psn-ex1044_473.htm" TargetMode="External"/><Relationship Id="rId259" Type="http://schemas.openxmlformats.org/officeDocument/2006/relationships/hyperlink" Target="https://www.sec.gov/Archives/edgar/data/275880/000156459022006026/psn-ex1045_472.htm" TargetMode="External"/><Relationship Id="rId262" Type="http://schemas.openxmlformats.org/officeDocument/2006/relationships/hyperlink" Target="https://www.sec.gov/Archives/edgar/data/275880/000156459022006026/psn-ex1046_471.htm" TargetMode="External"/><Relationship Id="rId265" Type="http://schemas.openxmlformats.org/officeDocument/2006/relationships/hyperlink" Target="https://www.sec.gov/Archives/edgar/data/275880/000156459022006026/psn-ex1047_1090.htm" TargetMode="External"/><Relationship Id="rId268" Type="http://schemas.openxmlformats.org/officeDocument/2006/relationships/hyperlink" Target="https://www.sec.gov/Archives/edgar/data/275880/000156459022006026/psn-ex1048_1091.htm" TargetMode="External"/><Relationship Id="rId271" Type="http://schemas.openxmlformats.org/officeDocument/2006/relationships/hyperlink" Target="https://www.sec.gov/Archives/edgar/data/275880/000119312519105051/d625480dex1021.htm" TargetMode="External"/><Relationship Id="rId277" Type="http://schemas.openxmlformats.org/officeDocument/2006/relationships/hyperlink" Target="https://www.sec.gov/Archives/edgar/data/275880/000119312519105051/d625480dex1022.htm" TargetMode="External"/><Relationship Id="rId281" Type="http://schemas.openxmlformats.org/officeDocument/2006/relationships/hyperlink" Target="https://www.sec.gov/Archives/edgar/data/0000275880/000156459021034854/psn-ex991_17.htm" TargetMode="External"/><Relationship Id="rId282" Type="http://schemas.openxmlformats.org/officeDocument/2006/relationships/hyperlink" Target="https://www.sec.gov/Archives/edgar/data/275880/000119312519105051/d625480dex1023.htm" TargetMode="External"/><Relationship Id="rId283" Type="http://schemas.openxmlformats.org/officeDocument/2006/relationships/hyperlink" Target="https://www.sec.gov/Archives/edgar/data/275880/000156459021007800/psn-ex1039_1753.htm" TargetMode="External"/><Relationship Id="rId284" Type="http://schemas.openxmlformats.org/officeDocument/2006/relationships/hyperlink" Target="https://www.sec.gov/Archives/edgar/data/275880/000119312519123626/d625480dex1026.htm" TargetMode="External"/><Relationship Id="rId285" Type="http://schemas.openxmlformats.org/officeDocument/2006/relationships/hyperlink" Target="https://www.sec.gov/Archives/edgar/data/275880/000156459021007800/psn-ex1041_1480.htm" TargetMode="External"/><Relationship Id="rId286" Type="http://schemas.openxmlformats.org/officeDocument/2006/relationships/hyperlink" Target="https://www.sec.gov/Archives/edgar/data/275880/000156459021007800/psn-ex1042_2855.htm" TargetMode="External"/><Relationship Id="rId287" Type="http://schemas.openxmlformats.org/officeDocument/2006/relationships/hyperlink" Target="https://www.sec.gov/Archives/edgar/data/275880/000156459022006026/psn-ex1060_1089.htm" TargetMode="External"/><Relationship Id="rId288" Type="http://schemas.openxmlformats.org/officeDocument/2006/relationships/hyperlink" Target="https://www.sec.gov/Archives/edgar/data/275880/000119312519123626/d625480dex1017.htm" TargetMode="External"/><Relationship Id="rId289" Type="http://schemas.openxmlformats.org/officeDocument/2006/relationships/hyperlink" Target="https://www.sec.gov/Archives/edgar/data/275880/000156459022006026/psn-ex1062_1088.htm" TargetMode="External"/><Relationship Id="rId290" Type="http://schemas.openxmlformats.org/officeDocument/2006/relationships/hyperlink" Target="https://www.sec.gov/ix?doc=/Archives/edgar/data/0000275880/000156459022031876/psn-8k_20220914.htm" TargetMode="External"/><Relationship Id="rId291" Type="http://schemas.openxmlformats.org/officeDocument/2006/relationships/hyperlink" Target="https://www.sec.gov/Archives/edgar/data/275880/000156459023002040/psn-ex1065_472.htm" TargetMode="External"/><Relationship Id="rId292" Type="http://schemas.openxmlformats.org/officeDocument/2006/relationships/hyperlink" Target="https://www.sec.gov/Archives/edgar/data/275880/000156459022017655/psn-ex101_148.htm" TargetMode="External"/><Relationship Id="rId293" Type="http://schemas.openxmlformats.org/officeDocument/2006/relationships/hyperlink" Target="https://www.sec.gov/Archives/edgar/data/275880/000156459023002040/psn-ex1067_761.htm" TargetMode="External"/><Relationship Id="rId294" Type="http://schemas.openxmlformats.org/officeDocument/2006/relationships/hyperlink" Target="https://www.sec.gov/Archives/edgar/data/275880/000095017023057104/psn-ex19_1.htm" TargetMode="External"/><Relationship Id="rId295" Type="http://schemas.openxmlformats.org/officeDocument/2006/relationships/hyperlink" Target="https://www.sec.gov/Archives/edgar/data/275880/000095017023057104/psn-ex1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2024-02-14T05:43:51Z</dcterms:created>
  <dcterms:modified xsi:type="dcterms:W3CDTF">2024-02-14T05:43:51Z</dcterms:modified>
</cp:coreProperties>
</file>