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3" w:lineRule="exact"/>
        <w:rPr>
          <w:sz w:val="24"/>
          <w:szCs w:val="24"/>
          <w:color w:val="auto"/>
        </w:rPr>
      </w:pPr>
    </w:p>
    <w:p>
      <w:pPr>
        <w:ind w:left="1860" w:hanging="788"/>
        <w:spacing w:after="0"/>
        <w:tabs>
          <w:tab w:leader="none" w:pos="18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2022</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86" w:lineRule="exact"/>
        <w:rPr>
          <w:sz w:val="24"/>
          <w:szCs w:val="24"/>
          <w:color w:val="auto"/>
        </w:rPr>
      </w:pPr>
    </w:p>
    <w:p>
      <w:pPr>
        <w:ind w:left="1860" w:hanging="787"/>
        <w:spacing w:after="0"/>
        <w:tabs>
          <w:tab w:leader="none" w:pos="18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81" w:lineRule="exact"/>
        <w:rPr>
          <w:sz w:val="24"/>
          <w:szCs w:val="24"/>
          <w:color w:val="auto"/>
        </w:rPr>
      </w:pPr>
    </w:p>
    <w:p>
      <w:pPr>
        <w:jc w:val="center"/>
        <w:spacing w:after="0"/>
        <w:tabs>
          <w:tab w:leader="none" w:pos="220" w:val="left"/>
        </w:tabs>
        <w:rPr>
          <w:sz w:val="20"/>
          <w:szCs w:val="20"/>
          <w:color w:val="auto"/>
        </w:rPr>
      </w:pPr>
      <w:r>
        <w:rPr>
          <w:rFonts w:ascii="Arial" w:cs="Arial" w:eastAsia="Arial" w:hAnsi="Arial"/>
          <w:sz w:val="18"/>
          <w:szCs w:val="18"/>
          <w:b w:val="1"/>
          <w:bCs w:val="1"/>
          <w:color w:val="auto"/>
        </w:rPr>
        <w:t>For the transition period from</w:t>
        <w:tab/>
        <w:t>to</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001-07782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77470</wp:posOffset>
            </wp:positionV>
            <wp:extent cx="2520315" cy="574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0315"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Parsons Corporation</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0" w:lineRule="exact"/>
        <w:rPr>
          <w:sz w:val="24"/>
          <w:szCs w:val="24"/>
          <w:color w:val="auto"/>
        </w:rPr>
      </w:pPr>
    </w:p>
    <w:tbl>
      <w:tblPr>
        <w:tblLayout w:type="fixed"/>
        <w:tblInd w:w="1480" w:type="dxa"/>
        <w:tblCellMar>
          <w:top w:w="0" w:type="dxa"/>
          <w:left w:w="0" w:type="dxa"/>
          <w:bottom w:w="0" w:type="dxa"/>
          <w:right w:w="0" w:type="dxa"/>
        </w:tblCellMar>
      </w:tblPr>
      <w:tr>
        <w:trPr>
          <w:trHeight w:val="212"/>
        </w:trPr>
        <w:tc>
          <w:tcPr>
            <w:tcW w:w="4520" w:type="dxa"/>
            <w:vAlign w:val="bottom"/>
          </w:tcPr>
          <w:p>
            <w:pPr>
              <w:jc w:val="center"/>
              <w:ind w:right="1759"/>
              <w:spacing w:after="0"/>
              <w:rPr>
                <w:sz w:val="20"/>
                <w:szCs w:val="20"/>
                <w:color w:val="auto"/>
              </w:rPr>
            </w:pPr>
            <w:r>
              <w:rPr>
                <w:rFonts w:ascii="Arial" w:cs="Arial" w:eastAsia="Arial" w:hAnsi="Arial"/>
                <w:sz w:val="18"/>
                <w:szCs w:val="18"/>
                <w:b w:val="1"/>
                <w:bCs w:val="1"/>
                <w:color w:val="auto"/>
              </w:rPr>
              <w:t>Delaware</w:t>
            </w:r>
          </w:p>
        </w:tc>
        <w:tc>
          <w:tcPr>
            <w:tcW w:w="3040" w:type="dxa"/>
            <w:vAlign w:val="bottom"/>
          </w:tcPr>
          <w:p>
            <w:pPr>
              <w:jc w:val="right"/>
              <w:ind w:right="41"/>
              <w:spacing w:after="0"/>
              <w:rPr>
                <w:sz w:val="20"/>
                <w:szCs w:val="20"/>
                <w:color w:val="auto"/>
              </w:rPr>
            </w:pPr>
            <w:r>
              <w:rPr>
                <w:rFonts w:ascii="Arial" w:cs="Arial" w:eastAsia="Arial" w:hAnsi="Arial"/>
                <w:sz w:val="18"/>
                <w:szCs w:val="18"/>
                <w:b w:val="1"/>
                <w:bCs w:val="1"/>
                <w:color w:val="auto"/>
              </w:rPr>
              <w:t>95-3232481</w:t>
            </w:r>
          </w:p>
        </w:tc>
      </w:tr>
      <w:tr>
        <w:trPr>
          <w:trHeight w:val="162"/>
        </w:trPr>
        <w:tc>
          <w:tcPr>
            <w:tcW w:w="4520" w:type="dxa"/>
            <w:vAlign w:val="bottom"/>
          </w:tcPr>
          <w:p>
            <w:pPr>
              <w:jc w:val="center"/>
              <w:ind w:right="1779"/>
              <w:spacing w:after="0"/>
              <w:rPr>
                <w:sz w:val="20"/>
                <w:szCs w:val="20"/>
                <w:color w:val="auto"/>
              </w:rPr>
            </w:pPr>
            <w:r>
              <w:rPr>
                <w:rFonts w:ascii="Arial" w:cs="Arial" w:eastAsia="Arial" w:hAnsi="Arial"/>
                <w:sz w:val="14"/>
                <w:szCs w:val="14"/>
                <w:b w:val="1"/>
                <w:bCs w:val="1"/>
                <w:color w:val="auto"/>
              </w:rPr>
              <w:t>(State or other jurisdiction of</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520" w:type="dxa"/>
            <w:vAlign w:val="bottom"/>
          </w:tcPr>
          <w:p>
            <w:pPr>
              <w:jc w:val="center"/>
              <w:ind w:right="1779"/>
              <w:spacing w:after="0"/>
              <w:rPr>
                <w:sz w:val="20"/>
                <w:szCs w:val="20"/>
                <w:color w:val="auto"/>
              </w:rPr>
            </w:pPr>
            <w:r>
              <w:rPr>
                <w:rFonts w:ascii="Arial" w:cs="Arial" w:eastAsia="Arial" w:hAnsi="Arial"/>
                <w:sz w:val="14"/>
                <w:szCs w:val="14"/>
                <w:b w:val="1"/>
                <w:bCs w:val="1"/>
                <w:color w:val="auto"/>
              </w:rPr>
              <w:t>incorporation or organization)</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Identification No.)</w:t>
            </w:r>
          </w:p>
        </w:tc>
      </w:tr>
      <w:tr>
        <w:trPr>
          <w:trHeight w:val="280"/>
        </w:trPr>
        <w:tc>
          <w:tcPr>
            <w:tcW w:w="4520" w:type="dxa"/>
            <w:vAlign w:val="bottom"/>
          </w:tcPr>
          <w:p>
            <w:pPr>
              <w:jc w:val="center"/>
              <w:ind w:right="1779"/>
              <w:spacing w:after="0"/>
              <w:rPr>
                <w:sz w:val="20"/>
                <w:szCs w:val="20"/>
                <w:color w:val="auto"/>
              </w:rPr>
            </w:pPr>
            <w:r>
              <w:rPr>
                <w:rFonts w:ascii="Arial" w:cs="Arial" w:eastAsia="Arial" w:hAnsi="Arial"/>
                <w:sz w:val="18"/>
                <w:szCs w:val="18"/>
                <w:b w:val="1"/>
                <w:bCs w:val="1"/>
                <w:color w:val="auto"/>
                <w:w w:val="99"/>
              </w:rPr>
              <w:t>5875 Trinity Parkway #300</w:t>
            </w:r>
          </w:p>
        </w:tc>
        <w:tc>
          <w:tcPr>
            <w:tcW w:w="3040" w:type="dxa"/>
            <w:vAlign w:val="bottom"/>
          </w:tcPr>
          <w:p>
            <w:pPr>
              <w:spacing w:after="0"/>
              <w:rPr>
                <w:sz w:val="24"/>
                <w:szCs w:val="24"/>
                <w:color w:val="auto"/>
              </w:rPr>
            </w:pPr>
          </w:p>
        </w:tc>
      </w:tr>
      <w:tr>
        <w:trPr>
          <w:trHeight w:val="212"/>
        </w:trPr>
        <w:tc>
          <w:tcPr>
            <w:tcW w:w="4520" w:type="dxa"/>
            <w:vAlign w:val="bottom"/>
          </w:tcPr>
          <w:p>
            <w:pPr>
              <w:jc w:val="center"/>
              <w:ind w:right="1759"/>
              <w:spacing w:after="0"/>
              <w:rPr>
                <w:sz w:val="20"/>
                <w:szCs w:val="20"/>
                <w:color w:val="auto"/>
              </w:rPr>
            </w:pPr>
            <w:r>
              <w:rPr>
                <w:rFonts w:ascii="Arial" w:cs="Arial" w:eastAsia="Arial" w:hAnsi="Arial"/>
                <w:sz w:val="18"/>
                <w:szCs w:val="18"/>
                <w:b w:val="1"/>
                <w:bCs w:val="1"/>
                <w:color w:val="auto"/>
                <w:w w:val="99"/>
              </w:rPr>
              <w:t>Centreville, Virginia</w:t>
            </w:r>
          </w:p>
        </w:tc>
        <w:tc>
          <w:tcPr>
            <w:tcW w:w="3040" w:type="dxa"/>
            <w:vAlign w:val="bottom"/>
          </w:tcPr>
          <w:p>
            <w:pPr>
              <w:jc w:val="right"/>
              <w:ind w:right="281"/>
              <w:spacing w:after="0"/>
              <w:rPr>
                <w:sz w:val="20"/>
                <w:szCs w:val="20"/>
                <w:color w:val="auto"/>
              </w:rPr>
            </w:pPr>
            <w:r>
              <w:rPr>
                <w:rFonts w:ascii="Arial" w:cs="Arial" w:eastAsia="Arial" w:hAnsi="Arial"/>
                <w:sz w:val="18"/>
                <w:szCs w:val="18"/>
                <w:b w:val="1"/>
                <w:bCs w:val="1"/>
                <w:color w:val="auto"/>
              </w:rPr>
              <w:t>20120</w:t>
            </w:r>
          </w:p>
        </w:tc>
      </w:tr>
      <w:tr>
        <w:trPr>
          <w:trHeight w:val="196"/>
        </w:trPr>
        <w:tc>
          <w:tcPr>
            <w:tcW w:w="4520" w:type="dxa"/>
            <w:vAlign w:val="bottom"/>
          </w:tcPr>
          <w:p>
            <w:pPr>
              <w:jc w:val="center"/>
              <w:ind w:right="1759"/>
              <w:spacing w:after="0"/>
              <w:rPr>
                <w:sz w:val="20"/>
                <w:szCs w:val="20"/>
                <w:color w:val="auto"/>
              </w:rPr>
            </w:pPr>
            <w:r>
              <w:rPr>
                <w:rFonts w:ascii="Arial" w:cs="Arial" w:eastAsia="Arial" w:hAnsi="Arial"/>
                <w:sz w:val="14"/>
                <w:szCs w:val="14"/>
                <w:b w:val="1"/>
                <w:bCs w:val="1"/>
                <w:color w:val="auto"/>
              </w:rPr>
              <w:t>(Address of principal executive offices)</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(Zip Code)</w:t>
            </w:r>
          </w:p>
        </w:tc>
      </w:tr>
    </w:tbl>
    <w:p>
      <w:pPr>
        <w:spacing w:after="0" w:line="24"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Registrant’s telephone number, including area code: (703) 988-8500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6" w:lineRule="exact"/>
        <w:rPr>
          <w:sz w:val="24"/>
          <w:szCs w:val="24"/>
          <w:color w:val="auto"/>
        </w:rPr>
      </w:pPr>
    </w:p>
    <w:p>
      <w:pPr>
        <w:ind w:left="6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Trading</w:t>
            </w:r>
          </w:p>
        </w:tc>
        <w:tc>
          <w:tcPr>
            <w:tcW w:w="5040" w:type="dxa"/>
            <w:vAlign w:val="bottom"/>
          </w:tcPr>
          <w:p>
            <w:pPr>
              <w:spacing w:after="0"/>
              <w:rPr>
                <w:sz w:val="14"/>
                <w:szCs w:val="14"/>
                <w:color w:val="auto"/>
              </w:rPr>
            </w:pPr>
          </w:p>
        </w:tc>
      </w:tr>
      <w:tr>
        <w:trPr>
          <w:trHeight w:val="17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4"/>
                <w:szCs w:val="14"/>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54"/>
        </w:trPr>
        <w:tc>
          <w:tcPr>
            <w:tcW w:w="4280" w:type="dxa"/>
            <w:vAlign w:val="bottom"/>
          </w:tcPr>
          <w:p>
            <w:pPr>
              <w:jc w:val="center"/>
              <w:spacing w:after="0"/>
              <w:rPr>
                <w:sz w:val="20"/>
                <w:szCs w:val="20"/>
                <w:color w:val="auto"/>
              </w:rPr>
            </w:pPr>
            <w:r>
              <w:rPr>
                <w:rFonts w:ascii="Arial" w:cs="Arial" w:eastAsia="Arial" w:hAnsi="Arial"/>
                <w:sz w:val="18"/>
                <w:szCs w:val="18"/>
                <w:color w:val="auto"/>
                <w:w w:val="99"/>
              </w:rPr>
              <w:t>Common Stock, $1 par value</w:t>
            </w:r>
          </w:p>
        </w:tc>
        <w:tc>
          <w:tcPr>
            <w:tcW w:w="120" w:type="dxa"/>
            <w:vAlign w:val="bottom"/>
          </w:tcPr>
          <w:p>
            <w:pPr>
              <w:spacing w:after="0"/>
              <w:rPr>
                <w:sz w:val="22"/>
                <w:szCs w:val="22"/>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rPr>
              <w:t>PSN</w:t>
            </w:r>
          </w:p>
        </w:tc>
        <w:tc>
          <w:tcPr>
            <w:tcW w:w="504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bl>
    <w:p>
      <w:pPr>
        <w:spacing w:after="0" w:line="45" w:lineRule="exact"/>
        <w:rPr>
          <w:sz w:val="24"/>
          <w:szCs w:val="24"/>
          <w:color w:val="auto"/>
        </w:rPr>
      </w:pPr>
    </w:p>
    <w:p>
      <w:pPr>
        <w:ind w:right="60"/>
        <w:spacing w:after="0" w:line="22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9" w:lineRule="exact"/>
        <w:rPr>
          <w:sz w:val="24"/>
          <w:szCs w:val="24"/>
          <w:color w:val="auto"/>
        </w:rPr>
      </w:pPr>
    </w:p>
    <w:p>
      <w:pPr>
        <w:ind w:right="260"/>
        <w:spacing w:after="0" w:line="22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9" w:lineRule="exact"/>
        <w:rPr>
          <w:sz w:val="24"/>
          <w:szCs w:val="24"/>
          <w:color w:val="auto"/>
        </w:rPr>
      </w:pPr>
    </w:p>
    <w:p>
      <w:pPr>
        <w:ind w:right="440" w:firstLine="599"/>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88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3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880"/>
              <w:spacing w:after="0"/>
              <w:rPr>
                <w:sz w:val="20"/>
                <w:szCs w:val="20"/>
                <w:color w:val="auto"/>
              </w:rPr>
            </w:pPr>
            <w:r>
              <w:rPr>
                <w:rFonts w:ascii="Arial" w:cs="Arial" w:eastAsia="Arial" w:hAnsi="Arial"/>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56" w:lineRule="exact"/>
        <w:rPr>
          <w:sz w:val="24"/>
          <w:szCs w:val="24"/>
          <w:color w:val="auto"/>
        </w:rPr>
      </w:pPr>
    </w:p>
    <w:p>
      <w:pPr>
        <w:ind w:right="460" w:firstLine="599"/>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600" w:right="800" w:hanging="598"/>
        <w:spacing w:after="0" w:line="276" w:lineRule="exact"/>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 xml:space="preserve"> </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April 27, 2022, the registrant had 103,730,134 shares of common stock, $1.00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379095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80" w:type="dxa"/>
            <w:vAlign w:val="bottom"/>
            <w:gridSpan w:val="6"/>
          </w:tcPr>
          <w:p>
            <w:pPr>
              <w:ind w:left="260"/>
              <w:spacing w:after="0"/>
              <w:rPr>
                <w:sz w:val="20"/>
                <w:szCs w:val="20"/>
                <w:color w:val="auto"/>
              </w:rPr>
            </w:pPr>
            <w:r>
              <w:rPr>
                <w:rFonts w:ascii="Arial" w:cs="Arial" w:eastAsia="Arial" w:hAnsi="Arial"/>
                <w:sz w:val="25"/>
                <w:szCs w:val="25"/>
                <w:b w:val="1"/>
                <w:bCs w:val="1"/>
                <w:color w:val="auto"/>
              </w:rPr>
              <w:t>Table of Contents</w:t>
            </w:r>
          </w:p>
        </w:tc>
      </w:tr>
      <w:tr>
        <w:trPr>
          <w:trHeight w:val="608"/>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22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8"/>
              </w:rPr>
              <w:t>FINANCIAL INFORMATION</w:t>
            </w:r>
          </w:p>
        </w:tc>
        <w:tc>
          <w:tcPr>
            <w:tcW w:w="4840" w:type="dxa"/>
            <w:vAlign w:val="bottom"/>
            <w:gridSpan w:val="11"/>
          </w:tcPr>
          <w:p>
            <w:pPr>
              <w:spacing w:after="0"/>
              <w:rPr>
                <w:sz w:val="24"/>
                <w:szCs w:val="24"/>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7080" w:type="dxa"/>
            <w:vAlign w:val="bottom"/>
            <w:gridSpan w:val="19"/>
          </w:tcPr>
          <w:p>
            <w:pPr>
              <w:spacing w:after="0"/>
              <w:rPr>
                <w:sz w:val="20"/>
                <w:szCs w:val="20"/>
                <w:color w:val="auto"/>
              </w:rPr>
            </w:pPr>
            <w:r>
              <w:rPr>
                <w:rFonts w:ascii="Arial" w:cs="Arial" w:eastAsia="Arial" w:hAnsi="Arial"/>
                <w:sz w:val="18"/>
                <w:szCs w:val="18"/>
                <w:color w:val="0000EE"/>
              </w:rPr>
              <w:t>Financial Statements (Unaudited)</w:t>
            </w:r>
          </w:p>
        </w:tc>
      </w:tr>
      <w:tr>
        <w:trPr>
          <w:trHeight w:val="223"/>
        </w:trPr>
        <w:tc>
          <w:tcPr>
            <w:tcW w:w="1120" w:type="dxa"/>
            <w:vAlign w:val="bottom"/>
          </w:tcPr>
          <w:p>
            <w:pPr>
              <w:spacing w:after="0"/>
              <w:rPr>
                <w:sz w:val="19"/>
                <w:szCs w:val="19"/>
                <w:color w:val="auto"/>
              </w:rPr>
            </w:pPr>
          </w:p>
        </w:tc>
        <w:tc>
          <w:tcPr>
            <w:tcW w:w="236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color w:val="0000EE"/>
                <w:w w:val="99"/>
              </w:rPr>
              <w:t>Consolidated Balance Sheets</w:t>
            </w:r>
          </w:p>
        </w:tc>
        <w:tc>
          <w:tcPr>
            <w:tcW w:w="300" w:type="dxa"/>
            <w:vAlign w:val="bottom"/>
            <w:tcBorders>
              <w:top w:val="single" w:sz="8" w:color="0000EE"/>
            </w:tcBorders>
            <w:gridSpan w:val="2"/>
          </w:tcPr>
          <w:p>
            <w:pPr>
              <w:spacing w:after="0"/>
              <w:rPr>
                <w:sz w:val="19"/>
                <w:szCs w:val="19"/>
                <w:color w:val="auto"/>
              </w:rPr>
            </w:pPr>
          </w:p>
        </w:tc>
        <w:tc>
          <w:tcPr>
            <w:tcW w:w="4420" w:type="dxa"/>
            <w:vAlign w:val="bottom"/>
            <w:gridSpan w:val="8"/>
          </w:tcPr>
          <w:p>
            <w:pPr>
              <w:spacing w:after="0"/>
              <w:rPr>
                <w:sz w:val="19"/>
                <w:szCs w:val="19"/>
                <w:color w:val="auto"/>
              </w:rPr>
            </w:pPr>
          </w:p>
        </w:tc>
      </w:tr>
      <w:tr>
        <w:trPr>
          <w:trHeight w:val="223"/>
        </w:trPr>
        <w:tc>
          <w:tcPr>
            <w:tcW w:w="1120" w:type="dxa"/>
            <w:vAlign w:val="bottom"/>
          </w:tcPr>
          <w:p>
            <w:pPr>
              <w:spacing w:after="0"/>
              <w:rPr>
                <w:sz w:val="19"/>
                <w:szCs w:val="19"/>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0000EE"/>
              </w:rPr>
              <w:t>Consolidated Statements of Income</w:t>
            </w:r>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23"/>
        </w:trPr>
        <w:tc>
          <w:tcPr>
            <w:tcW w:w="1120" w:type="dxa"/>
            <w:vAlign w:val="bottom"/>
          </w:tcPr>
          <w:p>
            <w:pPr>
              <w:spacing w:after="0"/>
              <w:rPr>
                <w:sz w:val="19"/>
                <w:szCs w:val="19"/>
                <w:color w:val="auto"/>
              </w:rPr>
            </w:pPr>
          </w:p>
        </w:tc>
        <w:tc>
          <w:tcPr>
            <w:tcW w:w="416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9"/>
              </w:rPr>
              <w:t>Consolidated Statements of Comprehensive Income</w:t>
            </w:r>
          </w:p>
        </w:tc>
        <w:tc>
          <w:tcPr>
            <w:tcW w:w="2920" w:type="dxa"/>
            <w:vAlign w:val="bottom"/>
            <w:gridSpan w:val="4"/>
          </w:tcPr>
          <w:p>
            <w:pPr>
              <w:spacing w:after="0"/>
              <w:rPr>
                <w:sz w:val="19"/>
                <w:szCs w:val="19"/>
                <w:color w:val="auto"/>
              </w:rPr>
            </w:pPr>
          </w:p>
        </w:tc>
      </w:tr>
      <w:tr>
        <w:trPr>
          <w:trHeight w:val="223"/>
        </w:trPr>
        <w:tc>
          <w:tcPr>
            <w:tcW w:w="1120" w:type="dxa"/>
            <w:vAlign w:val="bottom"/>
          </w:tcPr>
          <w:p>
            <w:pPr>
              <w:spacing w:after="0"/>
              <w:rPr>
                <w:sz w:val="19"/>
                <w:szCs w:val="19"/>
                <w:color w:val="auto"/>
              </w:rPr>
            </w:pPr>
          </w:p>
        </w:tc>
        <w:tc>
          <w:tcPr>
            <w:tcW w:w="320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9"/>
              </w:rPr>
              <w:t>Consolidated Statements of Cash Flows</w:t>
            </w:r>
          </w:p>
        </w:tc>
        <w:tc>
          <w:tcPr>
            <w:tcW w:w="3880" w:type="dxa"/>
            <w:vAlign w:val="bottom"/>
            <w:gridSpan w:val="6"/>
          </w:tcPr>
          <w:p>
            <w:pPr>
              <w:spacing w:after="0"/>
              <w:rPr>
                <w:sz w:val="19"/>
                <w:szCs w:val="19"/>
                <w:color w:val="auto"/>
              </w:rPr>
            </w:pPr>
          </w:p>
        </w:tc>
      </w:tr>
      <w:tr>
        <w:trPr>
          <w:trHeight w:val="223"/>
        </w:trPr>
        <w:tc>
          <w:tcPr>
            <w:tcW w:w="1120" w:type="dxa"/>
            <w:vAlign w:val="bottom"/>
          </w:tcPr>
          <w:p>
            <w:pPr>
              <w:spacing w:after="0"/>
              <w:rPr>
                <w:sz w:val="19"/>
                <w:szCs w:val="19"/>
                <w:color w:val="auto"/>
              </w:rPr>
            </w:pPr>
          </w:p>
        </w:tc>
        <w:tc>
          <w:tcPr>
            <w:tcW w:w="392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9"/>
              </w:rPr>
              <w:t>Consolidated Statements of Shareholders’ Equity</w:t>
            </w:r>
          </w:p>
        </w:tc>
        <w:tc>
          <w:tcPr>
            <w:tcW w:w="3160" w:type="dxa"/>
            <w:vAlign w:val="bottom"/>
            <w:gridSpan w:val="5"/>
          </w:tcPr>
          <w:p>
            <w:pPr>
              <w:spacing w:after="0"/>
              <w:rPr>
                <w:sz w:val="19"/>
                <w:szCs w:val="19"/>
                <w:color w:val="auto"/>
              </w:rPr>
            </w:pPr>
          </w:p>
        </w:tc>
      </w:tr>
      <w:tr>
        <w:trPr>
          <w:trHeight w:val="237"/>
        </w:trPr>
        <w:tc>
          <w:tcPr>
            <w:tcW w:w="1120" w:type="dxa"/>
            <w:vAlign w:val="bottom"/>
          </w:tcPr>
          <w:p>
            <w:pPr>
              <w:spacing w:after="0"/>
              <w:rPr>
                <w:sz w:val="20"/>
                <w:szCs w:val="20"/>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0000EE"/>
              </w:rPr>
              <w:t>Notes to Unaudited Consolidated Financial Statements</w:t>
            </w:r>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820" w:type="dxa"/>
            <w:vAlign w:val="bottom"/>
            <w:gridSpan w:val="6"/>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9"/>
              </w:rPr>
              <w:t>Management’s Discussion and Analysis of Financial Condition and Results of Operations</w:t>
            </w: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7080" w:type="dxa"/>
            <w:vAlign w:val="bottom"/>
            <w:gridSpan w:val="19"/>
          </w:tcPr>
          <w:p>
            <w:pPr>
              <w:spacing w:after="0"/>
              <w:rPr>
                <w:sz w:val="20"/>
                <w:szCs w:val="20"/>
                <w:color w:val="auto"/>
              </w:rPr>
            </w:pPr>
            <w:r>
              <w:rPr>
                <w:rFonts w:ascii="Arial" w:cs="Arial" w:eastAsia="Arial" w:hAnsi="Arial"/>
                <w:sz w:val="18"/>
                <w:szCs w:val="18"/>
                <w:color w:val="0000EE"/>
              </w:rPr>
              <w:t>Quantitative and Qualitative Disclosures About Market Risk</w:t>
            </w:r>
          </w:p>
        </w:tc>
      </w:tr>
      <w:tr>
        <w:trPr>
          <w:trHeight w:val="209"/>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700" w:type="dxa"/>
            <w:vAlign w:val="bottom"/>
            <w:tcBorders>
              <w:top w:val="single" w:sz="8" w:color="0000EE"/>
            </w:tcBorders>
            <w:gridSpan w:val="17"/>
          </w:tcPr>
          <w:p>
            <w:pPr>
              <w:spacing w:after="0" w:line="196" w:lineRule="exact"/>
              <w:rPr>
                <w:sz w:val="20"/>
                <w:szCs w:val="20"/>
                <w:color w:val="auto"/>
              </w:rPr>
            </w:pPr>
            <w:r>
              <w:rPr>
                <w:rFonts w:ascii="Arial" w:cs="Arial" w:eastAsia="Arial" w:hAnsi="Arial"/>
                <w:sz w:val="18"/>
                <w:szCs w:val="18"/>
                <w:color w:val="0000EE"/>
              </w:rPr>
              <w:t>Controls and Procedures</w:t>
            </w:r>
          </w:p>
        </w:tc>
        <w:tc>
          <w:tcPr>
            <w:tcW w:w="2380" w:type="dxa"/>
            <w:vAlign w:val="bottom"/>
            <w:gridSpan w:val="2"/>
          </w:tcPr>
          <w:p>
            <w:pPr>
              <w:spacing w:after="0"/>
              <w:rPr>
                <w:sz w:val="18"/>
                <w:szCs w:val="18"/>
                <w:color w:val="auto"/>
              </w:rPr>
            </w:pPr>
          </w:p>
        </w:tc>
      </w:tr>
      <w:tr>
        <w:trPr>
          <w:trHeight w:val="237"/>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98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OTHER INFORMATION</w:t>
            </w:r>
          </w:p>
        </w:tc>
        <w:tc>
          <w:tcPr>
            <w:tcW w:w="5100" w:type="dxa"/>
            <w:vAlign w:val="bottom"/>
            <w:gridSpan w:val="12"/>
          </w:tcPr>
          <w:p>
            <w:pPr>
              <w:spacing w:after="0"/>
              <w:rPr>
                <w:sz w:val="20"/>
                <w:szCs w:val="20"/>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192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rPr>
              <w:t>Legal Proceedings</w:t>
            </w:r>
          </w:p>
        </w:tc>
        <w:tc>
          <w:tcPr>
            <w:tcW w:w="5160" w:type="dxa"/>
            <w:vAlign w:val="bottom"/>
            <w:gridSpan w:val="13"/>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7"/>
              </w:rPr>
              <w:t>Risk Factors</w:t>
            </w:r>
          </w:p>
        </w:tc>
        <w:tc>
          <w:tcPr>
            <w:tcW w:w="480" w:type="dxa"/>
            <w:vAlign w:val="bottom"/>
            <w:tcBorders>
              <w:top w:val="single" w:sz="8" w:color="0000EE"/>
            </w:tcBorders>
            <w:gridSpan w:val="2"/>
          </w:tcPr>
          <w:p>
            <w:pPr>
              <w:spacing w:after="0"/>
              <w:rPr>
                <w:sz w:val="19"/>
                <w:szCs w:val="19"/>
                <w:color w:val="auto"/>
              </w:rPr>
            </w:pPr>
          </w:p>
        </w:tc>
        <w:tc>
          <w:tcPr>
            <w:tcW w:w="5600" w:type="dxa"/>
            <w:vAlign w:val="bottom"/>
            <w:gridSpan w:val="14"/>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9"/>
          </w:tcPr>
          <w:p>
            <w:pPr>
              <w:spacing w:after="0"/>
              <w:rPr>
                <w:sz w:val="20"/>
                <w:szCs w:val="20"/>
                <w:color w:val="auto"/>
              </w:rPr>
            </w:pPr>
            <w:r>
              <w:rPr>
                <w:rFonts w:ascii="Arial" w:cs="Arial" w:eastAsia="Arial" w:hAnsi="Arial"/>
                <w:sz w:val="18"/>
                <w:szCs w:val="18"/>
                <w:color w:val="0000EE"/>
              </w:rPr>
              <w:t>Unregistered Sales of Equity Securities and Use of Proceeds</w:t>
            </w: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4840" w:type="dxa"/>
            <w:vAlign w:val="bottom"/>
            <w:tcBorders>
              <w:top w:val="single" w:sz="8" w:color="0000EE"/>
            </w:tcBorders>
            <w:gridSpan w:val="18"/>
          </w:tcPr>
          <w:p>
            <w:pPr>
              <w:spacing w:after="0"/>
              <w:rPr>
                <w:sz w:val="20"/>
                <w:szCs w:val="20"/>
                <w:color w:val="auto"/>
              </w:rPr>
            </w:pPr>
            <w:r>
              <w:rPr>
                <w:rFonts w:ascii="Arial" w:cs="Arial" w:eastAsia="Arial" w:hAnsi="Arial"/>
                <w:sz w:val="18"/>
                <w:szCs w:val="18"/>
                <w:color w:val="0000EE"/>
              </w:rPr>
              <w:t>Defaults Upon Senior Securities</w:t>
            </w:r>
          </w:p>
        </w:tc>
        <w:tc>
          <w:tcPr>
            <w:tcW w:w="2240" w:type="dxa"/>
            <w:vAlign w:val="bottom"/>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254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rPr>
              <w:t>Mine Safety Disclosures</w:t>
            </w:r>
          </w:p>
        </w:tc>
        <w:tc>
          <w:tcPr>
            <w:tcW w:w="4540" w:type="dxa"/>
            <w:vAlign w:val="bottom"/>
            <w:gridSpan w:val="9"/>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5.</w:t>
            </w:r>
          </w:p>
        </w:tc>
        <w:tc>
          <w:tcPr>
            <w:tcW w:w="140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8"/>
              </w:rPr>
              <w:t>Other Information</w:t>
            </w:r>
          </w:p>
        </w:tc>
        <w:tc>
          <w:tcPr>
            <w:tcW w:w="520" w:type="dxa"/>
            <w:vAlign w:val="bottom"/>
            <w:tcBorders>
              <w:top w:val="single" w:sz="8" w:color="0000EE"/>
            </w:tcBorders>
            <w:gridSpan w:val="2"/>
          </w:tcPr>
          <w:p>
            <w:pPr>
              <w:spacing w:after="0"/>
              <w:rPr>
                <w:sz w:val="19"/>
                <w:szCs w:val="19"/>
                <w:color w:val="auto"/>
              </w:rPr>
            </w:pPr>
          </w:p>
        </w:tc>
        <w:tc>
          <w:tcPr>
            <w:tcW w:w="5160" w:type="dxa"/>
            <w:vAlign w:val="bottom"/>
            <w:gridSpan w:val="13"/>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7080" w:type="dxa"/>
            <w:vAlign w:val="bottom"/>
            <w:gridSpan w:val="19"/>
          </w:tcPr>
          <w:p>
            <w:pPr>
              <w:spacing w:after="0"/>
              <w:rPr>
                <w:sz w:val="20"/>
                <w:szCs w:val="20"/>
                <w:color w:val="auto"/>
              </w:rPr>
            </w:pPr>
            <w:r>
              <w:rPr>
                <w:rFonts w:ascii="Arial" w:cs="Arial" w:eastAsia="Arial" w:hAnsi="Arial"/>
                <w:sz w:val="18"/>
                <w:szCs w:val="18"/>
                <w:color w:val="0000EE"/>
              </w:rPr>
              <w:t>Exhibits</w:t>
            </w:r>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20" w:type="dxa"/>
            <w:vAlign w:val="bottom"/>
            <w:gridSpan w:val="17"/>
          </w:tcPr>
          <w:p>
            <w:pPr>
              <w:spacing w:after="0" w:line="20" w:lineRule="exact"/>
              <w:rPr>
                <w:sz w:val="1"/>
                <w:szCs w:val="1"/>
                <w:color w:val="auto"/>
              </w:rPr>
            </w:pPr>
          </w:p>
        </w:tc>
      </w:tr>
      <w:tr>
        <w:trPr>
          <w:trHeight w:val="223"/>
        </w:trPr>
        <w:tc>
          <w:tcPr>
            <w:tcW w:w="1120" w:type="dxa"/>
            <w:vAlign w:val="bottom"/>
          </w:tcPr>
          <w:p>
            <w:pPr>
              <w:spacing w:after="0"/>
              <w:rPr>
                <w:sz w:val="19"/>
                <w:szCs w:val="19"/>
                <w:color w:val="auto"/>
              </w:rPr>
            </w:pPr>
          </w:p>
        </w:tc>
        <w:tc>
          <w:tcPr>
            <w:tcW w:w="8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7"/>
              </w:rPr>
              <w:t>Signatures</w:t>
            </w:r>
          </w:p>
        </w:tc>
        <w:tc>
          <w:tcPr>
            <w:tcW w:w="6220" w:type="dxa"/>
            <w:vAlign w:val="bottom"/>
            <w:gridSpan w:val="17"/>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left="12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6350</wp:posOffset>
            </wp:positionV>
            <wp:extent cx="4972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ectPr>
          <w:pgSz w:w="11900" w:h="16838" w:orient="portrait"/>
          <w:cols w:equalWidth="0" w:num="2">
            <w:col w:w="10020" w:space="720"/>
            <w:col w:w="480"/>
          </w:cols>
          <w:pgMar w:left="320" w:top="547"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line="234" w:lineRule="auto"/>
        <w:rPr>
          <w:sz w:val="20"/>
          <w:szCs w:val="20"/>
          <w:color w:val="auto"/>
        </w:rPr>
      </w:pPr>
      <w:r>
        <w:rPr>
          <w:rFonts w:ascii="Arial" w:cs="Arial" w:eastAsia="Arial" w:hAnsi="Arial"/>
          <w:sz w:val="18"/>
          <w:szCs w:val="18"/>
          <w:i w:val="1"/>
          <w:iCs w:val="1"/>
          <w:color w:val="auto"/>
        </w:rPr>
        <w:t>(in thousands, except share information)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4"/>
                <w:szCs w:val="14"/>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December 31, 2021</w:t>
            </w:r>
          </w:p>
        </w:tc>
      </w:tr>
      <w:tr>
        <w:trPr>
          <w:trHeight w:val="169"/>
        </w:trPr>
        <w:tc>
          <w:tcPr>
            <w:tcW w:w="7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top w:val="single" w:sz="8" w:color="auto"/>
            </w:tcBorders>
            <w:shd w:val="clear" w:color="auto" w:fill="CFF0FC"/>
          </w:tcPr>
          <w:p>
            <w:pPr>
              <w:spacing w:after="0"/>
              <w:rPr>
                <w:sz w:val="14"/>
                <w:szCs w:val="14"/>
                <w:color w:val="auto"/>
              </w:rPr>
            </w:pPr>
          </w:p>
        </w:tc>
        <w:tc>
          <w:tcPr>
            <w:tcW w:w="136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44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r>
      <w:tr>
        <w:trPr>
          <w:trHeight w:val="175"/>
        </w:trPr>
        <w:tc>
          <w:tcPr>
            <w:tcW w:w="7820" w:type="dxa"/>
            <w:vAlign w:val="bottom"/>
          </w:tcPr>
          <w:p>
            <w:pPr>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Cash and cash equivalents (including $28,477 and $78,514 Cash of consolidated joint ventures)</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285,622</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342,608</w:t>
            </w:r>
          </w:p>
        </w:tc>
        <w:tc>
          <w:tcPr>
            <w:tcW w:w="120" w:type="dxa"/>
            <w:vAlign w:val="bottom"/>
            <w:shd w:val="clear" w:color="auto" w:fill="CFF0FC"/>
          </w:tcPr>
          <w:p>
            <w:pPr>
              <w:spacing w:after="0"/>
              <w:rPr>
                <w:sz w:val="15"/>
                <w:szCs w:val="15"/>
                <w:color w:val="auto"/>
              </w:rPr>
            </w:pPr>
          </w:p>
        </w:tc>
      </w:tr>
      <w:tr>
        <w:trPr>
          <w:trHeight w:val="176"/>
        </w:trPr>
        <w:tc>
          <w:tcPr>
            <w:tcW w:w="7820" w:type="dxa"/>
            <w:vAlign w:val="bottom"/>
          </w:tcPr>
          <w:p>
            <w:pPr>
              <w:ind w:left="220"/>
              <w:spacing w:after="0"/>
              <w:rPr>
                <w:sz w:val="20"/>
                <w:szCs w:val="20"/>
                <w:color w:val="auto"/>
              </w:rPr>
            </w:pPr>
            <w:r>
              <w:rPr>
                <w:rFonts w:ascii="Arial" w:cs="Arial" w:eastAsia="Arial" w:hAnsi="Arial"/>
                <w:sz w:val="14"/>
                <w:szCs w:val="14"/>
                <w:color w:val="auto"/>
              </w:rPr>
              <w:t>Restricted cash and investments</w:t>
            </w: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1,140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1,275</w:t>
            </w:r>
          </w:p>
        </w:tc>
        <w:tc>
          <w:tcPr>
            <w:tcW w:w="120" w:type="dxa"/>
            <w:vAlign w:val="bottom"/>
          </w:tcPr>
          <w:p>
            <w:pPr>
              <w:spacing w:after="0"/>
              <w:rPr>
                <w:sz w:val="15"/>
                <w:szCs w:val="15"/>
                <w:color w:val="auto"/>
              </w:rPr>
            </w:pPr>
          </w:p>
        </w:tc>
      </w:tr>
      <w:tr>
        <w:trPr>
          <w:trHeight w:val="175"/>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Accounts receivable, net (including $166,410 and $190,643 Accounts receivable of consolidated joint ventures, net)</w:t>
            </w: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646,117</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598,311</w:t>
            </w:r>
          </w:p>
        </w:tc>
        <w:tc>
          <w:tcPr>
            <w:tcW w:w="120" w:type="dxa"/>
            <w:vAlign w:val="bottom"/>
            <w:shd w:val="clear" w:color="auto" w:fill="CFF0FC"/>
          </w:tcPr>
          <w:p>
            <w:pPr>
              <w:spacing w:after="0"/>
              <w:rPr>
                <w:sz w:val="15"/>
                <w:szCs w:val="15"/>
                <w:color w:val="auto"/>
              </w:rPr>
            </w:pPr>
          </w:p>
        </w:tc>
      </w:tr>
      <w:tr>
        <w:trPr>
          <w:trHeight w:val="176"/>
        </w:trPr>
        <w:tc>
          <w:tcPr>
            <w:tcW w:w="7820" w:type="dxa"/>
            <w:vAlign w:val="bottom"/>
          </w:tcPr>
          <w:p>
            <w:pPr>
              <w:ind w:left="220"/>
              <w:spacing w:after="0"/>
              <w:rPr>
                <w:sz w:val="20"/>
                <w:szCs w:val="20"/>
                <w:color w:val="auto"/>
              </w:rPr>
            </w:pPr>
            <w:r>
              <w:rPr>
                <w:rFonts w:ascii="Arial" w:cs="Arial" w:eastAsia="Arial" w:hAnsi="Arial"/>
                <w:sz w:val="14"/>
                <w:szCs w:val="14"/>
                <w:color w:val="auto"/>
              </w:rPr>
              <w:t>Contract assets (including $8,647 and $23,498 Contract assets of consolidated joint ventures)</w:t>
            </w: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600,109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579,216</w:t>
            </w:r>
          </w:p>
        </w:tc>
        <w:tc>
          <w:tcPr>
            <w:tcW w:w="120" w:type="dxa"/>
            <w:vAlign w:val="bottom"/>
          </w:tcPr>
          <w:p>
            <w:pPr>
              <w:spacing w:after="0"/>
              <w:rPr>
                <w:sz w:val="15"/>
                <w:szCs w:val="15"/>
                <w:color w:val="auto"/>
              </w:rPr>
            </w:pPr>
          </w:p>
        </w:tc>
      </w:tr>
      <w:tr>
        <w:trPr>
          <w:trHeight w:val="166"/>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Prepaid expenses and other current assets (including $10,694 and $18,783 Prepaid expenses and other current</w:t>
            </w:r>
          </w:p>
        </w:tc>
        <w:tc>
          <w:tcPr>
            <w:tcW w:w="16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1"/>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assets of consolidated joint ventures)</w:t>
            </w:r>
          </w:p>
        </w:tc>
        <w:tc>
          <w:tcPr>
            <w:tcW w:w="16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107,978</w:t>
            </w:r>
          </w:p>
        </w:tc>
        <w:tc>
          <w:tcPr>
            <w:tcW w:w="24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110,941</w:t>
            </w:r>
          </w:p>
        </w:tc>
        <w:tc>
          <w:tcPr>
            <w:tcW w:w="120" w:type="dxa"/>
            <w:vAlign w:val="bottom"/>
            <w:shd w:val="clear" w:color="auto" w:fill="CFF0FC"/>
          </w:tcPr>
          <w:p>
            <w:pPr>
              <w:spacing w:after="0"/>
              <w:rPr>
                <w:sz w:val="14"/>
                <w:szCs w:val="14"/>
                <w:color w:val="auto"/>
              </w:rPr>
            </w:pPr>
          </w:p>
        </w:tc>
      </w:tr>
      <w:tr>
        <w:trPr>
          <w:trHeight w:val="169"/>
        </w:trPr>
        <w:tc>
          <w:tcPr>
            <w:tcW w:w="7820" w:type="dxa"/>
            <w:vAlign w:val="bottom"/>
            <w:tcBorders>
              <w:bottom w:val="single" w:sz="8" w:color="CFF0FC"/>
            </w:tcBorders>
          </w:tcPr>
          <w:p>
            <w:pPr>
              <w:ind w:left="480"/>
              <w:spacing w:after="0"/>
              <w:rPr>
                <w:sz w:val="20"/>
                <w:szCs w:val="20"/>
                <w:color w:val="auto"/>
              </w:rPr>
            </w:pPr>
            <w:r>
              <w:rPr>
                <w:rFonts w:ascii="Arial" w:cs="Arial" w:eastAsia="Arial" w:hAnsi="Arial"/>
                <w:sz w:val="14"/>
                <w:szCs w:val="14"/>
                <w:color w:val="auto"/>
              </w:rPr>
              <w:t>Total current assets</w:t>
            </w: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1,640,966</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1,632,351</w:t>
            </w:r>
          </w:p>
        </w:tc>
        <w:tc>
          <w:tcPr>
            <w:tcW w:w="120" w:type="dxa"/>
            <w:vAlign w:val="bottom"/>
            <w:tcBorders>
              <w:bottom w:val="single" w:sz="8" w:color="CFF0FC"/>
            </w:tcBorders>
          </w:tcPr>
          <w:p>
            <w:pPr>
              <w:spacing w:after="0"/>
              <w:rPr>
                <w:sz w:val="14"/>
                <w:szCs w:val="14"/>
                <w:color w:val="auto"/>
              </w:rPr>
            </w:pPr>
          </w:p>
        </w:tc>
      </w:tr>
      <w:tr>
        <w:trPr>
          <w:trHeight w:val="169"/>
        </w:trPr>
        <w:tc>
          <w:tcPr>
            <w:tcW w:w="78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6"/>
        </w:trPr>
        <w:tc>
          <w:tcPr>
            <w:tcW w:w="7820" w:type="dxa"/>
            <w:vAlign w:val="bottom"/>
          </w:tcPr>
          <w:p>
            <w:pPr>
              <w:ind w:left="220"/>
              <w:spacing w:after="0"/>
              <w:rPr>
                <w:sz w:val="20"/>
                <w:szCs w:val="20"/>
                <w:color w:val="auto"/>
              </w:rPr>
            </w:pPr>
            <w:r>
              <w:rPr>
                <w:rFonts w:ascii="Arial" w:cs="Arial" w:eastAsia="Arial" w:hAnsi="Arial"/>
                <w:sz w:val="14"/>
                <w:szCs w:val="14"/>
                <w:color w:val="auto"/>
              </w:rPr>
              <w:t>Property and equipment, net (including $1,707 and $1,721 Property and equipment of consolidated joint ventures,</w:t>
            </w: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820" w:type="dxa"/>
            <w:vAlign w:val="bottom"/>
          </w:tcPr>
          <w:p>
            <w:pPr>
              <w:ind w:left="220"/>
              <w:spacing w:after="0"/>
              <w:rPr>
                <w:sz w:val="20"/>
                <w:szCs w:val="20"/>
                <w:color w:val="auto"/>
              </w:rPr>
            </w:pPr>
            <w:r>
              <w:rPr>
                <w:rFonts w:ascii="Arial" w:cs="Arial" w:eastAsia="Arial" w:hAnsi="Arial"/>
                <w:sz w:val="14"/>
                <w:szCs w:val="14"/>
                <w:color w:val="auto"/>
              </w:rPr>
              <w:t>net)</w:t>
            </w: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97,922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104,196</w:t>
            </w:r>
          </w:p>
        </w:tc>
        <w:tc>
          <w:tcPr>
            <w:tcW w:w="120" w:type="dxa"/>
            <w:vAlign w:val="bottom"/>
          </w:tcPr>
          <w:p>
            <w:pPr>
              <w:spacing w:after="0"/>
              <w:rPr>
                <w:sz w:val="14"/>
                <w:szCs w:val="14"/>
                <w:color w:val="auto"/>
              </w:rPr>
            </w:pPr>
          </w:p>
        </w:tc>
      </w:tr>
      <w:tr>
        <w:trPr>
          <w:trHeight w:val="176"/>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Right of use assets, operating leases</w:t>
            </w: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171,907</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182,672</w:t>
            </w:r>
          </w:p>
        </w:tc>
        <w:tc>
          <w:tcPr>
            <w:tcW w:w="120" w:type="dxa"/>
            <w:vAlign w:val="bottom"/>
            <w:shd w:val="clear" w:color="auto" w:fill="CFF0FC"/>
          </w:tcPr>
          <w:p>
            <w:pPr>
              <w:spacing w:after="0"/>
              <w:rPr>
                <w:sz w:val="15"/>
                <w:szCs w:val="15"/>
                <w:color w:val="auto"/>
              </w:rPr>
            </w:pPr>
          </w:p>
        </w:tc>
      </w:tr>
      <w:tr>
        <w:trPr>
          <w:trHeight w:val="175"/>
        </w:trPr>
        <w:tc>
          <w:tcPr>
            <w:tcW w:w="7820" w:type="dxa"/>
            <w:vAlign w:val="bottom"/>
          </w:tcPr>
          <w:p>
            <w:pPr>
              <w:ind w:left="220"/>
              <w:spacing w:after="0"/>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1,412,834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1,412,690</w:t>
            </w:r>
          </w:p>
        </w:tc>
        <w:tc>
          <w:tcPr>
            <w:tcW w:w="120" w:type="dxa"/>
            <w:vAlign w:val="bottom"/>
          </w:tcPr>
          <w:p>
            <w:pPr>
              <w:spacing w:after="0"/>
              <w:rPr>
                <w:sz w:val="15"/>
                <w:szCs w:val="15"/>
                <w:color w:val="auto"/>
              </w:rPr>
            </w:pPr>
          </w:p>
        </w:tc>
      </w:tr>
      <w:tr>
        <w:trPr>
          <w:trHeight w:val="176"/>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Investments in and advances to unconsolidated joint ventures</w:t>
            </w: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114,234</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110,688</w:t>
            </w:r>
          </w:p>
        </w:tc>
        <w:tc>
          <w:tcPr>
            <w:tcW w:w="120" w:type="dxa"/>
            <w:vAlign w:val="bottom"/>
            <w:shd w:val="clear" w:color="auto" w:fill="CFF0FC"/>
          </w:tcPr>
          <w:p>
            <w:pPr>
              <w:spacing w:after="0"/>
              <w:rPr>
                <w:sz w:val="15"/>
                <w:szCs w:val="15"/>
                <w:color w:val="auto"/>
              </w:rPr>
            </w:pPr>
          </w:p>
        </w:tc>
      </w:tr>
      <w:tr>
        <w:trPr>
          <w:trHeight w:val="176"/>
        </w:trPr>
        <w:tc>
          <w:tcPr>
            <w:tcW w:w="7820" w:type="dxa"/>
            <w:vAlign w:val="bottom"/>
          </w:tcPr>
          <w:p>
            <w:pPr>
              <w:ind w:left="220"/>
              <w:spacing w:after="0"/>
              <w:rPr>
                <w:sz w:val="20"/>
                <w:szCs w:val="20"/>
                <w:color w:val="auto"/>
              </w:rPr>
            </w:pPr>
            <w:r>
              <w:rPr>
                <w:rFonts w:ascii="Arial" w:cs="Arial" w:eastAsia="Arial" w:hAnsi="Arial"/>
                <w:sz w:val="14"/>
                <w:szCs w:val="14"/>
                <w:color w:val="auto"/>
              </w:rPr>
              <w:t>Intangible assets, net</w:t>
            </w: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188,731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207,821</w:t>
            </w:r>
          </w:p>
        </w:tc>
        <w:tc>
          <w:tcPr>
            <w:tcW w:w="120" w:type="dxa"/>
            <w:vAlign w:val="bottom"/>
          </w:tcPr>
          <w:p>
            <w:pPr>
              <w:spacing w:after="0"/>
              <w:rPr>
                <w:sz w:val="15"/>
                <w:szCs w:val="15"/>
                <w:color w:val="auto"/>
              </w:rPr>
            </w:pPr>
          </w:p>
        </w:tc>
      </w:tr>
      <w:tr>
        <w:trPr>
          <w:trHeight w:val="175"/>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Deferred tax assets</w:t>
            </w: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137,015</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134,393</w:t>
            </w:r>
          </w:p>
        </w:tc>
        <w:tc>
          <w:tcPr>
            <w:tcW w:w="120" w:type="dxa"/>
            <w:vAlign w:val="bottom"/>
            <w:shd w:val="clear" w:color="auto" w:fill="CFF0FC"/>
          </w:tcPr>
          <w:p>
            <w:pPr>
              <w:spacing w:after="0"/>
              <w:rPr>
                <w:sz w:val="15"/>
                <w:szCs w:val="15"/>
                <w:color w:val="auto"/>
              </w:rPr>
            </w:pPr>
          </w:p>
        </w:tc>
      </w:tr>
      <w:tr>
        <w:trPr>
          <w:trHeight w:val="176"/>
        </w:trPr>
        <w:tc>
          <w:tcPr>
            <w:tcW w:w="7820" w:type="dxa"/>
            <w:vAlign w:val="bottom"/>
            <w:tcBorders>
              <w:bottom w:val="single" w:sz="8" w:color="CFF0FC"/>
            </w:tcBorders>
          </w:tcPr>
          <w:p>
            <w:pPr>
              <w:ind w:left="220"/>
              <w:spacing w:after="0"/>
              <w:rPr>
                <w:sz w:val="20"/>
                <w:szCs w:val="20"/>
                <w:color w:val="auto"/>
              </w:rPr>
            </w:pPr>
            <w:r>
              <w:rPr>
                <w:rFonts w:ascii="Arial" w:cs="Arial" w:eastAsia="Arial" w:hAnsi="Arial"/>
                <w:sz w:val="14"/>
                <w:szCs w:val="14"/>
                <w:color w:val="auto"/>
              </w:rPr>
              <w:t>Other noncurrent assets</w:t>
            </w: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45,232</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46,129</w:t>
            </w:r>
          </w:p>
        </w:tc>
        <w:tc>
          <w:tcPr>
            <w:tcW w:w="120" w:type="dxa"/>
            <w:vAlign w:val="bottom"/>
            <w:tcBorders>
              <w:bottom w:val="single" w:sz="8" w:color="CFF0FC"/>
            </w:tcBorders>
          </w:tcPr>
          <w:p>
            <w:pPr>
              <w:spacing w:after="0"/>
              <w:rPr>
                <w:sz w:val="15"/>
                <w:szCs w:val="15"/>
                <w:color w:val="auto"/>
              </w:rPr>
            </w:pPr>
          </w:p>
        </w:tc>
      </w:tr>
      <w:tr>
        <w:trPr>
          <w:trHeight w:val="169"/>
        </w:trPr>
        <w:tc>
          <w:tcPr>
            <w:tcW w:w="782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3,808,841</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3,830,940</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20"/>
        </w:trPr>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6"/>
        </w:trPr>
        <w:tc>
          <w:tcPr>
            <w:tcW w:w="7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5"/>
        </w:trPr>
        <w:tc>
          <w:tcPr>
            <w:tcW w:w="78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6"/>
        </w:trPr>
        <w:tc>
          <w:tcPr>
            <w:tcW w:w="7820" w:type="dxa"/>
            <w:vAlign w:val="bottom"/>
          </w:tcPr>
          <w:p>
            <w:pPr>
              <w:spacing w:after="0"/>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5"/>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Accounts payable (including $57,700 and $78,558 Accounts payable of consolidated joint ventures)</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157,080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196,286</w:t>
            </w:r>
          </w:p>
        </w:tc>
        <w:tc>
          <w:tcPr>
            <w:tcW w:w="120" w:type="dxa"/>
            <w:vAlign w:val="bottom"/>
            <w:shd w:val="clear" w:color="auto" w:fill="CFF0FC"/>
          </w:tcPr>
          <w:p>
            <w:pPr>
              <w:spacing w:after="0"/>
              <w:rPr>
                <w:sz w:val="15"/>
                <w:szCs w:val="15"/>
                <w:color w:val="auto"/>
              </w:rPr>
            </w:pPr>
          </w:p>
        </w:tc>
      </w:tr>
      <w:tr>
        <w:trPr>
          <w:trHeight w:val="166"/>
        </w:trPr>
        <w:tc>
          <w:tcPr>
            <w:tcW w:w="7820" w:type="dxa"/>
            <w:vAlign w:val="bottom"/>
          </w:tcPr>
          <w:p>
            <w:pPr>
              <w:ind w:left="220"/>
              <w:spacing w:after="0"/>
              <w:rPr>
                <w:sz w:val="20"/>
                <w:szCs w:val="20"/>
                <w:color w:val="auto"/>
              </w:rPr>
            </w:pPr>
            <w:r>
              <w:rPr>
                <w:rFonts w:ascii="Arial" w:cs="Arial" w:eastAsia="Arial" w:hAnsi="Arial"/>
                <w:sz w:val="14"/>
                <w:szCs w:val="14"/>
                <w:color w:val="auto"/>
              </w:rPr>
              <w:t>Accrued expenses and other current liabilities (including $78,453 and $82,746 Accrued expenses and other current</w:t>
            </w: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820" w:type="dxa"/>
            <w:vAlign w:val="bottom"/>
          </w:tcPr>
          <w:p>
            <w:pPr>
              <w:ind w:left="220"/>
              <w:spacing w:after="0"/>
              <w:rPr>
                <w:sz w:val="20"/>
                <w:szCs w:val="20"/>
                <w:color w:val="auto"/>
              </w:rPr>
            </w:pPr>
            <w:r>
              <w:rPr>
                <w:rFonts w:ascii="Arial" w:cs="Arial" w:eastAsia="Arial" w:hAnsi="Arial"/>
                <w:sz w:val="14"/>
                <w:szCs w:val="14"/>
                <w:color w:val="auto"/>
              </w:rPr>
              <w:t>liabilities of consolidated joint ventures)</w:t>
            </w: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609,095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599,089</w:t>
            </w:r>
          </w:p>
        </w:tc>
        <w:tc>
          <w:tcPr>
            <w:tcW w:w="120" w:type="dxa"/>
            <w:vAlign w:val="bottom"/>
          </w:tcPr>
          <w:p>
            <w:pPr>
              <w:spacing w:after="0"/>
              <w:rPr>
                <w:sz w:val="14"/>
                <w:szCs w:val="14"/>
                <w:color w:val="auto"/>
              </w:rPr>
            </w:pPr>
          </w:p>
        </w:tc>
      </w:tr>
      <w:tr>
        <w:trPr>
          <w:trHeight w:val="175"/>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Contract liabilities (including $14,637 and $14,333 Contract liabilities of consolidated joint ventures)</w:t>
            </w: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172,932</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171,671</w:t>
            </w:r>
          </w:p>
        </w:tc>
        <w:tc>
          <w:tcPr>
            <w:tcW w:w="120" w:type="dxa"/>
            <w:vAlign w:val="bottom"/>
            <w:shd w:val="clear" w:color="auto" w:fill="CFF0FC"/>
          </w:tcPr>
          <w:p>
            <w:pPr>
              <w:spacing w:after="0"/>
              <w:rPr>
                <w:sz w:val="15"/>
                <w:szCs w:val="15"/>
                <w:color w:val="auto"/>
              </w:rPr>
            </w:pPr>
          </w:p>
        </w:tc>
      </w:tr>
      <w:tr>
        <w:trPr>
          <w:trHeight w:val="175"/>
        </w:trPr>
        <w:tc>
          <w:tcPr>
            <w:tcW w:w="7820" w:type="dxa"/>
            <w:vAlign w:val="bottom"/>
          </w:tcPr>
          <w:p>
            <w:pPr>
              <w:ind w:left="220"/>
              <w:spacing w:after="0"/>
              <w:rPr>
                <w:sz w:val="20"/>
                <w:szCs w:val="20"/>
                <w:color w:val="auto"/>
              </w:rPr>
            </w:pPr>
            <w:r>
              <w:rPr>
                <w:rFonts w:ascii="Arial" w:cs="Arial" w:eastAsia="Arial" w:hAnsi="Arial"/>
                <w:sz w:val="14"/>
                <w:szCs w:val="14"/>
                <w:color w:val="auto"/>
              </w:rPr>
              <w:t>Short-term lease liabilities, operating leases</w:t>
            </w: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57,197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55,902</w:t>
            </w:r>
          </w:p>
        </w:tc>
        <w:tc>
          <w:tcPr>
            <w:tcW w:w="120" w:type="dxa"/>
            <w:vAlign w:val="bottom"/>
          </w:tcPr>
          <w:p>
            <w:pPr>
              <w:spacing w:after="0"/>
              <w:rPr>
                <w:sz w:val="15"/>
                <w:szCs w:val="15"/>
                <w:color w:val="auto"/>
              </w:rPr>
            </w:pPr>
          </w:p>
        </w:tc>
      </w:tr>
      <w:tr>
        <w:trPr>
          <w:trHeight w:val="175"/>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Income taxes payable</w:t>
            </w:r>
          </w:p>
        </w:tc>
        <w:tc>
          <w:tcPr>
            <w:tcW w:w="16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12,551</w:t>
            </w:r>
          </w:p>
        </w:tc>
        <w:tc>
          <w:tcPr>
            <w:tcW w:w="24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7,836</w:t>
            </w:r>
          </w:p>
        </w:tc>
        <w:tc>
          <w:tcPr>
            <w:tcW w:w="120" w:type="dxa"/>
            <w:vAlign w:val="bottom"/>
            <w:shd w:val="clear" w:color="auto" w:fill="CFF0FC"/>
          </w:tcPr>
          <w:p>
            <w:pPr>
              <w:spacing w:after="0"/>
              <w:rPr>
                <w:sz w:val="15"/>
                <w:szCs w:val="15"/>
                <w:color w:val="auto"/>
              </w:rPr>
            </w:pPr>
          </w:p>
        </w:tc>
      </w:tr>
      <w:tr>
        <w:trPr>
          <w:trHeight w:val="169"/>
        </w:trPr>
        <w:tc>
          <w:tcPr>
            <w:tcW w:w="7820" w:type="dxa"/>
            <w:vAlign w:val="bottom"/>
            <w:tcBorders>
              <w:bottom w:val="single" w:sz="8" w:color="CFF0FC"/>
            </w:tcBorders>
          </w:tcPr>
          <w:p>
            <w:pPr>
              <w:ind w:left="480"/>
              <w:spacing w:after="0"/>
              <w:rPr>
                <w:sz w:val="20"/>
                <w:szCs w:val="20"/>
                <w:color w:val="auto"/>
              </w:rPr>
            </w:pPr>
            <w:r>
              <w:rPr>
                <w:rFonts w:ascii="Arial" w:cs="Arial" w:eastAsia="Arial" w:hAnsi="Arial"/>
                <w:sz w:val="14"/>
                <w:szCs w:val="14"/>
                <w:color w:val="auto"/>
              </w:rPr>
              <w:t>Total current liabilities</w:t>
            </w: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1,008,855</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1,030,784</w:t>
            </w:r>
          </w:p>
        </w:tc>
        <w:tc>
          <w:tcPr>
            <w:tcW w:w="120" w:type="dxa"/>
            <w:vAlign w:val="bottom"/>
            <w:tcBorders>
              <w:bottom w:val="single" w:sz="8" w:color="CFF0FC"/>
            </w:tcBorders>
          </w:tcPr>
          <w:p>
            <w:pPr>
              <w:spacing w:after="0"/>
              <w:rPr>
                <w:sz w:val="14"/>
                <w:szCs w:val="14"/>
                <w:color w:val="auto"/>
              </w:rPr>
            </w:pPr>
          </w:p>
        </w:tc>
      </w:tr>
      <w:tr>
        <w:trPr>
          <w:trHeight w:val="169"/>
        </w:trPr>
        <w:tc>
          <w:tcPr>
            <w:tcW w:w="78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6"/>
        </w:trPr>
        <w:tc>
          <w:tcPr>
            <w:tcW w:w="7820" w:type="dxa"/>
            <w:vAlign w:val="bottom"/>
          </w:tcPr>
          <w:p>
            <w:pPr>
              <w:ind w:left="220"/>
              <w:spacing w:after="0"/>
              <w:rPr>
                <w:sz w:val="20"/>
                <w:szCs w:val="20"/>
                <w:color w:val="auto"/>
              </w:rPr>
            </w:pPr>
            <w:r>
              <w:rPr>
                <w:rFonts w:ascii="Arial" w:cs="Arial" w:eastAsia="Arial" w:hAnsi="Arial"/>
                <w:sz w:val="14"/>
                <w:szCs w:val="14"/>
                <w:color w:val="auto"/>
              </w:rPr>
              <w:t>Long-term employee incentives</w:t>
            </w: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15,000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15,997</w:t>
            </w:r>
          </w:p>
        </w:tc>
        <w:tc>
          <w:tcPr>
            <w:tcW w:w="120" w:type="dxa"/>
            <w:vAlign w:val="bottom"/>
          </w:tcPr>
          <w:p>
            <w:pPr>
              <w:spacing w:after="0"/>
              <w:rPr>
                <w:sz w:val="15"/>
                <w:szCs w:val="15"/>
                <w:color w:val="auto"/>
              </w:rPr>
            </w:pPr>
          </w:p>
        </w:tc>
      </w:tr>
      <w:tr>
        <w:trPr>
          <w:trHeight w:val="175"/>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Long-term debt</w:t>
            </w: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592,450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591,922</w:t>
            </w:r>
          </w:p>
        </w:tc>
        <w:tc>
          <w:tcPr>
            <w:tcW w:w="120" w:type="dxa"/>
            <w:vAlign w:val="bottom"/>
            <w:shd w:val="clear" w:color="auto" w:fill="CFF0FC"/>
          </w:tcPr>
          <w:p>
            <w:pPr>
              <w:spacing w:after="0"/>
              <w:rPr>
                <w:sz w:val="15"/>
                <w:szCs w:val="15"/>
                <w:color w:val="auto"/>
              </w:rPr>
            </w:pPr>
          </w:p>
        </w:tc>
      </w:tr>
      <w:tr>
        <w:trPr>
          <w:trHeight w:val="175"/>
        </w:trPr>
        <w:tc>
          <w:tcPr>
            <w:tcW w:w="7820" w:type="dxa"/>
            <w:vAlign w:val="bottom"/>
          </w:tcPr>
          <w:p>
            <w:pPr>
              <w:ind w:left="220"/>
              <w:spacing w:after="0"/>
              <w:rPr>
                <w:sz w:val="20"/>
                <w:szCs w:val="20"/>
                <w:color w:val="auto"/>
              </w:rPr>
            </w:pPr>
            <w:r>
              <w:rPr>
                <w:rFonts w:ascii="Arial" w:cs="Arial" w:eastAsia="Arial" w:hAnsi="Arial"/>
                <w:sz w:val="14"/>
                <w:szCs w:val="14"/>
                <w:color w:val="auto"/>
              </w:rPr>
              <w:t>Long-term lease liabilities, operating leases</w:t>
            </w: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135,276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148,893</w:t>
            </w:r>
          </w:p>
        </w:tc>
        <w:tc>
          <w:tcPr>
            <w:tcW w:w="120" w:type="dxa"/>
            <w:vAlign w:val="bottom"/>
          </w:tcPr>
          <w:p>
            <w:pPr>
              <w:spacing w:after="0"/>
              <w:rPr>
                <w:sz w:val="15"/>
                <w:szCs w:val="15"/>
                <w:color w:val="auto"/>
              </w:rPr>
            </w:pPr>
          </w:p>
        </w:tc>
      </w:tr>
      <w:tr>
        <w:trPr>
          <w:trHeight w:val="175"/>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Deferred tax liabilities</w:t>
            </w: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11,793</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11,400</w:t>
            </w:r>
          </w:p>
        </w:tc>
        <w:tc>
          <w:tcPr>
            <w:tcW w:w="120" w:type="dxa"/>
            <w:vAlign w:val="bottom"/>
            <w:shd w:val="clear" w:color="auto" w:fill="CFF0FC"/>
          </w:tcPr>
          <w:p>
            <w:pPr>
              <w:spacing w:after="0"/>
              <w:rPr>
                <w:sz w:val="15"/>
                <w:szCs w:val="15"/>
                <w:color w:val="auto"/>
              </w:rPr>
            </w:pPr>
          </w:p>
        </w:tc>
      </w:tr>
      <w:tr>
        <w:trPr>
          <w:trHeight w:val="175"/>
        </w:trPr>
        <w:tc>
          <w:tcPr>
            <w:tcW w:w="7820" w:type="dxa"/>
            <w:vAlign w:val="bottom"/>
            <w:tcBorders>
              <w:bottom w:val="single" w:sz="8" w:color="CFF0FC"/>
            </w:tcBorders>
          </w:tcPr>
          <w:p>
            <w:pPr>
              <w:ind w:left="220"/>
              <w:spacing w:after="0"/>
              <w:rPr>
                <w:sz w:val="20"/>
                <w:szCs w:val="20"/>
                <w:color w:val="auto"/>
              </w:rPr>
            </w:pPr>
            <w:r>
              <w:rPr>
                <w:rFonts w:ascii="Arial" w:cs="Arial" w:eastAsia="Arial" w:hAnsi="Arial"/>
                <w:sz w:val="14"/>
                <w:szCs w:val="14"/>
                <w:color w:val="auto"/>
              </w:rPr>
              <w:t>Other long-term liabilities</w:t>
            </w: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94,842</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94,832</w:t>
            </w:r>
          </w:p>
        </w:tc>
        <w:tc>
          <w:tcPr>
            <w:tcW w:w="120" w:type="dxa"/>
            <w:vAlign w:val="bottom"/>
            <w:tcBorders>
              <w:bottom w:val="single" w:sz="8" w:color="CFF0FC"/>
            </w:tcBorders>
          </w:tcPr>
          <w:p>
            <w:pPr>
              <w:spacing w:after="0"/>
              <w:rPr>
                <w:sz w:val="15"/>
                <w:szCs w:val="15"/>
                <w:color w:val="auto"/>
              </w:rPr>
            </w:pPr>
          </w:p>
        </w:tc>
      </w:tr>
      <w:tr>
        <w:trPr>
          <w:trHeight w:val="169"/>
        </w:trPr>
        <w:tc>
          <w:tcPr>
            <w:tcW w:w="7820" w:type="dxa"/>
            <w:vAlign w:val="bottom"/>
            <w:shd w:val="clear" w:color="auto" w:fill="CFF0FC"/>
          </w:tcPr>
          <w:p>
            <w:pPr>
              <w:ind w:left="480"/>
              <w:spacing w:after="0"/>
              <w:rPr>
                <w:sz w:val="20"/>
                <w:szCs w:val="20"/>
                <w:color w:val="auto"/>
              </w:rPr>
            </w:pPr>
            <w:r>
              <w:rPr>
                <w:rFonts w:ascii="Arial" w:cs="Arial" w:eastAsia="Arial" w:hAnsi="Arial"/>
                <w:sz w:val="14"/>
                <w:szCs w:val="14"/>
                <w:color w:val="auto"/>
              </w:rPr>
              <w:t>Total liabilities</w:t>
            </w:r>
          </w:p>
        </w:tc>
        <w:tc>
          <w:tcPr>
            <w:tcW w:w="16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1,858,216</w:t>
            </w:r>
          </w:p>
        </w:tc>
        <w:tc>
          <w:tcPr>
            <w:tcW w:w="24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1,893,828</w:t>
            </w:r>
          </w:p>
        </w:tc>
        <w:tc>
          <w:tcPr>
            <w:tcW w:w="120" w:type="dxa"/>
            <w:vAlign w:val="bottom"/>
            <w:shd w:val="clear" w:color="auto" w:fill="CFF0FC"/>
          </w:tcPr>
          <w:p>
            <w:pPr>
              <w:spacing w:after="0"/>
              <w:rPr>
                <w:sz w:val="14"/>
                <w:szCs w:val="14"/>
                <w:color w:val="auto"/>
              </w:rPr>
            </w:pPr>
          </w:p>
        </w:tc>
      </w:tr>
      <w:tr>
        <w:trPr>
          <w:trHeight w:val="169"/>
        </w:trPr>
        <w:tc>
          <w:tcPr>
            <w:tcW w:w="7820" w:type="dxa"/>
            <w:vAlign w:val="bottom"/>
          </w:tcPr>
          <w:p>
            <w:pPr>
              <w:spacing w:after="0"/>
              <w:rPr>
                <w:sz w:val="20"/>
                <w:szCs w:val="20"/>
                <w:color w:val="auto"/>
              </w:rPr>
            </w:pPr>
            <w:r>
              <w:rPr>
                <w:rFonts w:ascii="Arial" w:cs="Arial" w:eastAsia="Arial" w:hAnsi="Arial"/>
                <w:sz w:val="14"/>
                <w:szCs w:val="14"/>
                <w:color w:val="auto"/>
              </w:rPr>
              <w:t>Contingencies (Note 12)</w:t>
            </w: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6"/>
        </w:trPr>
        <w:tc>
          <w:tcPr>
            <w:tcW w:w="7820" w:type="dxa"/>
            <w:vAlign w:val="bottom"/>
            <w:shd w:val="clear" w:color="auto" w:fill="CFF0FC"/>
          </w:tcPr>
          <w:p>
            <w:pPr>
              <w:spacing w:after="0"/>
              <w:rPr>
                <w:sz w:val="20"/>
                <w:szCs w:val="20"/>
                <w:color w:val="auto"/>
              </w:rPr>
            </w:pPr>
            <w:r>
              <w:rPr>
                <w:rFonts w:ascii="Arial" w:cs="Arial" w:eastAsia="Arial" w:hAnsi="Arial"/>
                <w:sz w:val="14"/>
                <w:szCs w:val="14"/>
                <w:color w:val="auto"/>
              </w:rPr>
              <w:t>Shareholders' equity:</w:t>
            </w: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66"/>
        </w:trPr>
        <w:tc>
          <w:tcPr>
            <w:tcW w:w="7820" w:type="dxa"/>
            <w:vAlign w:val="bottom"/>
          </w:tcPr>
          <w:p>
            <w:pPr>
              <w:ind w:left="220"/>
              <w:spacing w:after="0"/>
              <w:rPr>
                <w:sz w:val="20"/>
                <w:szCs w:val="20"/>
                <w:color w:val="auto"/>
              </w:rPr>
            </w:pPr>
            <w:r>
              <w:rPr>
                <w:rFonts w:ascii="Arial" w:cs="Arial" w:eastAsia="Arial" w:hAnsi="Arial"/>
                <w:sz w:val="14"/>
                <w:szCs w:val="14"/>
                <w:color w:val="auto"/>
              </w:rPr>
              <w:t>Common stock, $1 par value; authorized 1,000,000,000 shares; 146,347,283 and 146,276,880 shares issued;</w:t>
            </w: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820" w:type="dxa"/>
            <w:vAlign w:val="bottom"/>
          </w:tcPr>
          <w:p>
            <w:pPr>
              <w:ind w:left="220"/>
              <w:spacing w:after="0"/>
              <w:rPr>
                <w:sz w:val="20"/>
                <w:szCs w:val="20"/>
                <w:color w:val="auto"/>
              </w:rPr>
            </w:pPr>
            <w:r>
              <w:rPr>
                <w:rFonts w:ascii="Arial" w:cs="Arial" w:eastAsia="Arial" w:hAnsi="Arial"/>
                <w:sz w:val="14"/>
                <w:szCs w:val="14"/>
                <w:color w:val="auto"/>
              </w:rPr>
              <w:t>34,942,580 and 33,331,494 public shares outstanding; 68,787,554 and 70,328,237 ESOP shares outstanding</w:t>
            </w: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146,348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146,277</w:t>
            </w:r>
          </w:p>
        </w:tc>
        <w:tc>
          <w:tcPr>
            <w:tcW w:w="120" w:type="dxa"/>
            <w:vAlign w:val="bottom"/>
          </w:tcPr>
          <w:p>
            <w:pPr>
              <w:spacing w:after="0"/>
              <w:rPr>
                <w:sz w:val="14"/>
                <w:szCs w:val="14"/>
                <w:color w:val="auto"/>
              </w:rPr>
            </w:pPr>
          </w:p>
        </w:tc>
      </w:tr>
      <w:tr>
        <w:trPr>
          <w:trHeight w:val="176"/>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Treasury stock, 42,617,149 shares at cost</w:t>
            </w:r>
          </w:p>
        </w:tc>
        <w:tc>
          <w:tcPr>
            <w:tcW w:w="16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(867,391)</w:t>
            </w:r>
          </w:p>
        </w:tc>
        <w:tc>
          <w:tcPr>
            <w:tcW w:w="10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(867,391)</w:t>
            </w:r>
          </w:p>
        </w:tc>
      </w:tr>
      <w:tr>
        <w:trPr>
          <w:trHeight w:val="175"/>
        </w:trPr>
        <w:tc>
          <w:tcPr>
            <w:tcW w:w="7820" w:type="dxa"/>
            <w:vAlign w:val="bottom"/>
          </w:tcPr>
          <w:p>
            <w:pPr>
              <w:ind w:left="220"/>
              <w:spacing w:after="0"/>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2,678,761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2,684,979</w:t>
            </w:r>
          </w:p>
        </w:tc>
        <w:tc>
          <w:tcPr>
            <w:tcW w:w="120" w:type="dxa"/>
            <w:vAlign w:val="bottom"/>
          </w:tcPr>
          <w:p>
            <w:pPr>
              <w:spacing w:after="0"/>
              <w:rPr>
                <w:sz w:val="15"/>
                <w:szCs w:val="15"/>
                <w:color w:val="auto"/>
              </w:rPr>
            </w:pPr>
          </w:p>
        </w:tc>
      </w:tr>
      <w:tr>
        <w:trPr>
          <w:trHeight w:val="175"/>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Accumulated deficit</w:t>
            </w:r>
          </w:p>
        </w:tc>
        <w:tc>
          <w:tcPr>
            <w:tcW w:w="16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(32,858)</w:t>
            </w:r>
          </w:p>
        </w:tc>
        <w:tc>
          <w:tcPr>
            <w:tcW w:w="10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(53,529)</w:t>
            </w:r>
          </w:p>
        </w:tc>
      </w:tr>
      <w:tr>
        <w:trPr>
          <w:trHeight w:val="175"/>
        </w:trPr>
        <w:tc>
          <w:tcPr>
            <w:tcW w:w="7820" w:type="dxa"/>
            <w:vAlign w:val="bottom"/>
          </w:tcPr>
          <w:p>
            <w:pPr>
              <w:ind w:left="220"/>
              <w:spacing w:after="0"/>
              <w:rPr>
                <w:sz w:val="20"/>
                <w:szCs w:val="20"/>
                <w:color w:val="auto"/>
              </w:rPr>
            </w:pPr>
            <w:r>
              <w:rPr>
                <w:rFonts w:ascii="Arial" w:cs="Arial" w:eastAsia="Arial" w:hAnsi="Arial"/>
                <w:sz w:val="14"/>
                <w:szCs w:val="14"/>
                <w:color w:val="auto"/>
              </w:rPr>
              <w:t>Accumulated other comprehensive loss</w:t>
            </w:r>
          </w:p>
        </w:tc>
        <w:tc>
          <w:tcPr>
            <w:tcW w:w="160" w:type="dxa"/>
            <w:vAlign w:val="bottom"/>
          </w:tcPr>
          <w:p>
            <w:pPr>
              <w:spacing w:after="0"/>
              <w:rPr>
                <w:sz w:val="15"/>
                <w:szCs w:val="15"/>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4"/>
                <w:szCs w:val="14"/>
                <w:color w:val="auto"/>
              </w:rPr>
              <w:t>(6,673)</w:t>
            </w:r>
          </w:p>
        </w:tc>
        <w:tc>
          <w:tcPr>
            <w:tcW w:w="100" w:type="dxa"/>
            <w:vAlign w:val="bottom"/>
          </w:tcPr>
          <w:p>
            <w:pPr>
              <w:spacing w:after="0"/>
              <w:rPr>
                <w:sz w:val="15"/>
                <w:szCs w:val="15"/>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4"/>
                <w:szCs w:val="14"/>
                <w:color w:val="auto"/>
              </w:rPr>
              <w:t>(9,568)</w:t>
            </w:r>
          </w:p>
        </w:tc>
      </w:tr>
      <w:tr>
        <w:trPr>
          <w:trHeight w:val="169"/>
        </w:trPr>
        <w:tc>
          <w:tcPr>
            <w:tcW w:w="782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4"/>
                <w:szCs w:val="14"/>
                <w:color w:val="auto"/>
              </w:rPr>
              <w:t>Total Parsons Corporation shareholders' equity</w:t>
            </w:r>
          </w:p>
        </w:tc>
        <w:tc>
          <w:tcPr>
            <w:tcW w:w="160" w:type="dxa"/>
            <w:vAlign w:val="bottom"/>
            <w:tcBorders>
              <w:top w:val="single" w:sz="8" w:color="auto"/>
            </w:tcBorders>
            <w:shd w:val="clear" w:color="auto" w:fill="CFF0FC"/>
          </w:tcPr>
          <w:p>
            <w:pPr>
              <w:spacing w:after="0"/>
              <w:rPr>
                <w:sz w:val="14"/>
                <w:szCs w:val="14"/>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1,918,187</w:t>
            </w:r>
          </w:p>
        </w:tc>
        <w:tc>
          <w:tcPr>
            <w:tcW w:w="2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1,900,768</w:t>
            </w:r>
          </w:p>
        </w:tc>
        <w:tc>
          <w:tcPr>
            <w:tcW w:w="120" w:type="dxa"/>
            <w:vAlign w:val="bottom"/>
            <w:tcBorders>
              <w:top w:val="single" w:sz="8" w:color="CFF0FC"/>
            </w:tcBorders>
            <w:shd w:val="clear" w:color="auto" w:fill="CFF0FC"/>
          </w:tcPr>
          <w:p>
            <w:pPr>
              <w:spacing w:after="0"/>
              <w:rPr>
                <w:sz w:val="14"/>
                <w:szCs w:val="14"/>
                <w:color w:val="auto"/>
              </w:rPr>
            </w:pPr>
          </w:p>
        </w:tc>
      </w:tr>
      <w:tr>
        <w:trPr>
          <w:trHeight w:val="175"/>
        </w:trPr>
        <w:tc>
          <w:tcPr>
            <w:tcW w:w="7820" w:type="dxa"/>
            <w:vAlign w:val="bottom"/>
            <w:tcBorders>
              <w:bottom w:val="single" w:sz="8" w:color="CFF0FC"/>
            </w:tcBorders>
          </w:tcPr>
          <w:p>
            <w:pPr>
              <w:ind w:left="220"/>
              <w:spacing w:after="0"/>
              <w:rPr>
                <w:sz w:val="20"/>
                <w:szCs w:val="20"/>
                <w:color w:val="auto"/>
              </w:rPr>
            </w:pPr>
            <w:r>
              <w:rPr>
                <w:rFonts w:ascii="Arial" w:cs="Arial" w:eastAsia="Arial" w:hAnsi="Arial"/>
                <w:sz w:val="14"/>
                <w:szCs w:val="14"/>
                <w:color w:val="auto"/>
              </w:rPr>
              <w:t>Noncontrolling interests</w:t>
            </w: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32,438</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36,344</w:t>
            </w:r>
          </w:p>
        </w:tc>
        <w:tc>
          <w:tcPr>
            <w:tcW w:w="120" w:type="dxa"/>
            <w:vAlign w:val="bottom"/>
            <w:tcBorders>
              <w:bottom w:val="single" w:sz="8" w:color="CFF0FC"/>
            </w:tcBorders>
          </w:tcPr>
          <w:p>
            <w:pPr>
              <w:spacing w:after="0"/>
              <w:rPr>
                <w:sz w:val="15"/>
                <w:szCs w:val="15"/>
                <w:color w:val="auto"/>
              </w:rPr>
            </w:pPr>
          </w:p>
        </w:tc>
      </w:tr>
      <w:tr>
        <w:trPr>
          <w:trHeight w:val="169"/>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Total shareholders' equity</w:t>
            </w:r>
          </w:p>
        </w:tc>
        <w:tc>
          <w:tcPr>
            <w:tcW w:w="16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1,950,625</w:t>
            </w:r>
          </w:p>
        </w:tc>
        <w:tc>
          <w:tcPr>
            <w:tcW w:w="24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1,937,112</w:t>
            </w:r>
          </w:p>
        </w:tc>
        <w:tc>
          <w:tcPr>
            <w:tcW w:w="120" w:type="dxa"/>
            <w:vAlign w:val="bottom"/>
            <w:shd w:val="clear" w:color="auto" w:fill="CFF0FC"/>
          </w:tcPr>
          <w:p>
            <w:pPr>
              <w:spacing w:after="0"/>
              <w:rPr>
                <w:sz w:val="14"/>
                <w:szCs w:val="14"/>
                <w:color w:val="auto"/>
              </w:rPr>
            </w:pPr>
          </w:p>
        </w:tc>
      </w:tr>
      <w:tr>
        <w:trPr>
          <w:trHeight w:val="169"/>
        </w:trPr>
        <w:tc>
          <w:tcPr>
            <w:tcW w:w="7820" w:type="dxa"/>
            <w:vAlign w:val="bottom"/>
          </w:tcPr>
          <w:p>
            <w:pPr>
              <w:ind w:left="220"/>
              <w:spacing w:after="0"/>
              <w:rPr>
                <w:sz w:val="20"/>
                <w:szCs w:val="20"/>
                <w:color w:val="auto"/>
              </w:rPr>
            </w:pPr>
            <w:r>
              <w:rPr>
                <w:rFonts w:ascii="Arial" w:cs="Arial" w:eastAsia="Arial" w:hAnsi="Arial"/>
                <w:sz w:val="14"/>
                <w:szCs w:val="14"/>
                <w:color w:val="auto"/>
              </w:rPr>
              <w:t>Total liabilities and shareholders' equity</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3,808,841</w:t>
            </w:r>
          </w:p>
        </w:tc>
        <w:tc>
          <w:tcPr>
            <w:tcW w:w="2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3,830,940</w:t>
            </w:r>
          </w:p>
        </w:tc>
        <w:tc>
          <w:tcPr>
            <w:tcW w:w="120" w:type="dxa"/>
            <w:vAlign w:val="bottom"/>
          </w:tcPr>
          <w:p>
            <w:pPr>
              <w:spacing w:after="0"/>
              <w:rPr>
                <w:sz w:val="14"/>
                <w:szCs w:val="14"/>
                <w:color w:val="auto"/>
              </w:rPr>
            </w:pPr>
          </w:p>
        </w:tc>
      </w:tr>
      <w:tr>
        <w:trPr>
          <w:trHeight w:val="20"/>
        </w:trPr>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w:t>
      </w:r>
    </w:p>
    <w:p>
      <w:pPr>
        <w:jc w:val="center"/>
        <w:ind w:right="20"/>
        <w:spacing w:after="0" w:line="234" w:lineRule="auto"/>
        <w:rPr>
          <w:sz w:val="20"/>
          <w:szCs w:val="20"/>
          <w:color w:val="auto"/>
        </w:rPr>
      </w:pPr>
      <w:r>
        <w:rPr>
          <w:rFonts w:ascii="Arial" w:cs="Arial" w:eastAsia="Arial" w:hAnsi="Arial"/>
          <w:sz w:val="18"/>
          <w:szCs w:val="18"/>
          <w:i w:val="1"/>
          <w:iCs w:val="1"/>
          <w:color w:val="auto"/>
        </w:rPr>
        <w:t>(In thousands, except per share information)</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8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rPr>
              <w:t>For the Three Months Ended</w:t>
            </w:r>
          </w:p>
        </w:tc>
      </w:tr>
      <w:tr>
        <w:trPr>
          <w:trHeight w:val="210"/>
        </w:trPr>
        <w:tc>
          <w:tcPr>
            <w:tcW w:w="6900" w:type="dxa"/>
            <w:vAlign w:val="bottom"/>
          </w:tcPr>
          <w:p>
            <w:pPr>
              <w:spacing w:after="0"/>
              <w:rPr>
                <w:sz w:val="18"/>
                <w:szCs w:val="18"/>
                <w:color w:val="auto"/>
              </w:rPr>
            </w:pPr>
          </w:p>
        </w:tc>
        <w:tc>
          <w:tcPr>
            <w:tcW w:w="1680" w:type="dxa"/>
            <w:vAlign w:val="bottom"/>
            <w:tcBorders>
              <w:top w:val="single" w:sz="8" w:color="auto"/>
            </w:tcBorders>
            <w:gridSpan w:val="3"/>
          </w:tcPr>
          <w:p>
            <w:pPr>
              <w:jc w:val="right"/>
              <w:ind w:right="340"/>
              <w:spacing w:after="0"/>
              <w:rPr>
                <w:sz w:val="20"/>
                <w:szCs w:val="20"/>
                <w:color w:val="auto"/>
              </w:rPr>
            </w:pPr>
            <w:r>
              <w:rPr>
                <w:rFonts w:ascii="Arial" w:cs="Arial" w:eastAsia="Arial" w:hAnsi="Arial"/>
                <w:sz w:val="18"/>
                <w:szCs w:val="18"/>
                <w:b w:val="1"/>
                <w:bCs w:val="1"/>
                <w:color w:val="auto"/>
              </w:rPr>
              <w:t>March 31, 2022</w:t>
            </w:r>
          </w:p>
        </w:tc>
        <w:tc>
          <w:tcPr>
            <w:tcW w:w="1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March 31, 2021</w:t>
            </w:r>
          </w:p>
        </w:tc>
        <w:tc>
          <w:tcPr>
            <w:tcW w:w="100" w:type="dxa"/>
            <w:vAlign w:val="bottom"/>
          </w:tcPr>
          <w:p>
            <w:pPr>
              <w:spacing w:after="0"/>
              <w:rPr>
                <w:sz w:val="18"/>
                <w:szCs w:val="18"/>
                <w:color w:val="auto"/>
              </w:rPr>
            </w:pPr>
          </w:p>
        </w:tc>
      </w:tr>
      <w:tr>
        <w:trPr>
          <w:trHeight w:val="209"/>
        </w:trPr>
        <w:tc>
          <w:tcPr>
            <w:tcW w:w="6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949,069</w:t>
            </w:r>
          </w:p>
        </w:tc>
        <w:tc>
          <w:tcPr>
            <w:tcW w:w="26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874,697</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Direct cost of contracts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733,900</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669,082</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of unconsolidated joint ventures</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5,598</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7,530</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185,077</w:t>
            </w:r>
          </w:p>
        </w:tc>
        <w:tc>
          <w:tcPr>
            <w:tcW w:w="26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187,522</w:t>
            </w:r>
          </w:p>
        </w:tc>
        <w:tc>
          <w:tcPr>
            <w:tcW w:w="100" w:type="dxa"/>
            <w:vAlign w:val="bottom"/>
            <w:tcBorders>
              <w:bottom w:val="single" w:sz="8" w:color="CFF0FC"/>
            </w:tcBorders>
          </w:tcPr>
          <w:p>
            <w:pPr>
              <w:spacing w:after="0"/>
              <w:rPr>
                <w:sz w:val="18"/>
                <w:szCs w:val="18"/>
                <w:color w:val="auto"/>
              </w:rPr>
            </w:pPr>
          </w:p>
        </w:tc>
      </w:tr>
      <w:tr>
        <w:trPr>
          <w:trHeight w:val="209"/>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35,690</w:t>
            </w:r>
          </w:p>
        </w:tc>
        <w:tc>
          <w:tcPr>
            <w:tcW w:w="26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25,623</w:t>
            </w:r>
          </w:p>
        </w:tc>
        <w:tc>
          <w:tcPr>
            <w:tcW w:w="100" w:type="dxa"/>
            <w:vAlign w:val="bottom"/>
            <w:shd w:val="clear" w:color="auto" w:fill="CFF0FC"/>
          </w:tcPr>
          <w:p>
            <w:pPr>
              <w:spacing w:after="0"/>
              <w:rPr>
                <w:sz w:val="18"/>
                <w:szCs w:val="18"/>
                <w:color w:val="auto"/>
              </w:rPr>
            </w:pPr>
          </w:p>
        </w:tc>
      </w:tr>
      <w:tr>
        <w:trPr>
          <w:trHeight w:val="210"/>
        </w:trPr>
        <w:tc>
          <w:tcPr>
            <w:tcW w:w="6900" w:type="dxa"/>
            <w:vAlign w:val="bottom"/>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(3,938)</w:t>
            </w:r>
          </w:p>
        </w:tc>
        <w:tc>
          <w:tcPr>
            <w:tcW w:w="4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(4,541)</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(1,791)</w:t>
            </w:r>
          </w:p>
        </w:tc>
      </w:tr>
      <w:tr>
        <w:trPr>
          <w:trHeight w:val="209"/>
        </w:trPr>
        <w:tc>
          <w:tcPr>
            <w:tcW w:w="6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 (expense)</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(3,728)</w:t>
            </w:r>
          </w:p>
        </w:tc>
        <w:tc>
          <w:tcPr>
            <w:tcW w:w="26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(6,234)</w:t>
            </w:r>
          </w:p>
        </w:tc>
        <w:tc>
          <w:tcPr>
            <w:tcW w:w="100" w:type="dxa"/>
            <w:vAlign w:val="bottom"/>
            <w:tcBorders>
              <w:top w:val="single" w:sz="8" w:color="CFF0FC"/>
            </w:tcBorders>
            <w:shd w:val="clear" w:color="auto" w:fill="CFF0FC"/>
          </w:tcPr>
          <w:p>
            <w:pPr>
              <w:spacing w:after="0"/>
              <w:rPr>
                <w:sz w:val="18"/>
                <w:szCs w:val="18"/>
                <w:color w:val="auto"/>
              </w:rPr>
            </w:pPr>
          </w:p>
        </w:tc>
      </w:tr>
      <w:tr>
        <w:trPr>
          <w:trHeight w:val="210"/>
        </w:trPr>
        <w:tc>
          <w:tcPr>
            <w:tcW w:w="690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31,962</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19,389</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(8,119)</w:t>
            </w:r>
          </w:p>
        </w:tc>
        <w:tc>
          <w:tcPr>
            <w:tcW w:w="4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(5,375)</w:t>
            </w:r>
          </w:p>
        </w:tc>
      </w:tr>
      <w:tr>
        <w:trPr>
          <w:trHeight w:val="209"/>
        </w:trPr>
        <w:tc>
          <w:tcPr>
            <w:tcW w:w="6900" w:type="dxa"/>
            <w:vAlign w:val="bottom"/>
          </w:tcPr>
          <w:p>
            <w:pPr>
              <w:spacing w:after="0"/>
              <w:rPr>
                <w:sz w:val="20"/>
                <w:szCs w:val="20"/>
                <w:color w:val="auto"/>
              </w:rPr>
            </w:pPr>
            <w:r>
              <w:rPr>
                <w:rFonts w:ascii="Arial" w:cs="Arial" w:eastAsia="Arial" w:hAnsi="Arial"/>
                <w:sz w:val="18"/>
                <w:szCs w:val="18"/>
                <w:color w:val="auto"/>
              </w:rPr>
              <w:t>Net income including noncontrolling interests</w:t>
            </w: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23,843</w:t>
            </w:r>
          </w:p>
        </w:tc>
        <w:tc>
          <w:tcPr>
            <w:tcW w:w="2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14,014</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(3,176)</w:t>
            </w:r>
          </w:p>
        </w:tc>
        <w:tc>
          <w:tcPr>
            <w:tcW w:w="4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(4,975)</w:t>
            </w:r>
          </w:p>
        </w:tc>
      </w:tr>
      <w:tr>
        <w:trPr>
          <w:trHeight w:val="250"/>
        </w:trPr>
        <w:tc>
          <w:tcPr>
            <w:tcW w:w="6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attributable to Parsons Corporation</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20,667</w:t>
            </w:r>
          </w:p>
        </w:tc>
        <w:tc>
          <w:tcPr>
            <w:tcW w:w="260" w:type="dxa"/>
            <w:vAlign w:val="bottom"/>
            <w:tcBorders>
              <w:bottom w:val="single" w:sz="8" w:color="CFF0FC"/>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9,039</w:t>
            </w:r>
          </w:p>
        </w:tc>
        <w:tc>
          <w:tcPr>
            <w:tcW w:w="100" w:type="dxa"/>
            <w:vAlign w:val="bottom"/>
            <w:tcBorders>
              <w:bottom w:val="single" w:sz="8" w:color="CFF0FC"/>
            </w:tcBorders>
          </w:tcPr>
          <w:p>
            <w:pPr>
              <w:spacing w:after="0"/>
              <w:rPr>
                <w:sz w:val="21"/>
                <w:szCs w:val="21"/>
                <w:color w:val="auto"/>
              </w:rPr>
            </w:pPr>
          </w:p>
        </w:tc>
      </w:tr>
      <w:tr>
        <w:trPr>
          <w:trHeight w:val="197"/>
        </w:trPr>
        <w:tc>
          <w:tcPr>
            <w:tcW w:w="6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Earnings per share:</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900" w:type="dxa"/>
            <w:vAlign w:val="bottom"/>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0.20</w:t>
            </w:r>
          </w:p>
        </w:tc>
        <w:tc>
          <w:tcPr>
            <w:tcW w:w="26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37" w:right="89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jc w:val="center"/>
        <w:ind w:right="20"/>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4"/>
                <w:szCs w:val="14"/>
                <w:color w:val="auto"/>
              </w:rPr>
            </w:pPr>
          </w:p>
        </w:tc>
      </w:tr>
      <w:tr>
        <w:trPr>
          <w:trHeight w:val="169"/>
        </w:trPr>
        <w:tc>
          <w:tcPr>
            <w:tcW w:w="6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 2022</w:t>
            </w:r>
          </w:p>
        </w:tc>
        <w:tc>
          <w:tcPr>
            <w:tcW w:w="140" w:type="dxa"/>
            <w:vAlign w:val="bottom"/>
          </w:tcPr>
          <w:p>
            <w:pPr>
              <w:spacing w:after="0"/>
              <w:rPr>
                <w:sz w:val="14"/>
                <w:szCs w:val="14"/>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March 31, 2021</w:t>
            </w:r>
          </w:p>
        </w:tc>
      </w:tr>
      <w:tr>
        <w:trPr>
          <w:trHeight w:val="210"/>
        </w:trPr>
        <w:tc>
          <w:tcPr>
            <w:tcW w:w="6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including noncontrolling interests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23,843</w:t>
            </w: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14,014</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 translation adjustment, net of tax</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2,874</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4,914</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Pension adjustments, net of tax</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FF0FC"/>
            </w:tcBorders>
          </w:tcPr>
          <w:p>
            <w:pPr>
              <w:spacing w:after="0"/>
              <w:rPr>
                <w:sz w:val="18"/>
                <w:szCs w:val="18"/>
                <w:color w:val="auto"/>
              </w:rPr>
            </w:pPr>
          </w:p>
        </w:tc>
      </w:tr>
      <w:tr>
        <w:trPr>
          <w:trHeight w:val="210"/>
        </w:trPr>
        <w:tc>
          <w:tcPr>
            <w:tcW w:w="69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Comprehensive income including noncontrolling interests, net of tax</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26,739</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18,947</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Comprehensive income attributable to noncontrolling interests, net of tax</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(3,177)</w:t>
            </w:r>
          </w:p>
        </w:tc>
        <w:tc>
          <w:tcPr>
            <w:tcW w:w="1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(4,980)</w:t>
            </w:r>
          </w:p>
        </w:tc>
      </w:tr>
      <w:tr>
        <w:trPr>
          <w:trHeight w:val="209"/>
        </w:trPr>
        <w:tc>
          <w:tcPr>
            <w:tcW w:w="6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attributable to Parsons Corporation, net of tax</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23,562</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13,967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37" w:right="8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i w:val="1"/>
          <w:iCs w:val="1"/>
          <w:color w:val="auto"/>
        </w:rPr>
        <w:t xml:space="preserve">(In thousands) </w:t>
      </w:r>
      <w:r>
        <w:rPr>
          <w:rFonts w:ascii="Arial" w:cs="Arial" w:eastAsia="Arial" w:hAnsi="Arial"/>
          <w:sz w:val="18"/>
          <w:szCs w:val="18"/>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4"/>
                <w:szCs w:val="14"/>
                <w:color w:val="auto"/>
              </w:rPr>
            </w:pPr>
          </w:p>
        </w:tc>
      </w:tr>
      <w:tr>
        <w:trPr>
          <w:trHeight w:val="196"/>
        </w:trPr>
        <w:tc>
          <w:tcPr>
            <w:tcW w:w="6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Pr>
          <w:p>
            <w:pPr>
              <w:spacing w:after="0"/>
              <w:rPr>
                <w:sz w:val="17"/>
                <w:szCs w:val="17"/>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March 31, 2021</w:t>
            </w:r>
          </w:p>
        </w:tc>
      </w:tr>
      <w:tr>
        <w:trPr>
          <w:trHeight w:val="196"/>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Net income including noncontrolling interests</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23,843</w:t>
            </w:r>
          </w:p>
        </w:tc>
        <w:tc>
          <w:tcPr>
            <w:tcW w:w="2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14,014</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Adjustments to reconcile net income to net cash used in operating activities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30,509</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34,673</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Amortization of debt issue costs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649</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665</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(Gain) loss on disposal of property and equipment</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(39)</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Provision for doubtful accounts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Deferred taxes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(2,566)</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403</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Foreign currency transaction gains and losses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882</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2,220</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Equity in earnings of unconsolidated joint ventures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(5,598)</w:t>
            </w: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(7,530)</w:t>
            </w: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Return on investments in unconsolidated joint ventures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11,874</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13,180</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Stock-based compensation</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3,898</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7,206</w:t>
            </w:r>
          </w:p>
        </w:tc>
        <w:tc>
          <w:tcPr>
            <w:tcW w:w="120" w:type="dxa"/>
            <w:vAlign w:val="bottom"/>
          </w:tcPr>
          <w:p>
            <w:pPr>
              <w:spacing w:after="0"/>
              <w:rPr>
                <w:sz w:val="17"/>
                <w:szCs w:val="17"/>
                <w:color w:val="auto"/>
              </w:rPr>
            </w:pPr>
          </w:p>
        </w:tc>
      </w:tr>
      <w:tr>
        <w:trPr>
          <w:trHeight w:val="202"/>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Contributions of treasury stock</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13,054</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13,153</w:t>
            </w:r>
          </w:p>
        </w:tc>
        <w:tc>
          <w:tcPr>
            <w:tcW w:w="120" w:type="dxa"/>
            <w:vAlign w:val="bottom"/>
            <w:shd w:val="clear" w:color="auto" w:fill="CFF0FC"/>
          </w:tcPr>
          <w:p>
            <w:pPr>
              <w:spacing w:after="0"/>
              <w:rPr>
                <w:sz w:val="17"/>
                <w:szCs w:val="17"/>
                <w:color w:val="auto"/>
              </w:rPr>
            </w:pPr>
          </w:p>
        </w:tc>
      </w:tr>
      <w:tr>
        <w:trPr>
          <w:trHeight w:val="188"/>
        </w:trPr>
        <w:tc>
          <w:tcPr>
            <w:tcW w:w="6720" w:type="dxa"/>
            <w:vAlign w:val="bottom"/>
          </w:tcPr>
          <w:p>
            <w:pPr>
              <w:ind w:left="300"/>
              <w:spacing w:after="0"/>
              <w:rPr>
                <w:sz w:val="20"/>
                <w:szCs w:val="20"/>
                <w:color w:val="auto"/>
              </w:rPr>
            </w:pPr>
            <w:r>
              <w:rPr>
                <w:rFonts w:ascii="Arial" w:cs="Arial" w:eastAsia="Arial" w:hAnsi="Arial"/>
                <w:sz w:val="16"/>
                <w:szCs w:val="16"/>
                <w:color w:val="auto"/>
              </w:rPr>
              <w:t>Changes in assets and liabilities, net of acquisitions and newly consolidated</w:t>
            </w: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joint ventures: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Accounts receivable</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(46,690)</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2,597</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Contract assets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(21,212)</w:t>
            </w: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(31,711)</w:t>
            </w: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Prepaid expenses and other assets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4,496</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(5,386)</w:t>
            </w: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Accounts payable</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(39,342)</w:t>
            </w: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(6,658)</w:t>
            </w: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Accrued expenses and other current liabilities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(4,134)</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(68,928)</w:t>
            </w: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Contract liabilities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945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(16,086)</w:t>
            </w: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Income taxes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4,706</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1,268</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Other long-term liabilities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(986)</w:t>
            </w: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(19,312)</w:t>
            </w:r>
          </w:p>
        </w:tc>
      </w:tr>
      <w:tr>
        <w:trPr>
          <w:trHeight w:val="196"/>
        </w:trPr>
        <w:tc>
          <w:tcPr>
            <w:tcW w:w="6720" w:type="dxa"/>
            <w:vAlign w:val="bottom"/>
            <w:tcBorders>
              <w:top w:val="single" w:sz="8" w:color="CFF0FC"/>
            </w:tcBorders>
            <w:shd w:val="clear" w:color="auto" w:fill="CFF0FC"/>
          </w:tcPr>
          <w:p>
            <w:pPr>
              <w:ind w:left="300"/>
              <w:spacing w:after="0"/>
              <w:rPr>
                <w:sz w:val="20"/>
                <w:szCs w:val="20"/>
                <w:color w:val="auto"/>
              </w:rPr>
            </w:pPr>
            <w:r>
              <w:rPr>
                <w:rFonts w:ascii="Arial" w:cs="Arial" w:eastAsia="Arial" w:hAnsi="Arial"/>
                <w:sz w:val="16"/>
                <w:szCs w:val="16"/>
                <w:color w:val="auto"/>
              </w:rPr>
              <w:t>Net cash used in operating activities</w:t>
            </w:r>
          </w:p>
        </w:tc>
        <w:tc>
          <w:tcPr>
            <w:tcW w:w="10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(25,714)</w:t>
            </w:r>
          </w:p>
        </w:tc>
        <w:tc>
          <w:tcPr>
            <w:tcW w:w="2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(65,965)</w:t>
            </w:r>
          </w:p>
        </w:tc>
        <w:tc>
          <w:tcPr>
            <w:tcW w:w="120" w:type="dxa"/>
            <w:vAlign w:val="bottom"/>
            <w:tcBorders>
              <w:top w:val="single" w:sz="8" w:color="CFF0FC"/>
            </w:tcBorders>
            <w:shd w:val="clear" w:color="auto" w:fill="CFF0FC"/>
          </w:tcPr>
          <w:p>
            <w:pPr>
              <w:spacing w:after="0"/>
              <w:rPr>
                <w:sz w:val="17"/>
                <w:szCs w:val="17"/>
                <w:color w:val="auto"/>
              </w:rPr>
            </w:pPr>
          </w:p>
        </w:tc>
      </w:tr>
      <w:tr>
        <w:trPr>
          <w:trHeight w:val="196"/>
        </w:trPr>
        <w:tc>
          <w:tcPr>
            <w:tcW w:w="672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Capital expenditures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(4,473)</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(4,449)</w:t>
            </w: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Proceeds from sale of property and equipment</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112</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Payments for acquisitions, net of cash acquired</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1,064</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Investments in unconsolidated joint ventures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(9,713)</w:t>
            </w: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(22,240)</w:t>
            </w: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Return of investments in unconsolidated joint ventures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644</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Borders>
              <w:bottom w:val="single" w:sz="8" w:color="CFF0FC"/>
            </w:tcBorders>
          </w:tcPr>
          <w:p>
            <w:pPr>
              <w:ind w:left="300"/>
              <w:spacing w:after="0"/>
              <w:rPr>
                <w:sz w:val="20"/>
                <w:szCs w:val="20"/>
                <w:color w:val="auto"/>
              </w:rPr>
            </w:pPr>
            <w:r>
              <w:rPr>
                <w:rFonts w:ascii="Arial" w:cs="Arial" w:eastAsia="Arial" w:hAnsi="Arial"/>
                <w:sz w:val="16"/>
                <w:szCs w:val="16"/>
                <w:color w:val="auto"/>
              </w:rPr>
              <w:t>Proceeds from sales of investments in unconsolidated joint ventures</w:t>
            </w:r>
          </w:p>
        </w:tc>
        <w:tc>
          <w:tcPr>
            <w:tcW w:w="102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14,300</w:t>
            </w:r>
          </w:p>
        </w:tc>
        <w:tc>
          <w:tcPr>
            <w:tcW w:w="120" w:type="dxa"/>
            <w:vAlign w:val="bottom"/>
            <w:tcBorders>
              <w:bottom w:val="single" w:sz="8" w:color="CFF0FC"/>
            </w:tcBorders>
          </w:tcPr>
          <w:p>
            <w:pPr>
              <w:spacing w:after="0"/>
              <w:rPr>
                <w:sz w:val="17"/>
                <w:szCs w:val="17"/>
                <w:color w:val="auto"/>
              </w:rPr>
            </w:pPr>
          </w:p>
        </w:tc>
      </w:tr>
      <w:tr>
        <w:trPr>
          <w:trHeight w:val="196"/>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Net cash used in investing activities</w:t>
            </w:r>
          </w:p>
        </w:tc>
        <w:tc>
          <w:tcPr>
            <w:tcW w:w="102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(13,430)</w:t>
            </w:r>
          </w:p>
        </w:tc>
        <w:tc>
          <w:tcPr>
            <w:tcW w:w="28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(11,045)</w:t>
            </w:r>
          </w:p>
        </w:tc>
        <w:tc>
          <w:tcPr>
            <w:tcW w:w="120" w:type="dxa"/>
            <w:vAlign w:val="bottom"/>
            <w:shd w:val="clear" w:color="auto" w:fill="CFF0FC"/>
          </w:tcPr>
          <w:p>
            <w:pPr>
              <w:spacing w:after="0"/>
              <w:rPr>
                <w:sz w:val="17"/>
                <w:szCs w:val="17"/>
                <w:color w:val="auto"/>
              </w:rPr>
            </w:pPr>
          </w:p>
        </w:tc>
      </w:tr>
      <w:tr>
        <w:trPr>
          <w:trHeight w:val="196"/>
        </w:trPr>
        <w:tc>
          <w:tcPr>
            <w:tcW w:w="672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Contributions by noncontrolling interests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1,226</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Distributions to noncontrolling interests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(8,309)</w:t>
            </w: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(8,989)</w:t>
            </w: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Repurchases of common stock</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(5,548)</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Taxes paid on vested stock</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(5,771)</w:t>
            </w: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(2,242)</w:t>
            </w:r>
          </w:p>
        </w:tc>
      </w:tr>
      <w:tr>
        <w:trPr>
          <w:trHeight w:val="196"/>
        </w:trPr>
        <w:tc>
          <w:tcPr>
            <w:tcW w:w="6720" w:type="dxa"/>
            <w:vAlign w:val="bottom"/>
            <w:tcBorders>
              <w:top w:val="single" w:sz="8" w:color="CFF0FC"/>
            </w:tcBorders>
            <w:shd w:val="clear" w:color="auto" w:fill="CFF0FC"/>
          </w:tcPr>
          <w:p>
            <w:pPr>
              <w:ind w:left="300"/>
              <w:spacing w:after="0"/>
              <w:rPr>
                <w:sz w:val="20"/>
                <w:szCs w:val="20"/>
                <w:color w:val="auto"/>
              </w:rPr>
            </w:pPr>
            <w:r>
              <w:rPr>
                <w:rFonts w:ascii="Arial" w:cs="Arial" w:eastAsia="Arial" w:hAnsi="Arial"/>
                <w:sz w:val="16"/>
                <w:szCs w:val="16"/>
                <w:color w:val="auto"/>
              </w:rPr>
              <w:t>Net cash used in financing activities</w:t>
            </w:r>
          </w:p>
        </w:tc>
        <w:tc>
          <w:tcPr>
            <w:tcW w:w="10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(18,402)</w:t>
            </w:r>
          </w:p>
        </w:tc>
        <w:tc>
          <w:tcPr>
            <w:tcW w:w="2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(11,224)</w:t>
            </w:r>
          </w:p>
        </w:tc>
        <w:tc>
          <w:tcPr>
            <w:tcW w:w="120" w:type="dxa"/>
            <w:vAlign w:val="bottom"/>
            <w:tcBorders>
              <w:top w:val="single" w:sz="8" w:color="CFF0FC"/>
            </w:tcBorders>
            <w:shd w:val="clear" w:color="auto" w:fill="CFF0FC"/>
          </w:tcPr>
          <w:p>
            <w:pPr>
              <w:spacing w:after="0"/>
              <w:rPr>
                <w:sz w:val="17"/>
                <w:szCs w:val="17"/>
                <w:color w:val="auto"/>
              </w:rPr>
            </w:pPr>
          </w:p>
        </w:tc>
      </w:tr>
      <w:tr>
        <w:trPr>
          <w:trHeight w:val="203"/>
        </w:trPr>
        <w:tc>
          <w:tcPr>
            <w:tcW w:w="6720" w:type="dxa"/>
            <w:vAlign w:val="bottom"/>
            <w:tcBorders>
              <w:bottom w:val="single" w:sz="8" w:color="CFF0FC"/>
            </w:tcBorders>
          </w:tcPr>
          <w:p>
            <w:pPr>
              <w:ind w:left="300"/>
              <w:spacing w:after="0"/>
              <w:rPr>
                <w:sz w:val="20"/>
                <w:szCs w:val="20"/>
                <w:color w:val="auto"/>
              </w:rPr>
            </w:pPr>
            <w:r>
              <w:rPr>
                <w:rFonts w:ascii="Arial" w:cs="Arial" w:eastAsia="Arial" w:hAnsi="Arial"/>
                <w:sz w:val="16"/>
                <w:szCs w:val="16"/>
                <w:color w:val="auto"/>
              </w:rPr>
              <w:t>Effect of exchange rate changes</w:t>
            </w:r>
          </w:p>
        </w:tc>
        <w:tc>
          <w:tcPr>
            <w:tcW w:w="102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w:t>
            </w:r>
          </w:p>
        </w:tc>
        <w:tc>
          <w:tcPr>
            <w:tcW w:w="28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w:t>
            </w:r>
          </w:p>
        </w:tc>
        <w:tc>
          <w:tcPr>
            <w:tcW w:w="120" w:type="dxa"/>
            <w:vAlign w:val="bottom"/>
            <w:tcBorders>
              <w:bottom w:val="single" w:sz="8" w:color="CFF0FC"/>
            </w:tcBorders>
          </w:tcPr>
          <w:p>
            <w:pPr>
              <w:spacing w:after="0"/>
              <w:rPr>
                <w:sz w:val="17"/>
                <w:szCs w:val="17"/>
                <w:color w:val="auto"/>
              </w:rPr>
            </w:pPr>
          </w:p>
        </w:tc>
      </w:tr>
      <w:tr>
        <w:trPr>
          <w:trHeight w:val="196"/>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Net decrease in cash, cash equivalents, and restricted cash</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(57,121)</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(87,804)</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Cash, cash equivalents and restricted cash:</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Beginning of year</w:t>
            </w:r>
          </w:p>
        </w:tc>
        <w:tc>
          <w:tcPr>
            <w:tcW w:w="102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343,883</w:t>
            </w:r>
          </w:p>
        </w:tc>
        <w:tc>
          <w:tcPr>
            <w:tcW w:w="28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487,215</w:t>
            </w:r>
          </w:p>
        </w:tc>
        <w:tc>
          <w:tcPr>
            <w:tcW w:w="120" w:type="dxa"/>
            <w:vAlign w:val="bottom"/>
            <w:shd w:val="clear" w:color="auto" w:fill="CFF0FC"/>
          </w:tcPr>
          <w:p>
            <w:pPr>
              <w:spacing w:after="0"/>
              <w:rPr>
                <w:sz w:val="17"/>
                <w:szCs w:val="17"/>
                <w:color w:val="auto"/>
              </w:rPr>
            </w:pPr>
          </w:p>
        </w:tc>
      </w:tr>
      <w:tr>
        <w:trPr>
          <w:trHeight w:val="196"/>
        </w:trPr>
        <w:tc>
          <w:tcPr>
            <w:tcW w:w="6720" w:type="dxa"/>
            <w:vAlign w:val="bottom"/>
          </w:tcPr>
          <w:p>
            <w:pPr>
              <w:ind w:left="300"/>
              <w:spacing w:after="0"/>
              <w:rPr>
                <w:sz w:val="20"/>
                <w:szCs w:val="20"/>
                <w:color w:val="auto"/>
              </w:rPr>
            </w:pPr>
            <w:r>
              <w:rPr>
                <w:rFonts w:ascii="Arial" w:cs="Arial" w:eastAsia="Arial" w:hAnsi="Arial"/>
                <w:sz w:val="16"/>
                <w:szCs w:val="16"/>
                <w:color w:val="auto"/>
              </w:rPr>
              <w:t>End of period</w:t>
            </w:r>
          </w:p>
        </w:tc>
        <w:tc>
          <w:tcPr>
            <w:tcW w:w="10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286,762</w:t>
            </w:r>
          </w:p>
        </w:tc>
        <w:tc>
          <w:tcPr>
            <w:tcW w:w="2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399,411</w:t>
            </w:r>
          </w:p>
        </w:tc>
        <w:tc>
          <w:tcPr>
            <w:tcW w:w="120" w:type="dxa"/>
            <w:vAlign w:val="bottom"/>
          </w:tcPr>
          <w:p>
            <w:pPr>
              <w:spacing w:after="0"/>
              <w:rPr>
                <w:sz w:val="17"/>
                <w:szCs w:val="17"/>
                <w:color w:val="auto"/>
              </w:rPr>
            </w:pPr>
          </w:p>
        </w:tc>
      </w:tr>
      <w:tr>
        <w:trPr>
          <w:trHeight w:val="20"/>
        </w:trPr>
        <w:tc>
          <w:tcPr>
            <w:tcW w:w="6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jc w:val="center"/>
        <w:spacing w:after="0" w:line="234" w:lineRule="auto"/>
        <w:rPr>
          <w:sz w:val="20"/>
          <w:szCs w:val="20"/>
          <w:color w:val="auto"/>
        </w:rPr>
      </w:pPr>
      <w:r>
        <w:rPr>
          <w:rFonts w:ascii="Arial" w:cs="Arial" w:eastAsia="Arial" w:hAnsi="Arial"/>
          <w:sz w:val="18"/>
          <w:szCs w:val="18"/>
          <w:b w:val="1"/>
          <w:bCs w:val="1"/>
          <w:color w:val="auto"/>
        </w:rPr>
        <w:t>For the Three Months Ended March 31, 2022 and March 31, 2021</w:t>
      </w:r>
    </w:p>
    <w:p>
      <w:pPr>
        <w:jc w:val="center"/>
        <w:spacing w:after="0" w:line="235"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Retained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Accumulated</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12"/>
                <w:szCs w:val="12"/>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7"/>
              </w:rPr>
              <w:t>Earnings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Other</w:t>
            </w:r>
          </w:p>
        </w:tc>
        <w:tc>
          <w:tcPr>
            <w:tcW w:w="80" w:type="dxa"/>
            <w:vAlign w:val="bottom"/>
          </w:tcPr>
          <w:p>
            <w:pPr>
              <w:spacing w:after="0"/>
              <w:rPr>
                <w:sz w:val="12"/>
                <w:szCs w:val="12"/>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1"/>
              </w:rPr>
              <w:t>Total</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Common</w:t>
            </w:r>
          </w:p>
        </w:tc>
        <w:tc>
          <w:tcPr>
            <w:tcW w:w="100" w:type="dxa"/>
            <w:vAlign w:val="bottom"/>
          </w:tcPr>
          <w:p>
            <w:pPr>
              <w:spacing w:after="0"/>
              <w:rPr>
                <w:sz w:val="12"/>
                <w:szCs w:val="12"/>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Treasury</w:t>
            </w:r>
          </w:p>
        </w:tc>
        <w:tc>
          <w:tcPr>
            <w:tcW w:w="100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Paid-in</w:t>
            </w:r>
          </w:p>
        </w:tc>
        <w:tc>
          <w:tcPr>
            <w:tcW w:w="900" w:type="dxa"/>
            <w:vAlign w:val="bottom"/>
            <w:gridSpan w:val="3"/>
          </w:tcPr>
          <w:p>
            <w:pPr>
              <w:ind w:left="20"/>
              <w:spacing w:after="0"/>
              <w:rPr>
                <w:sz w:val="20"/>
                <w:szCs w:val="20"/>
                <w:color w:val="auto"/>
              </w:rPr>
            </w:pPr>
            <w:r>
              <w:rPr>
                <w:rFonts w:ascii="Arial" w:cs="Arial" w:eastAsia="Arial" w:hAnsi="Arial"/>
                <w:sz w:val="11"/>
                <w:szCs w:val="11"/>
                <w:b w:val="1"/>
                <w:bCs w:val="1"/>
                <w:color w:val="auto"/>
              </w:rPr>
              <w:t>(Accumulated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Comprehensive</w:t>
            </w:r>
          </w:p>
        </w:tc>
        <w:tc>
          <w:tcPr>
            <w:tcW w:w="80" w:type="dxa"/>
            <w:vAlign w:val="bottom"/>
          </w:tcPr>
          <w:p>
            <w:pPr>
              <w:spacing w:after="0"/>
              <w:rPr>
                <w:sz w:val="12"/>
                <w:szCs w:val="12"/>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Parsons</w:t>
            </w:r>
          </w:p>
        </w:tc>
        <w:tc>
          <w:tcPr>
            <w:tcW w:w="80" w:type="dxa"/>
            <w:vAlign w:val="bottom"/>
          </w:tcPr>
          <w:p>
            <w:pPr>
              <w:spacing w:after="0"/>
              <w:rPr>
                <w:sz w:val="12"/>
                <w:szCs w:val="12"/>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1"/>
                <w:szCs w:val="11"/>
                <w:b w:val="1"/>
                <w:bCs w:val="1"/>
                <w:color w:val="auto"/>
              </w:rPr>
              <w:t>Noncontrolling</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Borders>
              <w:bottom w:val="single" w:sz="8" w:color="CFF0FC"/>
            </w:tcBorders>
          </w:tcPr>
          <w:p>
            <w:pPr>
              <w:spacing w:after="0"/>
              <w:rPr>
                <w:sz w:val="11"/>
                <w:szCs w:val="11"/>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1"/>
                <w:szCs w:val="11"/>
                <w:b w:val="1"/>
                <w:bCs w:val="1"/>
                <w:color w:val="auto"/>
              </w:rPr>
              <w:t>Stock</w:t>
            </w:r>
          </w:p>
        </w:tc>
        <w:tc>
          <w:tcPr>
            <w:tcW w:w="1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700" w:type="dxa"/>
            <w:vAlign w:val="bottom"/>
            <w:tcBorders>
              <w:bottom w:val="single" w:sz="8" w:color="auto"/>
            </w:tcBorders>
          </w:tcPr>
          <w:p>
            <w:pPr>
              <w:jc w:val="right"/>
              <w:ind w:right="157"/>
              <w:spacing w:after="0"/>
              <w:rPr>
                <w:sz w:val="20"/>
                <w:szCs w:val="20"/>
                <w:color w:val="auto"/>
              </w:rPr>
            </w:pPr>
            <w:r>
              <w:rPr>
                <w:rFonts w:ascii="Arial" w:cs="Arial" w:eastAsia="Arial" w:hAnsi="Arial"/>
                <w:sz w:val="11"/>
                <w:szCs w:val="11"/>
                <w:b w:val="1"/>
                <w:bCs w:val="1"/>
                <w:color w:val="auto"/>
              </w:rPr>
              <w:t>Stock</w:t>
            </w:r>
          </w:p>
        </w:tc>
        <w:tc>
          <w:tcPr>
            <w:tcW w:w="220" w:type="dxa"/>
            <w:vAlign w:val="bottom"/>
            <w:tcBorders>
              <w:bottom w:val="single" w:sz="8" w:color="CFF0FC"/>
            </w:tcBorders>
          </w:tcPr>
          <w:p>
            <w:pPr>
              <w:spacing w:after="0"/>
              <w:rPr>
                <w:sz w:val="11"/>
                <w:szCs w:val="11"/>
                <w:color w:val="auto"/>
              </w:rPr>
            </w:pP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1"/>
                <w:szCs w:val="11"/>
                <w:b w:val="1"/>
                <w:bCs w:val="1"/>
                <w:color w:val="auto"/>
              </w:rPr>
              <w:t>Capital</w:t>
            </w:r>
          </w:p>
        </w:tc>
        <w:tc>
          <w:tcPr>
            <w:tcW w:w="22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50"/>
              <w:spacing w:after="0"/>
              <w:rPr>
                <w:sz w:val="20"/>
                <w:szCs w:val="20"/>
                <w:color w:val="auto"/>
              </w:rPr>
            </w:pPr>
            <w:r>
              <w:rPr>
                <w:rFonts w:ascii="Arial" w:cs="Arial" w:eastAsia="Arial" w:hAnsi="Arial"/>
                <w:sz w:val="11"/>
                <w:szCs w:val="11"/>
                <w:b w:val="1"/>
                <w:bCs w:val="1"/>
                <w:color w:val="auto"/>
                <w:w w:val="96"/>
              </w:rPr>
              <w:t>Deficit)</w:t>
            </w:r>
          </w:p>
        </w:tc>
        <w:tc>
          <w:tcPr>
            <w:tcW w:w="14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31"/>
              <w:spacing w:after="0"/>
              <w:rPr>
                <w:sz w:val="20"/>
                <w:szCs w:val="20"/>
                <w:color w:val="auto"/>
              </w:rPr>
            </w:pPr>
            <w:r>
              <w:rPr>
                <w:rFonts w:ascii="Arial" w:cs="Arial" w:eastAsia="Arial" w:hAnsi="Arial"/>
                <w:sz w:val="11"/>
                <w:szCs w:val="11"/>
                <w:b w:val="1"/>
                <w:bCs w:val="1"/>
                <w:color w:val="auto"/>
                <w:w w:val="99"/>
              </w:rPr>
              <w:t>Income (Loss)</w:t>
            </w:r>
          </w:p>
        </w:tc>
        <w:tc>
          <w:tcPr>
            <w:tcW w:w="14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Equity</w:t>
            </w:r>
          </w:p>
        </w:tc>
        <w:tc>
          <w:tcPr>
            <w:tcW w:w="14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89"/>
              <w:spacing w:after="0"/>
              <w:rPr>
                <w:sz w:val="20"/>
                <w:szCs w:val="20"/>
                <w:color w:val="auto"/>
              </w:rPr>
            </w:pPr>
            <w:r>
              <w:rPr>
                <w:rFonts w:ascii="Arial" w:cs="Arial" w:eastAsia="Arial" w:hAnsi="Arial"/>
                <w:sz w:val="11"/>
                <w:szCs w:val="11"/>
                <w:b w:val="1"/>
                <w:bCs w:val="1"/>
                <w:color w:val="auto"/>
              </w:rPr>
              <w:t>Interests</w:t>
            </w:r>
          </w:p>
        </w:tc>
        <w:tc>
          <w:tcPr>
            <w:tcW w:w="14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1"/>
                <w:szCs w:val="11"/>
                <w:b w:val="1"/>
                <w:bCs w:val="1"/>
                <w:color w:val="auto"/>
              </w:rPr>
              <w:t>Total</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2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December 31, 2021</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$ 146,277</w:t>
            </w:r>
          </w:p>
        </w:tc>
        <w:tc>
          <w:tcPr>
            <w:tcW w:w="140" w:type="dxa"/>
            <w:vAlign w:val="bottom"/>
            <w:shd w:val="clear" w:color="auto" w:fill="CFF0FC"/>
          </w:tcPr>
          <w:p>
            <w:pPr>
              <w:spacing w:after="0"/>
              <w:rPr>
                <w:sz w:val="14"/>
                <w:szCs w:val="14"/>
                <w:color w:val="auto"/>
              </w:rPr>
            </w:pPr>
          </w:p>
        </w:tc>
        <w:tc>
          <w:tcPr>
            <w:tcW w:w="102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 (867,391)</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$ 2,684,979</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(53,529)</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(9,568)</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$ 1,900,768</w:t>
            </w:r>
          </w:p>
        </w:tc>
        <w:tc>
          <w:tcPr>
            <w:tcW w:w="14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26"/>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36,344</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$ 1,937,112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0" w:type="dxa"/>
            <w:vAlign w:val="bottom"/>
          </w:tcPr>
          <w:p>
            <w:pPr>
              <w:spacing w:after="0"/>
              <w:rPr>
                <w:sz w:val="20"/>
                <w:szCs w:val="20"/>
                <w:color w:val="auto"/>
              </w:rPr>
            </w:pPr>
            <w:r>
              <w:rPr>
                <w:rFonts w:ascii="Arial" w:cs="Arial" w:eastAsia="Arial" w:hAnsi="Arial"/>
                <w:sz w:val="14"/>
                <w:szCs w:val="14"/>
                <w:color w:val="auto"/>
              </w:rPr>
              <w:t>Comprehensive income</w:t>
            </w:r>
          </w:p>
        </w:tc>
        <w:tc>
          <w:tcPr>
            <w:tcW w:w="6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20,667</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20,667</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3,176</w:t>
            </w: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23,843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200" w:type="dxa"/>
            <w:vAlign w:val="bottom"/>
          </w:tcPr>
          <w:p>
            <w:pPr>
              <w:ind w:left="260"/>
              <w:spacing w:after="0"/>
              <w:rPr>
                <w:sz w:val="20"/>
                <w:szCs w:val="20"/>
                <w:color w:val="auto"/>
              </w:rPr>
            </w:pPr>
            <w:r>
              <w:rPr>
                <w:rFonts w:ascii="Arial" w:cs="Arial" w:eastAsia="Arial" w:hAnsi="Arial"/>
                <w:sz w:val="14"/>
                <w:szCs w:val="14"/>
                <w:color w:val="auto"/>
              </w:rPr>
              <w:t>Foreign currency translation loss, net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2,873</w:t>
            </w:r>
          </w:p>
        </w:tc>
        <w:tc>
          <w:tcPr>
            <w:tcW w:w="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2,873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2,874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Pension adjustments, net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22</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tcPr>
          <w:p>
            <w:pPr>
              <w:spacing w:after="0"/>
              <w:rPr>
                <w:sz w:val="20"/>
                <w:szCs w:val="20"/>
                <w:color w:val="auto"/>
              </w:rPr>
            </w:pPr>
            <w:r>
              <w:rPr>
                <w:rFonts w:ascii="Arial" w:cs="Arial" w:eastAsia="Arial" w:hAnsi="Arial"/>
                <w:sz w:val="14"/>
                <w:szCs w:val="14"/>
                <w:color w:val="auto"/>
              </w:rPr>
              <w:t>Contributions</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1,226</w:t>
            </w:r>
          </w:p>
        </w:tc>
        <w:tc>
          <w:tcPr>
            <w:tcW w:w="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1,226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Distributions</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(8,309)</w:t>
            </w:r>
          </w:p>
        </w:tc>
        <w:tc>
          <w:tcPr>
            <w:tcW w:w="96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(8,309)</w:t>
            </w:r>
          </w:p>
        </w:tc>
        <w:tc>
          <w:tcPr>
            <w:tcW w:w="0" w:type="dxa"/>
            <w:vAlign w:val="bottom"/>
          </w:tcPr>
          <w:p>
            <w:pPr>
              <w:spacing w:after="0"/>
              <w:rPr>
                <w:sz w:val="1"/>
                <w:szCs w:val="1"/>
                <w:color w:val="auto"/>
              </w:rPr>
            </w:pPr>
          </w:p>
        </w:tc>
      </w:tr>
      <w:tr>
        <w:trPr>
          <w:trHeight w:val="176"/>
        </w:trPr>
        <w:tc>
          <w:tcPr>
            <w:tcW w:w="3200" w:type="dxa"/>
            <w:vAlign w:val="bottom"/>
          </w:tcPr>
          <w:p>
            <w:pPr>
              <w:spacing w:after="0"/>
              <w:rPr>
                <w:sz w:val="20"/>
                <w:szCs w:val="20"/>
                <w:color w:val="auto"/>
              </w:rPr>
            </w:pPr>
            <w:r>
              <w:rPr>
                <w:rFonts w:ascii="Arial" w:cs="Arial" w:eastAsia="Arial" w:hAnsi="Arial"/>
                <w:sz w:val="14"/>
                <w:szCs w:val="14"/>
                <w:color w:val="auto"/>
              </w:rPr>
              <w:t>Issuance of equity securities, net of retirements</w:t>
            </w:r>
          </w:p>
        </w:tc>
        <w:tc>
          <w:tcPr>
            <w:tcW w:w="640" w:type="dxa"/>
            <w:vAlign w:val="bottom"/>
          </w:tcPr>
          <w:p>
            <w:pPr>
              <w:jc w:val="right"/>
              <w:spacing w:after="0"/>
              <w:rPr>
                <w:sz w:val="20"/>
                <w:szCs w:val="20"/>
                <w:color w:val="auto"/>
              </w:rPr>
            </w:pPr>
            <w:r>
              <w:rPr>
                <w:rFonts w:ascii="Arial" w:cs="Arial" w:eastAsia="Arial" w:hAnsi="Arial"/>
                <w:sz w:val="14"/>
                <w:szCs w:val="14"/>
                <w:color w:val="auto"/>
              </w:rPr>
              <w:t>222</w:t>
            </w:r>
          </w:p>
        </w:tc>
        <w:tc>
          <w:tcPr>
            <w:tcW w:w="14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(4,719)</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(4,493)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4"/>
                <w:szCs w:val="14"/>
                <w:color w:val="auto"/>
              </w:rPr>
              <w:t>(4,493)</w:t>
            </w:r>
          </w:p>
        </w:tc>
        <w:tc>
          <w:tcPr>
            <w:tcW w:w="0" w:type="dxa"/>
            <w:vAlign w:val="bottom"/>
          </w:tcPr>
          <w:p>
            <w:pPr>
              <w:spacing w:after="0"/>
              <w:rPr>
                <w:sz w:val="1"/>
                <w:szCs w:val="1"/>
                <w:color w:val="auto"/>
              </w:rPr>
            </w:pPr>
          </w:p>
        </w:tc>
      </w:tr>
      <w:tr>
        <w:trPr>
          <w:trHeight w:val="176"/>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Repurchases of common stock</w:t>
            </w: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(151)</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(5,397)</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(5,548)</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96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(5,548)</w:t>
            </w:r>
          </w:p>
        </w:tc>
        <w:tc>
          <w:tcPr>
            <w:tcW w:w="0" w:type="dxa"/>
            <w:vAlign w:val="bottom"/>
          </w:tcPr>
          <w:p>
            <w:pPr>
              <w:spacing w:after="0"/>
              <w:rPr>
                <w:sz w:val="1"/>
                <w:szCs w:val="1"/>
                <w:color w:val="auto"/>
              </w:rPr>
            </w:pPr>
          </w:p>
        </w:tc>
      </w:tr>
      <w:tr>
        <w:trPr>
          <w:trHeight w:val="175"/>
        </w:trPr>
        <w:tc>
          <w:tcPr>
            <w:tcW w:w="32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Stock-based compensation</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3,898</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3,898</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March 31, 2022</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$ 146,348</w:t>
            </w:r>
          </w:p>
        </w:tc>
        <w:tc>
          <w:tcPr>
            <w:tcW w:w="140" w:type="dxa"/>
            <w:vAlign w:val="bottom"/>
            <w:shd w:val="clear" w:color="auto" w:fill="CFF0FC"/>
          </w:tcPr>
          <w:p>
            <w:pPr>
              <w:spacing w:after="0"/>
              <w:rPr>
                <w:sz w:val="14"/>
                <w:szCs w:val="14"/>
                <w:color w:val="auto"/>
              </w:rPr>
            </w:pPr>
          </w:p>
        </w:tc>
        <w:tc>
          <w:tcPr>
            <w:tcW w:w="102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 (867,391)</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$ 2,678,761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(32,858)</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(6,673)</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$ 1,918,187</w:t>
            </w:r>
          </w:p>
        </w:tc>
        <w:tc>
          <w:tcPr>
            <w:tcW w:w="14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26"/>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32,438</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$ 1,950,625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200" w:type="dxa"/>
            <w:vAlign w:val="bottom"/>
            <w:tcBorders>
              <w:bottom w:val="single" w:sz="8" w:color="CFF0FC"/>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2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December 31, 2020</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$ 146,609</w:t>
            </w:r>
          </w:p>
        </w:tc>
        <w:tc>
          <w:tcPr>
            <w:tcW w:w="140" w:type="dxa"/>
            <w:vAlign w:val="bottom"/>
            <w:shd w:val="clear" w:color="auto" w:fill="CFF0FC"/>
          </w:tcPr>
          <w:p>
            <w:pPr>
              <w:spacing w:after="0"/>
              <w:rPr>
                <w:sz w:val="14"/>
                <w:szCs w:val="14"/>
                <w:color w:val="auto"/>
              </w:rPr>
            </w:pPr>
          </w:p>
        </w:tc>
        <w:tc>
          <w:tcPr>
            <w:tcW w:w="102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 (899,328)</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$ 2,700,925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(120,569)</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(13,865)</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$ 1,813,772</w:t>
            </w:r>
          </w:p>
        </w:tc>
        <w:tc>
          <w:tcPr>
            <w:tcW w:w="14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26"/>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47,645</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$ 1,861,417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200" w:type="dxa"/>
            <w:vAlign w:val="bottom"/>
          </w:tcPr>
          <w:p>
            <w:pPr>
              <w:spacing w:after="0"/>
              <w:rPr>
                <w:sz w:val="20"/>
                <w:szCs w:val="20"/>
                <w:color w:val="auto"/>
              </w:rPr>
            </w:pPr>
            <w:r>
              <w:rPr>
                <w:rFonts w:ascii="Arial" w:cs="Arial" w:eastAsia="Arial" w:hAnsi="Arial"/>
                <w:sz w:val="14"/>
                <w:szCs w:val="14"/>
                <w:color w:val="auto"/>
              </w:rPr>
              <w:t>Comprehensive income</w:t>
            </w:r>
          </w:p>
        </w:tc>
        <w:tc>
          <w:tcPr>
            <w:tcW w:w="6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3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2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9,039</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9,039</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4,975</w:t>
            </w: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14,014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200" w:type="dxa"/>
            <w:vAlign w:val="bottom"/>
          </w:tcPr>
          <w:p>
            <w:pPr>
              <w:ind w:left="260"/>
              <w:spacing w:after="0"/>
              <w:rPr>
                <w:sz w:val="20"/>
                <w:szCs w:val="20"/>
                <w:color w:val="auto"/>
              </w:rPr>
            </w:pPr>
            <w:r>
              <w:rPr>
                <w:rFonts w:ascii="Arial" w:cs="Arial" w:eastAsia="Arial" w:hAnsi="Arial"/>
                <w:sz w:val="14"/>
                <w:szCs w:val="14"/>
                <w:color w:val="auto"/>
              </w:rPr>
              <w:t>Foreign currency translation gain, net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4,909</w:t>
            </w:r>
          </w:p>
        </w:tc>
        <w:tc>
          <w:tcPr>
            <w:tcW w:w="140" w:type="dxa"/>
            <w:vAlign w:val="bottom"/>
          </w:tcPr>
          <w:p>
            <w:pPr>
              <w:spacing w:after="0"/>
              <w:rPr>
                <w:sz w:val="16"/>
                <w:szCs w:val="16"/>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color w:val="auto"/>
              </w:rPr>
              <w:t>4,909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6"/>
                <w:szCs w:val="16"/>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color w:val="auto"/>
              </w:rPr>
              <w:t>4,914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32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Pension adjustments, net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200" w:type="dxa"/>
            <w:vAlign w:val="bottom"/>
          </w:tcPr>
          <w:p>
            <w:pPr>
              <w:spacing w:after="0"/>
              <w:rPr>
                <w:sz w:val="20"/>
                <w:szCs w:val="20"/>
                <w:color w:val="auto"/>
              </w:rPr>
            </w:pPr>
            <w:r>
              <w:rPr>
                <w:rFonts w:ascii="Arial" w:cs="Arial" w:eastAsia="Arial" w:hAnsi="Arial"/>
                <w:sz w:val="14"/>
                <w:szCs w:val="14"/>
                <w:color w:val="auto"/>
              </w:rPr>
              <w:t>Adoption of ASU 2020-06</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(40,002)</w:t>
            </w:r>
          </w:p>
        </w:tc>
        <w:tc>
          <w:tcPr>
            <w:tcW w:w="12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2,782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(37,220)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(37,220)</w:t>
            </w:r>
          </w:p>
        </w:tc>
        <w:tc>
          <w:tcPr>
            <w:tcW w:w="0" w:type="dxa"/>
            <w:vAlign w:val="bottom"/>
          </w:tcPr>
          <w:p>
            <w:pPr>
              <w:spacing w:after="0"/>
              <w:rPr>
                <w:sz w:val="1"/>
                <w:szCs w:val="1"/>
                <w:color w:val="auto"/>
              </w:rPr>
            </w:pPr>
          </w:p>
        </w:tc>
      </w:tr>
      <w:tr>
        <w:trPr>
          <w:trHeight w:val="35"/>
        </w:trPr>
        <w:tc>
          <w:tcPr>
            <w:tcW w:w="3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Contributions</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200" w:type="dxa"/>
            <w:vAlign w:val="bottom"/>
          </w:tcPr>
          <w:p>
            <w:pPr>
              <w:spacing w:after="0"/>
              <w:rPr>
                <w:sz w:val="20"/>
                <w:szCs w:val="20"/>
                <w:color w:val="auto"/>
              </w:rPr>
            </w:pPr>
            <w:r>
              <w:rPr>
                <w:rFonts w:ascii="Arial" w:cs="Arial" w:eastAsia="Arial" w:hAnsi="Arial"/>
                <w:sz w:val="14"/>
                <w:szCs w:val="14"/>
                <w:color w:val="auto"/>
              </w:rPr>
              <w:t>Distributions</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(8,989)</w:t>
            </w:r>
          </w:p>
        </w:tc>
        <w:tc>
          <w:tcPr>
            <w:tcW w:w="96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(8,989)</w:t>
            </w:r>
          </w:p>
        </w:tc>
        <w:tc>
          <w:tcPr>
            <w:tcW w:w="0" w:type="dxa"/>
            <w:vAlign w:val="bottom"/>
          </w:tcPr>
          <w:p>
            <w:pPr>
              <w:spacing w:after="0"/>
              <w:rPr>
                <w:sz w:val="1"/>
                <w:szCs w:val="1"/>
                <w:color w:val="auto"/>
              </w:rPr>
            </w:pPr>
          </w:p>
        </w:tc>
      </w:tr>
      <w:tr>
        <w:trPr>
          <w:trHeight w:val="35"/>
        </w:trPr>
        <w:tc>
          <w:tcPr>
            <w:tcW w:w="32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Issuance of equity securities, net of retirements</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45</w:t>
            </w:r>
          </w:p>
        </w:tc>
        <w:tc>
          <w:tcPr>
            <w:tcW w:w="1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(999)</w:t>
            </w: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(926)</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(926)</w:t>
            </w:r>
          </w:p>
        </w:tc>
        <w:tc>
          <w:tcPr>
            <w:tcW w:w="0" w:type="dxa"/>
            <w:vAlign w:val="bottom"/>
          </w:tcPr>
          <w:p>
            <w:pPr>
              <w:spacing w:after="0"/>
              <w:rPr>
                <w:sz w:val="1"/>
                <w:szCs w:val="1"/>
                <w:color w:val="auto"/>
              </w:rPr>
            </w:pPr>
          </w:p>
        </w:tc>
      </w:tr>
      <w:tr>
        <w:trPr>
          <w:trHeight w:val="194"/>
        </w:trPr>
        <w:tc>
          <w:tcPr>
            <w:tcW w:w="32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 w:type="dxa"/>
            <w:vAlign w:val="bottom"/>
            <w:vMerge w:val="restart"/>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7,206</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 w:type="dxa"/>
            <w:vAlign w:val="bottom"/>
            <w:vMerge w:val="restart"/>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7,206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 w:type="dxa"/>
            <w:vAlign w:val="bottom"/>
            <w:vMerge w:val="restart"/>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7,206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3200" w:type="dxa"/>
            <w:vAlign w:val="bottom"/>
            <w:tcBorders>
              <w:bottom w:val="single" w:sz="8" w:color="CFF0FC"/>
            </w:tcBorders>
          </w:tcPr>
          <w:p>
            <w:pPr>
              <w:spacing w:after="0"/>
              <w:rPr>
                <w:sz w:val="3"/>
                <w:szCs w:val="3"/>
                <w:color w:val="auto"/>
              </w:rPr>
            </w:pPr>
          </w:p>
        </w:tc>
        <w:tc>
          <w:tcPr>
            <w:tcW w:w="640" w:type="dxa"/>
            <w:vAlign w:val="bottom"/>
            <w:tcBorders>
              <w:bottom w:val="single" w:sz="8" w:color="auto"/>
            </w:tcBorders>
            <w:vMerge w:val="continue"/>
          </w:tcPr>
          <w:p>
            <w:pPr>
              <w:spacing w:after="0"/>
              <w:rPr>
                <w:sz w:val="3"/>
                <w:szCs w:val="3"/>
                <w:color w:val="auto"/>
              </w:rPr>
            </w:pPr>
          </w:p>
        </w:tc>
        <w:tc>
          <w:tcPr>
            <w:tcW w:w="140" w:type="dxa"/>
            <w:vAlign w:val="bottom"/>
            <w:tcBorders>
              <w:bottom w:val="single" w:sz="8" w:color="CFF0FC"/>
            </w:tcBorders>
          </w:tcPr>
          <w:p>
            <w:pPr>
              <w:spacing w:after="0"/>
              <w:rPr>
                <w:sz w:val="3"/>
                <w:szCs w:val="3"/>
                <w:color w:val="auto"/>
              </w:rPr>
            </w:pPr>
          </w:p>
        </w:tc>
        <w:tc>
          <w:tcPr>
            <w:tcW w:w="100" w:type="dxa"/>
            <w:vAlign w:val="bottom"/>
            <w:tcBorders>
              <w:bottom w:val="single" w:sz="8" w:color="CFF0FC"/>
            </w:tcBorders>
            <w:vMerge w:val="continue"/>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220" w:type="dxa"/>
            <w:vAlign w:val="bottom"/>
            <w:tcBorders>
              <w:bottom w:val="single" w:sz="8" w:color="CFF0FC"/>
            </w:tcBorders>
          </w:tcPr>
          <w:p>
            <w:pPr>
              <w:spacing w:after="0"/>
              <w:rPr>
                <w:sz w:val="3"/>
                <w:szCs w:val="3"/>
                <w:color w:val="auto"/>
              </w:rPr>
            </w:pPr>
          </w:p>
        </w:tc>
        <w:tc>
          <w:tcPr>
            <w:tcW w:w="780" w:type="dxa"/>
            <w:vAlign w:val="bottom"/>
            <w:tcBorders>
              <w:bottom w:val="single" w:sz="8" w:color="auto"/>
            </w:tcBorders>
            <w:vMerge w:val="continue"/>
          </w:tcPr>
          <w:p>
            <w:pPr>
              <w:spacing w:after="0"/>
              <w:rPr>
                <w:sz w:val="3"/>
                <w:szCs w:val="3"/>
                <w:color w:val="auto"/>
              </w:rPr>
            </w:pPr>
          </w:p>
        </w:tc>
        <w:tc>
          <w:tcPr>
            <w:tcW w:w="22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vMerge w:val="continue"/>
          </w:tcPr>
          <w:p>
            <w:pPr>
              <w:spacing w:after="0"/>
              <w:rPr>
                <w:sz w:val="3"/>
                <w:szCs w:val="3"/>
                <w:color w:val="auto"/>
              </w:rPr>
            </w:pPr>
          </w:p>
        </w:tc>
        <w:tc>
          <w:tcPr>
            <w:tcW w:w="14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vMerge w:val="continue"/>
          </w:tcPr>
          <w:p>
            <w:pPr>
              <w:spacing w:after="0"/>
              <w:rPr>
                <w:sz w:val="3"/>
                <w:szCs w:val="3"/>
                <w:color w:val="auto"/>
              </w:rPr>
            </w:pPr>
          </w:p>
        </w:tc>
        <w:tc>
          <w:tcPr>
            <w:tcW w:w="14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vMerge w:val="continue"/>
          </w:tcPr>
          <w:p>
            <w:pPr>
              <w:spacing w:after="0"/>
              <w:rPr>
                <w:sz w:val="3"/>
                <w:szCs w:val="3"/>
                <w:color w:val="auto"/>
              </w:rPr>
            </w:pPr>
          </w:p>
        </w:tc>
        <w:tc>
          <w:tcPr>
            <w:tcW w:w="780" w:type="dxa"/>
            <w:vAlign w:val="bottom"/>
            <w:tcBorders>
              <w:bottom w:val="single" w:sz="8" w:color="auto"/>
            </w:tcBorders>
            <w:vMerge w:val="continue"/>
          </w:tcPr>
          <w:p>
            <w:pPr>
              <w:spacing w:after="0"/>
              <w:rPr>
                <w:sz w:val="3"/>
                <w:szCs w:val="3"/>
                <w:color w:val="auto"/>
              </w:rPr>
            </w:pPr>
          </w:p>
        </w:tc>
        <w:tc>
          <w:tcPr>
            <w:tcW w:w="14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vMerge w:val="continue"/>
          </w:tcPr>
          <w:p>
            <w:pPr>
              <w:spacing w:after="0"/>
              <w:rPr>
                <w:sz w:val="3"/>
                <w:szCs w:val="3"/>
                <w:color w:val="auto"/>
              </w:rPr>
            </w:pPr>
          </w:p>
        </w:tc>
        <w:tc>
          <w:tcPr>
            <w:tcW w:w="14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vMerge w:val="continue"/>
          </w:tcPr>
          <w:p>
            <w:pPr>
              <w:spacing w:after="0"/>
              <w:rPr>
                <w:sz w:val="3"/>
                <w:szCs w:val="3"/>
                <w:color w:val="auto"/>
              </w:rPr>
            </w:pPr>
          </w:p>
        </w:tc>
        <w:tc>
          <w:tcPr>
            <w:tcW w:w="78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32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March 31, 2021</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96"/>
              </w:rPr>
              <w:t>$ 146,654</w:t>
            </w:r>
          </w:p>
        </w:tc>
        <w:tc>
          <w:tcPr>
            <w:tcW w:w="140" w:type="dxa"/>
            <w:vAlign w:val="bottom"/>
            <w:shd w:val="clear" w:color="auto" w:fill="CFF0FC"/>
          </w:tcPr>
          <w:p>
            <w:pPr>
              <w:spacing w:after="0"/>
              <w:rPr>
                <w:sz w:val="16"/>
                <w:szCs w:val="16"/>
                <w:color w:val="auto"/>
              </w:rPr>
            </w:pPr>
          </w:p>
        </w:tc>
        <w:tc>
          <w:tcPr>
            <w:tcW w:w="1020" w:type="dxa"/>
            <w:vAlign w:val="bottom"/>
            <w:gridSpan w:val="3"/>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 (899,328)</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$ 2,667,130</w:t>
            </w:r>
          </w:p>
        </w:tc>
        <w:tc>
          <w:tcPr>
            <w:tcW w:w="220" w:type="dxa"/>
            <w:vAlign w:val="bottom"/>
            <w:shd w:val="clear" w:color="auto" w:fill="CFF0FC"/>
          </w:tcPr>
          <w:p>
            <w:pPr>
              <w:spacing w:after="0"/>
              <w:rPr>
                <w:sz w:val="16"/>
                <w:szCs w:val="16"/>
                <w:color w:val="auto"/>
              </w:rPr>
            </w:pPr>
          </w:p>
        </w:tc>
        <w:tc>
          <w:tcPr>
            <w:tcW w:w="12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4"/>
                <w:szCs w:val="14"/>
                <w:color w:val="auto"/>
              </w:rPr>
              <w:t>(108,720)</w:t>
            </w:r>
          </w:p>
        </w:tc>
        <w:tc>
          <w:tcPr>
            <w:tcW w:w="16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4"/>
                <w:szCs w:val="14"/>
                <w:color w:val="auto"/>
              </w:rPr>
              <w:t>(8,937)</w:t>
            </w:r>
          </w:p>
        </w:tc>
        <w:tc>
          <w:tcPr>
            <w:tcW w:w="86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$ 1,796,799</w:t>
            </w:r>
          </w:p>
        </w:tc>
        <w:tc>
          <w:tcPr>
            <w:tcW w:w="140" w:type="dxa"/>
            <w:vAlign w:val="bottom"/>
            <w:shd w:val="clear" w:color="auto" w:fill="CFF0FC"/>
          </w:tcPr>
          <w:p>
            <w:pPr>
              <w:spacing w:after="0"/>
              <w:rPr>
                <w:sz w:val="16"/>
                <w:szCs w:val="16"/>
                <w:color w:val="auto"/>
              </w:rPr>
            </w:pPr>
          </w:p>
        </w:tc>
        <w:tc>
          <w:tcPr>
            <w:tcW w:w="240" w:type="dxa"/>
            <w:vAlign w:val="bottom"/>
            <w:gridSpan w:val="2"/>
            <w:vMerge w:val="restart"/>
            <w:shd w:val="clear" w:color="auto" w:fill="CFF0FC"/>
          </w:tcPr>
          <w:p>
            <w:pPr>
              <w:jc w:val="right"/>
              <w:ind w:right="26"/>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43,643</w:t>
            </w:r>
          </w:p>
        </w:tc>
        <w:tc>
          <w:tcPr>
            <w:tcW w:w="140" w:type="dxa"/>
            <w:vAlign w:val="bottom"/>
            <w:shd w:val="clear" w:color="auto" w:fill="CFF0FC"/>
          </w:tcPr>
          <w:p>
            <w:pPr>
              <w:spacing w:after="0"/>
              <w:rPr>
                <w:sz w:val="16"/>
                <w:szCs w:val="16"/>
                <w:color w:val="auto"/>
              </w:rPr>
            </w:pPr>
          </w:p>
        </w:tc>
        <w:tc>
          <w:tcPr>
            <w:tcW w:w="86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$ 1,840,442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3200" w:type="dxa"/>
            <w:vAlign w:val="bottom"/>
            <w:shd w:val="clear" w:color="auto" w:fill="CFF0FC"/>
          </w:tcPr>
          <w:p>
            <w:pPr>
              <w:spacing w:after="0"/>
              <w:rPr>
                <w:sz w:val="2"/>
                <w:szCs w:val="2"/>
                <w:color w:val="auto"/>
              </w:rPr>
            </w:pPr>
          </w:p>
        </w:tc>
        <w:tc>
          <w:tcPr>
            <w:tcW w:w="640" w:type="dxa"/>
            <w:vAlign w:val="bottom"/>
            <w:vMerge w:val="continue"/>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20" w:type="dxa"/>
            <w:vAlign w:val="bottom"/>
            <w:gridSpan w:val="3"/>
            <w:vMerge w:val="continue"/>
            <w:shd w:val="clear" w:color="auto" w:fill="CFF0FC"/>
          </w:tcPr>
          <w:p>
            <w:pPr>
              <w:spacing w:after="0"/>
              <w:rPr>
                <w:sz w:val="2"/>
                <w:szCs w:val="2"/>
                <w:color w:val="auto"/>
              </w:rPr>
            </w:pPr>
          </w:p>
        </w:tc>
        <w:tc>
          <w:tcPr>
            <w:tcW w:w="780" w:type="dxa"/>
            <w:vAlign w:val="bottom"/>
            <w:vMerge w:val="continue"/>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0" w:type="dxa"/>
            <w:vAlign w:val="bottom"/>
            <w:vMerge w:val="continue"/>
            <w:shd w:val="clear" w:color="auto" w:fill="CFF0FC"/>
          </w:tcPr>
          <w:p>
            <w:pPr>
              <w:spacing w:after="0"/>
              <w:rPr>
                <w:sz w:val="2"/>
                <w:szCs w:val="2"/>
                <w:color w:val="auto"/>
              </w:rPr>
            </w:pPr>
          </w:p>
        </w:tc>
        <w:tc>
          <w:tcPr>
            <w:tcW w:w="780" w:type="dxa"/>
            <w:vAlign w:val="bottom"/>
            <w:gridSpan w:val="2"/>
            <w:vMerge w:val="continue"/>
            <w:shd w:val="clear" w:color="auto" w:fill="CFF0FC"/>
          </w:tcPr>
          <w:p>
            <w:pPr>
              <w:spacing w:after="0"/>
              <w:rPr>
                <w:sz w:val="2"/>
                <w:szCs w:val="2"/>
                <w:color w:val="auto"/>
              </w:rPr>
            </w:pPr>
          </w:p>
        </w:tc>
        <w:tc>
          <w:tcPr>
            <w:tcW w:w="160" w:type="dxa"/>
            <w:vAlign w:val="bottom"/>
            <w:gridSpan w:val="2"/>
            <w:vMerge w:val="continue"/>
            <w:shd w:val="clear" w:color="auto" w:fill="CFF0FC"/>
          </w:tcPr>
          <w:p>
            <w:pPr>
              <w:spacing w:after="0"/>
              <w:rPr>
                <w:sz w:val="2"/>
                <w:szCs w:val="2"/>
                <w:color w:val="auto"/>
              </w:rPr>
            </w:pPr>
          </w:p>
        </w:tc>
        <w:tc>
          <w:tcPr>
            <w:tcW w:w="1060" w:type="dxa"/>
            <w:vAlign w:val="bottom"/>
            <w:gridSpan w:val="2"/>
            <w:vMerge w:val="continue"/>
            <w:shd w:val="clear" w:color="auto" w:fill="CFF0FC"/>
          </w:tcPr>
          <w:p>
            <w:pPr>
              <w:spacing w:after="0"/>
              <w:rPr>
                <w:sz w:val="2"/>
                <w:szCs w:val="2"/>
                <w:color w:val="auto"/>
              </w:rPr>
            </w:pPr>
          </w:p>
        </w:tc>
        <w:tc>
          <w:tcPr>
            <w:tcW w:w="860" w:type="dxa"/>
            <w:vAlign w:val="bottom"/>
            <w:gridSpan w:val="2"/>
            <w:vMerge w:val="continue"/>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40" w:type="dxa"/>
            <w:vAlign w:val="bottom"/>
            <w:gridSpan w:val="2"/>
            <w:vMerge w:val="continue"/>
            <w:shd w:val="clear" w:color="auto" w:fill="CFF0FC"/>
          </w:tcPr>
          <w:p>
            <w:pPr>
              <w:spacing w:after="0"/>
              <w:rPr>
                <w:sz w:val="2"/>
                <w:szCs w:val="2"/>
                <w:color w:val="auto"/>
              </w:rPr>
            </w:pPr>
          </w:p>
        </w:tc>
        <w:tc>
          <w:tcPr>
            <w:tcW w:w="780" w:type="dxa"/>
            <w:vAlign w:val="bottom"/>
            <w:vMerge w:val="continue"/>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860" w:type="dxa"/>
            <w:vAlign w:val="bottom"/>
            <w:gridSpan w:val="2"/>
            <w:vMerge w:val="continue"/>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37" w:lineRule="exact"/>
        <w:rPr>
          <w:sz w:val="20"/>
          <w:szCs w:val="20"/>
          <w:color w:val="auto"/>
        </w:rPr>
      </w:pPr>
    </w:p>
    <w:p>
      <w:pPr>
        <w:ind w:left="640" w:right="8380" w:hanging="632"/>
        <w:spacing w:after="0" w:line="547" w:lineRule="auto"/>
        <w:tabs>
          <w:tab w:leader="none" w:pos="63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Operations Organization</w:t>
      </w:r>
    </w:p>
    <w:p>
      <w:pPr>
        <w:spacing w:after="0" w:line="1" w:lineRule="exact"/>
        <w:rPr>
          <w:sz w:val="20"/>
          <w:szCs w:val="20"/>
          <w:color w:val="auto"/>
        </w:rPr>
      </w:pPr>
    </w:p>
    <w:p>
      <w:pPr>
        <w:ind w:right="160" w:firstLine="637"/>
        <w:spacing w:after="0" w:line="248" w:lineRule="auto"/>
        <w:rPr>
          <w:sz w:val="20"/>
          <w:szCs w:val="20"/>
          <w:color w:val="auto"/>
        </w:rPr>
      </w:pPr>
      <w:r>
        <w:rPr>
          <w:rFonts w:ascii="Arial" w:cs="Arial" w:eastAsia="Arial" w:hAnsi="Arial"/>
          <w:sz w:val="18"/>
          <w:szCs w:val="18"/>
          <w:color w:val="auto"/>
        </w:rPr>
        <w:t>Parsons Corporation, a Delaware corporation, and its subsidiaries (collectively, the “Company”) provide sophisticated design, engineering and technical services, and smart and agile software to the United States federal government and Critical Infrastructure customers worldwide. The Company performs work in various foreign countries through local subsidiaries, joint ventures and foreign offices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maintained to carry out specific projects.</w:t>
      </w:r>
    </w:p>
    <w:p>
      <w:pPr>
        <w:spacing w:after="0" w:line="216"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Principles of Consolidation</w:t>
      </w:r>
    </w:p>
    <w:p>
      <w:pPr>
        <w:spacing w:after="0" w:line="212" w:lineRule="exact"/>
        <w:rPr>
          <w:sz w:val="20"/>
          <w:szCs w:val="20"/>
          <w:color w:val="auto"/>
        </w:rPr>
      </w:pPr>
    </w:p>
    <w:p>
      <w:pPr>
        <w:ind w:right="400" w:firstLine="637"/>
        <w:spacing w:after="0" w:line="244" w:lineRule="auto"/>
        <w:rPr>
          <w:sz w:val="20"/>
          <w:szCs w:val="20"/>
          <w:color w:val="auto"/>
        </w:rPr>
      </w:pPr>
      <w:r>
        <w:rPr>
          <w:rFonts w:ascii="Arial" w:cs="Arial" w:eastAsia="Arial" w:hAnsi="Arial"/>
          <w:sz w:val="18"/>
          <w:szCs w:val="18"/>
          <w:color w:val="auto"/>
        </w:rPr>
        <w:t>The accompanying unaudited consolidated financial statements and related notes of the Company have been prepared in accordance with generally accepted accounting principles in the United States of America ("GAAP") and pursuant to the interim period reporting requirements of Form 10-Q. They do not include all of the information and footnotes required by GAAP for complete financial statements and, therefore, should be read in conjunction with our consolidated financial statements and the notes thereto included in the Company’s Annual Report on Form 10-K for the year ended December 31, 2021.</w:t>
      </w:r>
    </w:p>
    <w:p>
      <w:pPr>
        <w:spacing w:after="0" w:line="176" w:lineRule="exact"/>
        <w:rPr>
          <w:sz w:val="20"/>
          <w:szCs w:val="20"/>
          <w:color w:val="auto"/>
        </w:rPr>
      </w:pPr>
    </w:p>
    <w:p>
      <w:pPr>
        <w:ind w:right="60" w:firstLine="637"/>
        <w:spacing w:after="0" w:line="253" w:lineRule="auto"/>
        <w:rPr>
          <w:sz w:val="20"/>
          <w:szCs w:val="20"/>
          <w:color w:val="auto"/>
        </w:rPr>
      </w:pPr>
      <w:r>
        <w:rPr>
          <w:rFonts w:ascii="Arial" w:cs="Arial" w:eastAsia="Arial" w:hAnsi="Arial"/>
          <w:sz w:val="18"/>
          <w:szCs w:val="18"/>
          <w:color w:val="auto"/>
        </w:rPr>
        <w:t>In the opinion of management, the consolidated financial statements reflect all normal recurring adjustments necessary for a fair statement of the financial position, results of operations and cash flows for the interim periods presented. The results of operations and cash flows for any interim period are not necessarily indicative of results for the full year or for future years.</w:t>
      </w:r>
    </w:p>
    <w:p>
      <w:pPr>
        <w:spacing w:after="0" w:line="169" w:lineRule="exact"/>
        <w:rPr>
          <w:sz w:val="20"/>
          <w:szCs w:val="20"/>
          <w:color w:val="auto"/>
        </w:rPr>
      </w:pPr>
    </w:p>
    <w:p>
      <w:pPr>
        <w:ind w:right="40" w:firstLine="637"/>
        <w:spacing w:after="0" w:line="244" w:lineRule="auto"/>
        <w:rPr>
          <w:sz w:val="20"/>
          <w:szCs w:val="20"/>
          <w:color w:val="auto"/>
        </w:rPr>
      </w:pPr>
      <w:r>
        <w:rPr>
          <w:rFonts w:ascii="Arial" w:cs="Arial" w:eastAsia="Arial" w:hAnsi="Arial"/>
          <w:sz w:val="18"/>
          <w:szCs w:val="18"/>
          <w:color w:val="auto"/>
        </w:rPr>
        <w:t>This Quarterly Report on Form 10-Q includes the accounts of Parsons Corporation and its subsidiaries and affiliates which it controls. Interests in joint ventures that are controlled by the Company, or for which the Company is otherwise deemed to be the primary beneficiary, are consolidated. For joint ventures in which the Company does not have a controlling interest, but exerts a significant influence, the Company applies the equity method of accounting (see “Note 14 – Investments in and Advances to Joint Ventures" for further discussion). Intercompany accounts and transactions are eliminated in consolidation.</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Use of Estimates</w:t>
      </w:r>
    </w:p>
    <w:p>
      <w:pPr>
        <w:spacing w:after="0" w:line="104"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The preparation of the consolidated financial statements in accordance with GAAP requires management to make estimates and assumptions that affect the reported amounts of assets and liabilities at the date of the financial statements and the reported amounts of revenues and expenses during the reporting period. Actual amounts could differ from those estimates. The Company’s most significant estimates and judgments involve revenue recognition with respect to the determination of the costs to complete contracts and transaction price; determination of self-insurance reserves; useful lives of property and equipment and intangible assets; calculation of allowance for doubtful accounts; valuation of deferred income tax assets and uncertain tax positions, among others. Please see “Management’s Discussion and Analysis of Financial Condition and Results of Operations—Critical Accounting Policies and Estimates” and “Note 2—Summary of Significant Accounting Polices” in the notes to our consolidated financial statements included in the Company’s Form 10-K for the year ended December 31, 2021, for a discussion of the significant estimates and assumptions affecting our consolidated financial statements. Estimates of costs to complete contracts are continually evaluated as work progresses and are revised when necessary. When a change in estimate is determined to have an impact on contract profit, the Company records a positive or negative adjustment to the consolidated statement of</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income.</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Stock Repurchase Plan</w:t>
      </w:r>
    </w:p>
    <w:p>
      <w:pPr>
        <w:spacing w:after="0" w:line="104" w:lineRule="exact"/>
        <w:rPr>
          <w:sz w:val="20"/>
          <w:szCs w:val="20"/>
          <w:color w:val="auto"/>
        </w:rPr>
      </w:pPr>
    </w:p>
    <w:p>
      <w:pPr>
        <w:ind w:firstLine="637"/>
        <w:spacing w:after="0" w:line="247" w:lineRule="auto"/>
        <w:rPr>
          <w:sz w:val="20"/>
          <w:szCs w:val="20"/>
          <w:color w:val="auto"/>
        </w:rPr>
      </w:pPr>
      <w:r>
        <w:rPr>
          <w:rFonts w:ascii="Arial" w:cs="Arial" w:eastAsia="Arial" w:hAnsi="Arial"/>
          <w:sz w:val="18"/>
          <w:szCs w:val="18"/>
          <w:color w:val="auto"/>
        </w:rPr>
        <w:t>During the third quarter of 2021, the Company’s Board of Directors authorized the Company to acquire a number of shares of Common Stock having an aggregate market value of not greater than $100,000,000 from time to time. Repurchased shares of common stock are retired and included in “Repurchases of common stock” in cash flows from financing activities in the Consolidated Statements of Cash Flows.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ind w:left="640" w:hanging="632"/>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212" w:lineRule="exact"/>
        <w:rPr>
          <w:sz w:val="20"/>
          <w:szCs w:val="20"/>
          <w:color w:val="auto"/>
        </w:rPr>
      </w:pPr>
    </w:p>
    <w:p>
      <w:pPr>
        <w:ind w:firstLine="510"/>
        <w:spacing w:after="0" w:line="242" w:lineRule="auto"/>
        <w:rPr>
          <w:sz w:val="20"/>
          <w:szCs w:val="20"/>
          <w:color w:val="auto"/>
        </w:rPr>
      </w:pPr>
      <w:r>
        <w:rPr>
          <w:rFonts w:ascii="Arial" w:cs="Arial" w:eastAsia="Arial" w:hAnsi="Arial"/>
          <w:sz w:val="18"/>
          <w:szCs w:val="18"/>
          <w:color w:val="202124"/>
        </w:rPr>
        <w:t>In the first quarter of 2022, the Company early adopted ASU No. 2021-08, “Business Combinations (Topic 805): Accounting for Contract Assets and Contract Liabilities from Contracts with Customers”. The new guidance requires that the approach of ASC 606, Revenue from Contracts with Customers, should be used to measure an acquired revenue contract in a business combination. This guidance is to be applied (1) retrospectively to all business combinations for which the acquisition date occurs on or after the beginning of the fiscal year that includes the interim period of early application and (2) prospectively to all business combinations that occur on or after the date of initial application. The early adoption of ASU 2021-08 did not have a material impact on the consolidated financial statements.</w:t>
      </w:r>
    </w:p>
    <w:p>
      <w:pPr>
        <w:spacing w:after="0" w:line="179" w:lineRule="exact"/>
        <w:rPr>
          <w:sz w:val="20"/>
          <w:szCs w:val="20"/>
          <w:color w:val="auto"/>
        </w:rPr>
      </w:pPr>
    </w:p>
    <w:p>
      <w:pPr>
        <w:ind w:right="40" w:firstLine="510"/>
        <w:spacing w:after="0" w:line="239" w:lineRule="auto"/>
        <w:rPr>
          <w:sz w:val="20"/>
          <w:szCs w:val="20"/>
          <w:color w:val="auto"/>
        </w:rPr>
      </w:pPr>
      <w:r>
        <w:rPr>
          <w:rFonts w:ascii="Arial" w:cs="Arial" w:eastAsia="Arial" w:hAnsi="Arial"/>
          <w:sz w:val="18"/>
          <w:szCs w:val="18"/>
          <w:color w:val="auto"/>
        </w:rPr>
        <w:t>In the first quarter of 2021, the Company early adopted Accounting Standards Update (“ASU”) ASU 2020-06, Debt – Debt with Conversion and Other Options (Subtopic 470-20) and Derivatives and Hedging – Contracts in Entity’s Own Equity (Subtopic 815-40) (“ASU 2020-06)”. The update simplifies the accounting for convertible debt instruments and convertible preferred stock by reducing the number of accounting models and limiting the number of embedded conversion features separately recognized from the primary contract. The guidance also includes targeted improvements to the disclosures for convertible instruments and earnings per share. ASU 2020-06 is effective for fiscal years beginning after December 15, 2021, including interim periods within those fiscal years. Early adoption is permitted, but no earlier than fiscal years beginning after December 15, 2020. The Company adopted ASU 2020-06 in the first quarter of 2021 using the modified retrospective method which resulted in a reduction in non-cash interest expense and reclassification of the equity portion of the Convertible Senior Notes to “Long-term debt” on the consolidated balance sheet.</w:t>
      </w:r>
    </w:p>
    <w:p>
      <w:pPr>
        <w:spacing w:after="0" w:line="183" w:lineRule="exact"/>
        <w:rPr>
          <w:sz w:val="20"/>
          <w:szCs w:val="20"/>
          <w:color w:val="auto"/>
        </w:rPr>
      </w:pPr>
    </w:p>
    <w:p>
      <w:pPr>
        <w:ind w:right="20" w:firstLine="510"/>
        <w:spacing w:after="0" w:line="242" w:lineRule="auto"/>
        <w:rPr>
          <w:sz w:val="20"/>
          <w:szCs w:val="20"/>
          <w:color w:val="auto"/>
        </w:rPr>
      </w:pPr>
      <w:r>
        <w:rPr>
          <w:rFonts w:ascii="Arial" w:cs="Arial" w:eastAsia="Arial" w:hAnsi="Arial"/>
          <w:sz w:val="18"/>
          <w:szCs w:val="18"/>
          <w:color w:val="auto"/>
        </w:rPr>
        <w:t>In the first quarter of 2021, the Company adopted ASU No. 2019-12, “Income Taxes (Topic 740): Simplifying the Accounting for Income Taxes (“ASU 2019-12”)”. ASU 2019-12 was issued as a means to reduce the complexity of accounting for income taxes. The guidance is to be applied using a prospective method, excluding amendments related to franchise taxes, which should be applied on either a retrospective basis for all periods presented or a modified retrospective basis through a cumulative-effect adjustment to retained earnings as of the beginning of the fiscal year of adoption. The adoption of ASU 2019-12 did not have a material impact on the consolidated financial statements.</w:t>
      </w:r>
    </w:p>
    <w:p>
      <w:pPr>
        <w:spacing w:after="0" w:line="192"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BlackHorse Solutions, Inc.</w:t>
      </w:r>
    </w:p>
    <w:p>
      <w:pPr>
        <w:spacing w:after="0" w:line="212" w:lineRule="exact"/>
        <w:rPr>
          <w:sz w:val="20"/>
          <w:szCs w:val="20"/>
          <w:color w:val="auto"/>
        </w:rPr>
      </w:pPr>
    </w:p>
    <w:p>
      <w:pPr>
        <w:ind w:right="180" w:firstLine="510"/>
        <w:spacing w:after="0" w:line="253" w:lineRule="auto"/>
        <w:rPr>
          <w:sz w:val="20"/>
          <w:szCs w:val="20"/>
          <w:color w:val="auto"/>
        </w:rPr>
      </w:pPr>
      <w:r>
        <w:rPr>
          <w:rFonts w:ascii="Arial" w:cs="Arial" w:eastAsia="Arial" w:hAnsi="Arial"/>
          <w:sz w:val="18"/>
          <w:szCs w:val="18"/>
          <w:color w:val="auto"/>
        </w:rPr>
        <w:t>On July 6, 2021, the Company acquired a 100% ownership interest in BlackHorse Solutions, Inc (“BlackHorse”), a privately-owned company, for $205.0 million in cash. BlackHorse expands Parsons’ capabilities and products in next-generation military, intelligence, and space operations, specifically in cyber electronic warfare and information dominance. The acquisition was entirely funded by cash on-hand.</w:t>
      </w:r>
    </w:p>
    <w:p>
      <w:pPr>
        <w:spacing w:after="0" w:line="169" w:lineRule="exact"/>
        <w:rPr>
          <w:sz w:val="20"/>
          <w:szCs w:val="20"/>
          <w:color w:val="auto"/>
        </w:rPr>
      </w:pPr>
    </w:p>
    <w:p>
      <w:pPr>
        <w:ind w:right="220" w:firstLine="510"/>
        <w:spacing w:after="0" w:line="271"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based on the purchase price allocation as of the date of acquisition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30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3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Amount</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300" w:type="dxa"/>
            <w:vAlign w:val="bottom"/>
            <w:vMerge w:val="continue"/>
          </w:tcPr>
          <w:p>
            <w:pPr>
              <w:spacing w:after="0"/>
              <w:rPr>
                <w:sz w:val="18"/>
                <w:szCs w:val="18"/>
                <w:color w:val="auto"/>
              </w:rPr>
            </w:pPr>
          </w:p>
        </w:tc>
        <w:tc>
          <w:tcPr>
            <w:tcW w:w="3920" w:type="dxa"/>
            <w:vAlign w:val="bottom"/>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15,428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39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3,351</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Contract assets</w:t>
            </w:r>
          </w:p>
        </w:tc>
        <w:tc>
          <w:tcPr>
            <w:tcW w:w="3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5,979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39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2,239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Right of use assets, operating leases</w:t>
            </w:r>
          </w:p>
        </w:tc>
        <w:tc>
          <w:tcPr>
            <w:tcW w:w="39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Goodwill</w:t>
            </w:r>
          </w:p>
        </w:tc>
        <w:tc>
          <w:tcPr>
            <w:tcW w:w="3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143,086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39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Accounts payable</w:t>
            </w:r>
          </w:p>
        </w:tc>
        <w:tc>
          <w:tcPr>
            <w:tcW w:w="3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(2,326)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39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(17,190)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Contract liabilities</w:t>
            </w:r>
          </w:p>
        </w:tc>
        <w:tc>
          <w:tcPr>
            <w:tcW w:w="3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(320)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Short-term lease liabilities, operating leases</w:t>
            </w:r>
          </w:p>
        </w:tc>
        <w:tc>
          <w:tcPr>
            <w:tcW w:w="39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Long-term lease liabilities, operating leases</w:t>
            </w:r>
          </w:p>
        </w:tc>
        <w:tc>
          <w:tcPr>
            <w:tcW w:w="3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(5,146)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39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(10,916)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(235)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assets acquired</w:t>
            </w:r>
          </w:p>
        </w:tc>
        <w:tc>
          <w:tcPr>
            <w:tcW w:w="392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205,033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920" w:type="dxa"/>
            <w:vAlign w:val="bottom"/>
            <w:vMerge w:val="restart"/>
          </w:tcPr>
          <w:p>
            <w:pPr>
              <w:jc w:val="right"/>
              <w:ind w:right="3030"/>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5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80" w:type="dxa"/>
            <w:vAlign w:val="bottom"/>
            <w:tcBorders>
              <w:bottom w:val="single" w:sz="8" w:color="9A9A9A"/>
            </w:tcBorders>
          </w:tcPr>
          <w:p>
            <w:pPr>
              <w:spacing w:after="0"/>
              <w:rPr>
                <w:sz w:val="8"/>
                <w:szCs w:val="8"/>
                <w:color w:val="auto"/>
              </w:rPr>
            </w:pPr>
          </w:p>
        </w:tc>
        <w:tc>
          <w:tcPr>
            <w:tcW w:w="4300" w:type="dxa"/>
            <w:vAlign w:val="bottom"/>
            <w:tcBorders>
              <w:bottom w:val="single" w:sz="8" w:color="9A9A9A"/>
            </w:tcBorders>
          </w:tcPr>
          <w:p>
            <w:pPr>
              <w:spacing w:after="0"/>
              <w:rPr>
                <w:sz w:val="8"/>
                <w:szCs w:val="8"/>
                <w:color w:val="auto"/>
              </w:rPr>
            </w:pPr>
          </w:p>
        </w:tc>
        <w:tc>
          <w:tcPr>
            <w:tcW w:w="39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ind w:left="520"/>
        <w:spacing w:after="0"/>
        <w:rPr>
          <w:sz w:val="20"/>
          <w:szCs w:val="20"/>
          <w:color w:val="auto"/>
        </w:rPr>
      </w:pPr>
      <w:r>
        <w:rPr>
          <w:rFonts w:ascii="Arial" w:cs="Arial" w:eastAsia="Arial" w:hAnsi="Arial"/>
          <w:sz w:val="18"/>
          <w:szCs w:val="18"/>
          <w:color w:val="auto"/>
        </w:rPr>
        <w:t>Of the total purchase price, the following values were assigned to intangible assets (in thousands, except for years):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Gross</w:t>
            </w:r>
          </w:p>
        </w:tc>
        <w:tc>
          <w:tcPr>
            <w:tcW w:w="1560" w:type="dxa"/>
            <w:vAlign w:val="bottom"/>
          </w:tcPr>
          <w:p>
            <w:pPr>
              <w:spacing w:after="0"/>
              <w:rPr>
                <w:sz w:val="14"/>
                <w:szCs w:val="14"/>
                <w:color w:val="auto"/>
              </w:rPr>
            </w:pPr>
          </w:p>
        </w:tc>
      </w:tr>
      <w:tr>
        <w:trPr>
          <w:trHeight w:val="162"/>
        </w:trPr>
        <w:tc>
          <w:tcPr>
            <w:tcW w:w="44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Carrying</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44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Amount</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204"/>
        </w:trPr>
        <w:tc>
          <w:tcPr>
            <w:tcW w:w="44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(in years)</w:t>
            </w:r>
          </w:p>
        </w:tc>
      </w:tr>
      <w:tr>
        <w:trPr>
          <w:trHeight w:val="221"/>
        </w:trPr>
        <w:tc>
          <w:tcPr>
            <w:tcW w:w="44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39,000</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Backlog</w:t>
            </w:r>
          </w:p>
        </w:tc>
        <w:tc>
          <w:tcPr>
            <w:tcW w:w="2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23,000</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Trade name</w:t>
            </w: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technologies</w:t>
            </w:r>
          </w:p>
        </w:tc>
        <w:tc>
          <w:tcPr>
            <w:tcW w:w="2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39"/>
        </w:trPr>
        <w:tc>
          <w:tcPr>
            <w:tcW w:w="4460" w:type="dxa"/>
            <w:vAlign w:val="bottom"/>
          </w:tcPr>
          <w:p>
            <w:pPr>
              <w:spacing w:after="0"/>
              <w:rPr>
                <w:sz w:val="20"/>
                <w:szCs w:val="20"/>
                <w:color w:val="auto"/>
              </w:rPr>
            </w:pPr>
            <w:r>
              <w:rPr>
                <w:rFonts w:ascii="Arial" w:cs="Arial" w:eastAsia="Arial" w:hAnsi="Arial"/>
                <w:sz w:val="18"/>
                <w:szCs w:val="18"/>
                <w:color w:val="auto"/>
              </w:rPr>
              <w:t>Non-compete agreements</w:t>
            </w: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expense of $3.6 million related to these intangible assets was recorded for the three months ended March 31, 2022. The</w:t>
      </w:r>
    </w:p>
    <w:p>
      <w:pPr>
        <w:spacing w:after="0" w:line="36"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entire value of goodwill was assigned to the Federal Solutions reporting unit and represents synergies expected to be realized from this business combination. Goodwill of $10.6 million is deductible for tax purposes.</w:t>
      </w:r>
    </w:p>
    <w:p>
      <w:pPr>
        <w:spacing w:after="0" w:line="139" w:lineRule="exact"/>
        <w:rPr>
          <w:sz w:val="20"/>
          <w:szCs w:val="20"/>
          <w:color w:val="auto"/>
        </w:rPr>
      </w:pPr>
    </w:p>
    <w:p>
      <w:pPr>
        <w:ind w:right="200" w:firstLine="510"/>
        <w:spacing w:after="0" w:line="261" w:lineRule="auto"/>
        <w:rPr>
          <w:sz w:val="20"/>
          <w:szCs w:val="20"/>
          <w:color w:val="auto"/>
        </w:rPr>
      </w:pPr>
      <w:r>
        <w:rPr>
          <w:rFonts w:ascii="Arial" w:cs="Arial" w:eastAsia="Arial" w:hAnsi="Arial"/>
          <w:sz w:val="18"/>
          <w:szCs w:val="18"/>
          <w:color w:val="auto"/>
        </w:rPr>
        <w:t>The amount of revenue generated by BlackHorse and included within consolidated revenues is $18.4 million for the three months ended March 31, 2022. The Company has determined that the presentation of net income from the date of acquisition is impracticable due to the integration of general corporate functions upon acquisition.</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104" w:lineRule="exact"/>
        <w:rPr>
          <w:sz w:val="20"/>
          <w:szCs w:val="20"/>
          <w:color w:val="auto"/>
        </w:rPr>
      </w:pPr>
    </w:p>
    <w:p>
      <w:pPr>
        <w:ind w:right="40" w:firstLine="510"/>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BlackHorse acquisition had been consummated as of the beginning of fiscal year 2020 (in thousands) is as follows:</w:t>
      </w:r>
    </w:p>
    <w:p>
      <w:pPr>
        <w:spacing w:after="0" w:line="1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jc w:val="right"/>
              <w:ind w:right="75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900" w:type="dxa"/>
            <w:vAlign w:val="bottom"/>
            <w:vMerge w:val="restart"/>
          </w:tcPr>
          <w:p>
            <w:pPr>
              <w:spacing w:after="0"/>
              <w:rPr>
                <w:sz w:val="20"/>
                <w:szCs w:val="20"/>
                <w:color w:val="auto"/>
              </w:rPr>
            </w:pPr>
            <w:r>
              <w:rPr>
                <w:rFonts w:ascii="Arial" w:cs="Arial" w:eastAsia="Arial" w:hAnsi="Arial"/>
                <w:sz w:val="18"/>
                <w:szCs w:val="18"/>
                <w:color w:val="auto"/>
              </w:rPr>
              <w:t>Pro forma Revenue</w:t>
            </w:r>
          </w:p>
        </w:tc>
        <w:tc>
          <w:tcPr>
            <w:tcW w:w="16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2022</w:t>
            </w:r>
          </w:p>
        </w:tc>
        <w:tc>
          <w:tcPr>
            <w:tcW w:w="1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210"/>
        </w:trPr>
        <w:tc>
          <w:tcPr>
            <w:tcW w:w="690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949,069</w:t>
            </w:r>
          </w:p>
        </w:tc>
        <w:tc>
          <w:tcPr>
            <w:tcW w:w="2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891,402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25,882</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Echo Ridge LLC</w:t>
      </w:r>
    </w:p>
    <w:p>
      <w:pPr>
        <w:spacing w:after="0" w:line="212" w:lineRule="exact"/>
        <w:rPr>
          <w:sz w:val="20"/>
          <w:szCs w:val="20"/>
          <w:color w:val="auto"/>
        </w:rPr>
      </w:pPr>
    </w:p>
    <w:p>
      <w:pPr>
        <w:ind w:right="60" w:firstLine="510"/>
        <w:spacing w:after="0"/>
        <w:rPr>
          <w:sz w:val="20"/>
          <w:szCs w:val="20"/>
          <w:color w:val="auto"/>
        </w:rPr>
      </w:pPr>
      <w:r>
        <w:rPr>
          <w:rFonts w:ascii="Arial" w:cs="Arial" w:eastAsia="Arial" w:hAnsi="Arial"/>
          <w:sz w:val="18"/>
          <w:szCs w:val="18"/>
          <w:color w:val="auto"/>
        </w:rPr>
        <w:t>On July 30, 2021, the Company acquired a 100% ownership interest in Echo Ridge LLC (“Echo Ridge”), a privately-owned company, for $9.0 million in cash. Echo Ridge adds position, navigation, and timing devices; modeling, simulation, test, and measurement tools; and deployable software defined radio products and signal processing services to Parsons’ space portfolio. The acquisition was entirely funded by cash on-hand. The Company allocated the purchase price to the appropriate classes of tangible assets and liabilities and assigned the excess of $7.2 million to goodwill. The entire value of goodwill was assigned to the Federal Solutions reporting unit and represents synergies expected to be realized from this business combination. Goodwill in its entirety is deductible for tax purposes. The amount of revenue generated by Echo Ridge and included within consolidated revenues for the three months ended March 31, 2022 is $1.6 million.</w:t>
      </w:r>
    </w:p>
    <w:p>
      <w:pPr>
        <w:spacing w:after="0" w:line="320" w:lineRule="exact"/>
        <w:rPr>
          <w:sz w:val="20"/>
          <w:szCs w:val="20"/>
          <w:color w:val="auto"/>
        </w:rPr>
      </w:pPr>
    </w:p>
    <w:p>
      <w:pPr>
        <w:ind w:left="640" w:right="8260" w:hanging="632"/>
        <w:spacing w:after="0" w:line="360" w:lineRule="auto"/>
        <w:tabs>
          <w:tab w:leader="none" w:pos="638"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Contracts with Customers </w:t>
      </w:r>
      <w:r>
        <w:rPr>
          <w:rFonts w:ascii="Arial" w:cs="Arial" w:eastAsia="Arial" w:hAnsi="Arial"/>
          <w:sz w:val="18"/>
          <w:szCs w:val="18"/>
          <w:b w:val="1"/>
          <w:bCs w:val="1"/>
          <w:i w:val="1"/>
          <w:iCs w:val="1"/>
          <w:color w:val="auto"/>
        </w:rPr>
        <w:t>Disaggregation of Revenue</w:t>
      </w:r>
    </w:p>
    <w:p>
      <w:pPr>
        <w:ind w:right="200" w:firstLine="637"/>
        <w:spacing w:after="0" w:line="301" w:lineRule="auto"/>
        <w:rPr>
          <w:sz w:val="20"/>
          <w:szCs w:val="20"/>
          <w:color w:val="auto"/>
        </w:rPr>
      </w:pPr>
      <w:r>
        <w:rPr>
          <w:rFonts w:ascii="Arial" w:cs="Arial" w:eastAsia="Arial" w:hAnsi="Arial"/>
          <w:sz w:val="17"/>
          <w:szCs w:val="17"/>
          <w:color w:val="auto"/>
        </w:rPr>
        <w:t>The Company’s contracts contain both fixed-price and cost reimbursable components. Contract types are based on the component that represents the majority of the contract. The following table presents revenue disaggregated by contract type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gridSpan w:val="5"/>
          </w:tcPr>
          <w:p>
            <w:pPr>
              <w:jc w:val="right"/>
              <w:ind w:right="131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r>
      <w:tr>
        <w:trPr>
          <w:trHeight w:val="169"/>
        </w:trPr>
        <w:tc>
          <w:tcPr>
            <w:tcW w:w="42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2022</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2021</w:t>
            </w:r>
          </w:p>
        </w:tc>
      </w:tr>
      <w:tr>
        <w:trPr>
          <w:trHeight w:val="210"/>
        </w:trPr>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Fixed-Price</w:t>
            </w:r>
          </w:p>
        </w:tc>
        <w:tc>
          <w:tcPr>
            <w:tcW w:w="26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240,574</w:t>
            </w: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229,942</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Time-and-Materials</w:t>
            </w:r>
          </w:p>
        </w:tc>
        <w:tc>
          <w:tcPr>
            <w:tcW w:w="29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263,315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239,665</w:t>
            </w:r>
          </w:p>
        </w:tc>
        <w:tc>
          <w:tcPr>
            <w:tcW w:w="120" w:type="dxa"/>
            <w:vAlign w:val="bottom"/>
          </w:tcPr>
          <w:p>
            <w:pPr>
              <w:spacing w:after="0"/>
              <w:rPr>
                <w:sz w:val="18"/>
                <w:szCs w:val="18"/>
                <w:color w:val="auto"/>
              </w:rPr>
            </w:pPr>
          </w:p>
        </w:tc>
      </w:tr>
      <w:tr>
        <w:trPr>
          <w:trHeight w:val="216"/>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Cost-Plus</w:t>
            </w:r>
          </w:p>
        </w:tc>
        <w:tc>
          <w:tcPr>
            <w:tcW w:w="29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445,180</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405,090</w:t>
            </w:r>
          </w:p>
        </w:tc>
        <w:tc>
          <w:tcPr>
            <w:tcW w:w="120" w:type="dxa"/>
            <w:vAlign w:val="bottom"/>
            <w:shd w:val="clear" w:color="auto" w:fill="CFF0FC"/>
          </w:tcPr>
          <w:p>
            <w:pPr>
              <w:spacing w:after="0"/>
              <w:rPr>
                <w:sz w:val="18"/>
                <w:szCs w:val="18"/>
                <w:color w:val="auto"/>
              </w:rPr>
            </w:pPr>
          </w:p>
        </w:tc>
      </w:tr>
      <w:tr>
        <w:trPr>
          <w:trHeight w:val="210"/>
        </w:trPr>
        <w:tc>
          <w:tcPr>
            <w:tcW w:w="4220" w:type="dxa"/>
            <w:vAlign w:val="bottom"/>
          </w:tcPr>
          <w:p>
            <w:pPr>
              <w:ind w:left="260"/>
              <w:spacing w:after="0"/>
              <w:rPr>
                <w:sz w:val="20"/>
                <w:szCs w:val="20"/>
                <w:color w:val="auto"/>
              </w:rPr>
            </w:pPr>
            <w:r>
              <w:rPr>
                <w:rFonts w:ascii="Arial" w:cs="Arial" w:eastAsia="Arial" w:hAnsi="Arial"/>
                <w:sz w:val="18"/>
                <w:szCs w:val="18"/>
                <w:color w:val="auto"/>
              </w:rPr>
              <w:t>Total</w:t>
            </w:r>
          </w:p>
        </w:tc>
        <w:tc>
          <w:tcPr>
            <w:tcW w:w="26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949,069</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874,697</w:t>
            </w:r>
          </w:p>
        </w:tc>
        <w:tc>
          <w:tcPr>
            <w:tcW w:w="120" w:type="dxa"/>
            <w:vAlign w:val="bottom"/>
          </w:tcPr>
          <w:p>
            <w:pPr>
              <w:spacing w:after="0"/>
              <w:rPr>
                <w:sz w:val="18"/>
                <w:szCs w:val="18"/>
                <w:color w:val="auto"/>
              </w:rPr>
            </w:pPr>
          </w:p>
        </w:tc>
      </w:tr>
    </w:tbl>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“Note 18 – Segments Information” for the Company’s revenues by business lines.</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b w:val="1"/>
          <w:bCs w:val="1"/>
          <w:i w:val="1"/>
          <w:iCs w:val="1"/>
          <w:color w:val="auto"/>
        </w:rPr>
        <w:t>Contract Assets and Contract Liabilities</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Contract assets and contract liabilities balances at March 31, 2022 and December 31, 2021 were as follows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ind w:right="375"/>
              <w:spacing w:after="0"/>
              <w:rPr>
                <w:sz w:val="20"/>
                <w:szCs w:val="20"/>
                <w:color w:val="auto"/>
              </w:rPr>
            </w:pPr>
            <w:r>
              <w:rPr>
                <w:rFonts w:ascii="Arial" w:cs="Arial" w:eastAsia="Arial" w:hAnsi="Arial"/>
                <w:sz w:val="14"/>
                <w:szCs w:val="14"/>
                <w:b w:val="1"/>
                <w:bCs w:val="1"/>
                <w:color w:val="auto"/>
              </w:rPr>
              <w:t>March 31, 2022</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2021</w:t>
            </w:r>
          </w:p>
        </w:tc>
      </w:tr>
      <w:tr>
        <w:trPr>
          <w:trHeight w:val="210"/>
        </w:trPr>
        <w:tc>
          <w:tcPr>
            <w:tcW w:w="6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 assets</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600,109</w:t>
            </w: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579,216</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6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Contract liabilities</w:t>
            </w: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172,932</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171,671</w:t>
            </w:r>
          </w:p>
        </w:tc>
        <w:tc>
          <w:tcPr>
            <w:tcW w:w="120" w:type="dxa"/>
            <w:vAlign w:val="bottom"/>
            <w:tcBorders>
              <w:bottom w:val="single" w:sz="8" w:color="CFF0FC"/>
            </w:tcBorders>
          </w:tcPr>
          <w:p>
            <w:pPr>
              <w:spacing w:after="0"/>
              <w:rPr>
                <w:sz w:val="18"/>
                <w:szCs w:val="18"/>
                <w:color w:val="auto"/>
              </w:rPr>
            </w:pPr>
          </w:p>
        </w:tc>
      </w:tr>
      <w:tr>
        <w:trPr>
          <w:trHeight w:val="209"/>
        </w:trPr>
        <w:tc>
          <w:tcPr>
            <w:tcW w:w="6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contract assets (liabilities) (1)</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427,177</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407,545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4" w:lineRule="exact"/>
        <w:rPr>
          <w:sz w:val="20"/>
          <w:szCs w:val="20"/>
          <w:color w:val="auto"/>
        </w:rPr>
      </w:pPr>
    </w:p>
    <w:p>
      <w:pPr>
        <w:ind w:left="640" w:hanging="632"/>
        <w:spacing w:after="0" w:line="248"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contract retentions included in net contract assets (liabilities) were $80.5 million as of March 31, 2022, of which $38.2 million are not expected to be paid in the next 12 months. Total contract retentions included in net contract assets (liabilities) were $91.7 million as of December 31, 2021. Contract assets at March 31, 2022 and December 31, 2021 include $102.8 million and $98.6 million, respectively, related to unapproved change orders, claims, and requests for equitable adjustment. For the three months ended March 31, 2022 and March 31, 2021, there were no material losses recognized related to the collectability of claims, unapproved change orders, and requests for equitable adjustment.</w:t>
      </w:r>
    </w:p>
    <w:p>
      <w:pPr>
        <w:spacing w:after="0" w:line="175" w:lineRule="exact"/>
        <w:rPr>
          <w:sz w:val="20"/>
          <w:szCs w:val="20"/>
          <w:color w:val="auto"/>
        </w:rPr>
      </w:pPr>
    </w:p>
    <w:p>
      <w:pPr>
        <w:ind w:right="260" w:firstLine="637"/>
        <w:spacing w:after="0" w:line="276" w:lineRule="auto"/>
        <w:rPr>
          <w:sz w:val="20"/>
          <w:szCs w:val="20"/>
          <w:color w:val="auto"/>
        </w:rPr>
      </w:pPr>
      <w:r>
        <w:rPr>
          <w:rFonts w:ascii="Arial" w:cs="Arial" w:eastAsia="Arial" w:hAnsi="Arial"/>
          <w:sz w:val="18"/>
          <w:szCs w:val="18"/>
          <w:color w:val="auto"/>
        </w:rPr>
        <w:t>During the three months ended March 31, 2022 and March 31, 2021, the Company recognized revenue of $63.9 million and $69.1 million, respectively, that was included in the corresponding contract liability balances at December 31, 2021 and December 31, 2020, respectively. Certain changes in contract assets and contract liabilities consisted of the following:</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79"/>
              <w:spacing w:after="0"/>
              <w:rPr>
                <w:sz w:val="20"/>
                <w:szCs w:val="20"/>
                <w:color w:val="auto"/>
              </w:rPr>
            </w:pPr>
            <w:r>
              <w:rPr>
                <w:rFonts w:ascii="Arial" w:cs="Arial" w:eastAsia="Arial" w:hAnsi="Arial"/>
                <w:sz w:val="14"/>
                <w:szCs w:val="14"/>
                <w:b w:val="1"/>
                <w:bCs w:val="1"/>
                <w:color w:val="auto"/>
              </w:rPr>
              <w:t>March 31, 2022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r>
      <w:tr>
        <w:trPr>
          <w:trHeight w:val="210"/>
        </w:trPr>
        <w:tc>
          <w:tcPr>
            <w:tcW w:w="6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Acquired contract assets</w:t>
            </w:r>
          </w:p>
        </w:tc>
        <w:tc>
          <w:tcPr>
            <w:tcW w:w="180" w:type="dxa"/>
            <w:vAlign w:val="bottom"/>
            <w:tcBorders>
              <w:top w:val="single" w:sz="8" w:color="CFF0FC"/>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ind w:right="135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5,979</w:t>
            </w:r>
          </w:p>
        </w:tc>
        <w:tc>
          <w:tcPr>
            <w:tcW w:w="120" w:type="dxa"/>
            <w:vAlign w:val="bottom"/>
            <w:tcBorders>
              <w:top w:val="single" w:sz="8" w:color="CFF0FC"/>
            </w:tcBorders>
            <w:shd w:val="clear" w:color="auto" w:fill="CFF0FC"/>
          </w:tcPr>
          <w:p>
            <w:pPr>
              <w:spacing w:after="0"/>
              <w:rPr>
                <w:sz w:val="18"/>
                <w:szCs w:val="18"/>
                <w:color w:val="auto"/>
              </w:rPr>
            </w:pPr>
          </w:p>
        </w:tc>
      </w:tr>
      <w:tr>
        <w:trPr>
          <w:trHeight w:val="239"/>
        </w:trPr>
        <w:tc>
          <w:tcPr>
            <w:tcW w:w="6020" w:type="dxa"/>
            <w:vAlign w:val="bottom"/>
          </w:tcPr>
          <w:p>
            <w:pPr>
              <w:spacing w:after="0"/>
              <w:rPr>
                <w:sz w:val="20"/>
                <w:szCs w:val="20"/>
                <w:color w:val="auto"/>
              </w:rPr>
            </w:pPr>
            <w:r>
              <w:rPr>
                <w:rFonts w:ascii="Arial" w:cs="Arial" w:eastAsia="Arial" w:hAnsi="Arial"/>
                <w:sz w:val="18"/>
                <w:szCs w:val="18"/>
                <w:color w:val="auto"/>
              </w:rPr>
              <w:t>Acquired contract liabilities</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0"/>
                <w:szCs w:val="20"/>
                <w:color w:val="auto"/>
              </w:rPr>
            </w:pPr>
          </w:p>
        </w:tc>
      </w:tr>
    </w:tbl>
    <w:p>
      <w:pPr>
        <w:spacing w:after="0" w:line="10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was no significant impairment of contract assets recognized during the three months ended March 31, 2022 and March 31,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21" w:lineRule="exact"/>
        <w:rPr>
          <w:sz w:val="20"/>
          <w:szCs w:val="20"/>
          <w:color w:val="auto"/>
        </w:rPr>
      </w:pPr>
    </w:p>
    <w:p>
      <w:pPr>
        <w:jc w:val="both"/>
        <w:ind w:right="40" w:firstLine="691"/>
        <w:spacing w:after="0" w:line="276" w:lineRule="auto"/>
        <w:rPr>
          <w:sz w:val="20"/>
          <w:szCs w:val="20"/>
          <w:color w:val="auto"/>
        </w:rPr>
      </w:pPr>
      <w:r>
        <w:rPr>
          <w:rFonts w:ascii="Arial" w:cs="Arial" w:eastAsia="Arial" w:hAnsi="Arial"/>
          <w:sz w:val="18"/>
          <w:szCs w:val="18"/>
          <w:color w:val="auto"/>
        </w:rPr>
        <w:t>There were no revisions in estimates, such as changes in estimated claims or incentives, related to performance obligations partially satisfied in previous periods that individually had an impact of $5 million or more on revenue during the three months ended March 31, 2022 and March 31, 2021.</w:t>
      </w:r>
    </w:p>
    <w:p>
      <w:pPr>
        <w:spacing w:after="0" w:line="3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Accounts receivable, net consisted of the following as of March 31, 2022 and December 31, 2021 (in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33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ind w:right="65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r>
      <w:tr>
        <w:trPr>
          <w:trHeight w:val="210"/>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Billed</w:t>
            </w:r>
          </w:p>
        </w:tc>
        <w:tc>
          <w:tcPr>
            <w:tcW w:w="23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443,818</w:t>
            </w:r>
          </w:p>
        </w:tc>
        <w:tc>
          <w:tcPr>
            <w:tcW w:w="26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434,776</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Unbilled</w:t>
            </w:r>
          </w:p>
        </w:tc>
        <w:tc>
          <w:tcPr>
            <w:tcW w:w="230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206,251</w:t>
            </w:r>
          </w:p>
        </w:tc>
        <w:tc>
          <w:tcPr>
            <w:tcW w:w="26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167,490</w:t>
            </w:r>
          </w:p>
        </w:tc>
        <w:tc>
          <w:tcPr>
            <w:tcW w:w="120" w:type="dxa"/>
            <w:vAlign w:val="bottom"/>
            <w:tcBorders>
              <w:bottom w:val="single" w:sz="8" w:color="CFF0FC"/>
            </w:tcBorders>
          </w:tcPr>
          <w:p>
            <w:pPr>
              <w:spacing w:after="0"/>
              <w:rPr>
                <w:sz w:val="18"/>
                <w:szCs w:val="18"/>
                <w:color w:val="auto"/>
              </w:rPr>
            </w:pPr>
          </w:p>
        </w:tc>
      </w:tr>
      <w:tr>
        <w:trPr>
          <w:trHeight w:val="210"/>
        </w:trPr>
        <w:tc>
          <w:tcPr>
            <w:tcW w:w="50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Total accounts receivable, gross</w:t>
            </w:r>
          </w:p>
        </w:tc>
        <w:tc>
          <w:tcPr>
            <w:tcW w:w="2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650,069</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602,266</w:t>
            </w:r>
          </w:p>
        </w:tc>
        <w:tc>
          <w:tcPr>
            <w:tcW w:w="120" w:type="dxa"/>
            <w:vAlign w:val="bottom"/>
            <w:shd w:val="clear" w:color="auto" w:fill="CFF0FC"/>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(3,952)</w:t>
            </w:r>
          </w:p>
        </w:tc>
        <w:tc>
          <w:tcPr>
            <w:tcW w:w="4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(3,955)</w:t>
            </w:r>
          </w:p>
        </w:tc>
      </w:tr>
      <w:tr>
        <w:trPr>
          <w:trHeight w:val="210"/>
        </w:trPr>
        <w:tc>
          <w:tcPr>
            <w:tcW w:w="5020" w:type="dxa"/>
            <w:vAlign w:val="bottom"/>
            <w:tcBorders>
              <w:top w:val="single" w:sz="8" w:color="CFF0FC"/>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Total accounts receivable, net</w:t>
            </w:r>
          </w:p>
        </w:tc>
        <w:tc>
          <w:tcPr>
            <w:tcW w:w="2300" w:type="dxa"/>
            <w:vAlign w:val="bottom"/>
            <w:tcBorders>
              <w:top w:val="single" w:sz="8" w:color="CFF0FC"/>
              <w:bottom w:val="single" w:sz="8" w:color="CFF0FC"/>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646,117</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598,311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7" w:lineRule="exact"/>
        <w:rPr>
          <w:sz w:val="20"/>
          <w:szCs w:val="20"/>
          <w:color w:val="auto"/>
        </w:rPr>
      </w:pPr>
    </w:p>
    <w:p>
      <w:pPr>
        <w:ind w:right="60" w:firstLine="637"/>
        <w:spacing w:after="0" w:line="253" w:lineRule="auto"/>
        <w:rPr>
          <w:sz w:val="20"/>
          <w:szCs w:val="20"/>
          <w:color w:val="auto"/>
        </w:rPr>
      </w:pPr>
      <w:r>
        <w:rPr>
          <w:rFonts w:ascii="Arial" w:cs="Arial" w:eastAsia="Arial" w:hAnsi="Arial"/>
          <w:sz w:val="18"/>
          <w:szCs w:val="18"/>
          <w:color w:val="auto"/>
        </w:rPr>
        <w:t>Billed accounts receivable represents amounts billed to clients that have not been collected. Unbilled accounts receivable represents amounts where the Company has a present contractual right to bill but an invoice has not been issued to the customer at the period-end date.</w:t>
      </w:r>
    </w:p>
    <w:p>
      <w:pPr>
        <w:spacing w:after="0" w:line="169" w:lineRule="exact"/>
        <w:rPr>
          <w:sz w:val="20"/>
          <w:szCs w:val="20"/>
          <w:color w:val="auto"/>
        </w:rPr>
      </w:pPr>
    </w:p>
    <w:p>
      <w:pPr>
        <w:ind w:right="400" w:firstLine="637"/>
        <w:spacing w:after="0" w:line="253" w:lineRule="auto"/>
        <w:rPr>
          <w:sz w:val="20"/>
          <w:szCs w:val="20"/>
          <w:color w:val="auto"/>
        </w:rPr>
      </w:pPr>
      <w:r>
        <w:rPr>
          <w:rFonts w:ascii="Arial" w:cs="Arial" w:eastAsia="Arial" w:hAnsi="Arial"/>
          <w:sz w:val="18"/>
          <w:szCs w:val="18"/>
          <w:color w:val="auto"/>
        </w:rPr>
        <w:t>The allowance for doubtful accounts was determined based on consideration of trends in actual and forecasted credit quality of clients, including delinquency and payment history, type of client, such as a government agency or commercial sector client, and general economic conditions and particular industry conditions that may affect a client’s ability to pay.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Transaction Price Allocated to the Remaining Unsatisfied Performance Obligations</w:t>
      </w:r>
    </w:p>
    <w:p>
      <w:pPr>
        <w:spacing w:after="0" w:line="102" w:lineRule="exact"/>
        <w:rPr>
          <w:sz w:val="20"/>
          <w:szCs w:val="20"/>
          <w:color w:val="auto"/>
        </w:rPr>
      </w:pPr>
    </w:p>
    <w:p>
      <w:pPr>
        <w:ind w:right="260" w:firstLine="637"/>
        <w:spacing w:after="0" w:line="301" w:lineRule="auto"/>
        <w:rPr>
          <w:sz w:val="20"/>
          <w:szCs w:val="20"/>
          <w:color w:val="auto"/>
        </w:rPr>
      </w:pPr>
      <w:r>
        <w:rPr>
          <w:rFonts w:ascii="Arial" w:cs="Arial" w:eastAsia="Arial" w:hAnsi="Arial"/>
          <w:sz w:val="17"/>
          <w:szCs w:val="17"/>
          <w:color w:val="auto"/>
        </w:rPr>
        <w:t>The Company’s remaining unsatisfied performance obligations (“RUPO”) as of March 31, 2022 represent a measure of the total dollar value of work to be performed on contracts awarded and in-progress. The Company had $5.5 billion in RUPO as of March 31, 2022.</w:t>
      </w:r>
    </w:p>
    <w:p>
      <w:pPr>
        <w:spacing w:after="0" w:line="131" w:lineRule="exact"/>
        <w:rPr>
          <w:sz w:val="20"/>
          <w:szCs w:val="20"/>
          <w:color w:val="auto"/>
        </w:rPr>
      </w:pPr>
    </w:p>
    <w:p>
      <w:pPr>
        <w:ind w:right="120" w:firstLine="637"/>
        <w:spacing w:after="0" w:line="247" w:lineRule="auto"/>
        <w:rPr>
          <w:sz w:val="20"/>
          <w:szCs w:val="20"/>
          <w:color w:val="auto"/>
        </w:rPr>
      </w:pPr>
      <w:r>
        <w:rPr>
          <w:rFonts w:ascii="Arial" w:cs="Arial" w:eastAsia="Arial" w:hAnsi="Arial"/>
          <w:sz w:val="18"/>
          <w:szCs w:val="18"/>
          <w:color w:val="auto"/>
        </w:rPr>
        <w:t>RUPO will increase with awards of new contracts and decrease as the Company performs work and recognizes revenue on existing contracts. Projects are included within RUPO at such time the project is awarded and agreement on contract terms has been reached. The difference between RUPO and backlog relates to unexercised option years that are included within backlog and the value of Indefinite Delivery/Indefinite Quantity (“IDIQ”) contracts included in backlog for which delivery orders have not been issued.</w:t>
      </w:r>
    </w:p>
    <w:p>
      <w:pPr>
        <w:spacing w:after="0" w:line="174" w:lineRule="exact"/>
        <w:rPr>
          <w:sz w:val="20"/>
          <w:szCs w:val="20"/>
          <w:color w:val="auto"/>
        </w:rPr>
      </w:pPr>
    </w:p>
    <w:p>
      <w:pPr>
        <w:ind w:right="20" w:firstLine="637"/>
        <w:spacing w:after="0" w:line="245" w:lineRule="auto"/>
        <w:rPr>
          <w:sz w:val="20"/>
          <w:szCs w:val="20"/>
          <w:color w:val="auto"/>
        </w:rPr>
      </w:pPr>
      <w:r>
        <w:rPr>
          <w:rFonts w:ascii="Arial" w:cs="Arial" w:eastAsia="Arial" w:hAnsi="Arial"/>
          <w:sz w:val="18"/>
          <w:szCs w:val="18"/>
          <w:color w:val="auto"/>
        </w:rPr>
        <w:t>RUPO is comprised of: (a) original transaction price, (b) change orders for which written confirmations from our customers have been received, (c) pending change orders for which the Company expects to receive confirmations in the ordinary course of business, and</w:t>
      </w:r>
    </w:p>
    <w:p>
      <w:pPr>
        <w:ind w:right="740" w:firstLine="8"/>
        <w:spacing w:after="0" w:line="250" w:lineRule="auto"/>
        <w:tabs>
          <w:tab w:leader="none" w:pos="27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claim amounts that the Company has made against customers for which it has determined that it has a legal basis under existing contractual arrangements and a significant reversal of revenue is not probable, less revenue recognized to-date.</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expects to satisfy its RUPO as of March 31, 2022 over the following periods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right"/>
              <w:ind w:right="257"/>
              <w:spacing w:after="0"/>
              <w:rPr>
                <w:sz w:val="20"/>
                <w:szCs w:val="20"/>
                <w:color w:val="auto"/>
              </w:rPr>
            </w:pPr>
            <w:r>
              <w:rPr>
                <w:rFonts w:ascii="Arial" w:cs="Arial" w:eastAsia="Arial" w:hAnsi="Arial"/>
                <w:sz w:val="14"/>
                <w:szCs w:val="14"/>
                <w:b w:val="1"/>
                <w:bCs w:val="1"/>
                <w:color w:val="auto"/>
              </w:rPr>
              <w:t>Within One to</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760" w:type="dxa"/>
            <w:vAlign w:val="bottom"/>
          </w:tcPr>
          <w:p>
            <w:pPr>
              <w:spacing w:after="0"/>
              <w:rPr>
                <w:sz w:val="20"/>
                <w:szCs w:val="20"/>
                <w:color w:val="auto"/>
              </w:rPr>
            </w:pPr>
            <w:r>
              <w:rPr>
                <w:rFonts w:ascii="Arial" w:cs="Arial" w:eastAsia="Arial" w:hAnsi="Arial"/>
                <w:sz w:val="14"/>
                <w:szCs w:val="14"/>
                <w:b w:val="1"/>
                <w:bCs w:val="1"/>
                <w:color w:val="auto"/>
              </w:rPr>
              <w:t>Period RUPO Will Be Satisfied</w:t>
            </w:r>
          </w:p>
        </w:tc>
        <w:tc>
          <w:tcPr>
            <w:tcW w:w="180" w:type="dxa"/>
            <w:vAlign w:val="bottom"/>
          </w:tcPr>
          <w:p>
            <w:pPr>
              <w:spacing w:after="0"/>
              <w:rPr>
                <w:sz w:val="14"/>
                <w:szCs w:val="14"/>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Within One Year</w:t>
            </w:r>
          </w:p>
        </w:tc>
        <w:tc>
          <w:tcPr>
            <w:tcW w:w="220" w:type="dxa"/>
            <w:vAlign w:val="bottom"/>
          </w:tcPr>
          <w:p>
            <w:pPr>
              <w:spacing w:after="0"/>
              <w:rPr>
                <w:sz w:val="14"/>
                <w:szCs w:val="14"/>
                <w:color w:val="auto"/>
              </w:rPr>
            </w:pPr>
          </w:p>
        </w:tc>
        <w:tc>
          <w:tcPr>
            <w:tcW w:w="1400" w:type="dxa"/>
            <w:vAlign w:val="bottom"/>
          </w:tcPr>
          <w:p>
            <w:pPr>
              <w:jc w:val="right"/>
              <w:ind w:right="377"/>
              <w:spacing w:after="0"/>
              <w:rPr>
                <w:sz w:val="20"/>
                <w:szCs w:val="20"/>
                <w:color w:val="auto"/>
              </w:rPr>
            </w:pPr>
            <w:r>
              <w:rPr>
                <w:rFonts w:ascii="Arial" w:cs="Arial" w:eastAsia="Arial" w:hAnsi="Arial"/>
                <w:sz w:val="14"/>
                <w:szCs w:val="14"/>
                <w:b w:val="1"/>
                <w:bCs w:val="1"/>
                <w:color w:val="auto"/>
              </w:rPr>
              <w:t>Two Years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ind w:left="180"/>
              <w:spacing w:after="0"/>
              <w:rPr>
                <w:sz w:val="20"/>
                <w:szCs w:val="20"/>
                <w:color w:val="auto"/>
              </w:rPr>
            </w:pPr>
            <w:r>
              <w:rPr>
                <w:rFonts w:ascii="Arial" w:cs="Arial" w:eastAsia="Arial" w:hAnsi="Arial"/>
                <w:sz w:val="14"/>
                <w:szCs w:val="14"/>
                <w:b w:val="1"/>
                <w:bCs w:val="1"/>
                <w:color w:val="auto"/>
              </w:rPr>
              <w:t>Thereafter</w:t>
            </w:r>
          </w:p>
        </w:tc>
      </w:tr>
      <w:tr>
        <w:trPr>
          <w:trHeight w:val="209"/>
        </w:trPr>
        <w:tc>
          <w:tcPr>
            <w:tcW w:w="5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1,291,914</w:t>
            </w: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748,839</w:t>
            </w:r>
          </w:p>
        </w:tc>
        <w:tc>
          <w:tcPr>
            <w:tcW w:w="2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295,965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5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1,543,717</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837,968</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824,811</w:t>
            </w:r>
          </w:p>
        </w:tc>
        <w:tc>
          <w:tcPr>
            <w:tcW w:w="120" w:type="dxa"/>
            <w:vAlign w:val="bottom"/>
            <w:tcBorders>
              <w:bottom w:val="single" w:sz="8" w:color="CFF0FC"/>
            </w:tcBorders>
          </w:tcPr>
          <w:p>
            <w:pPr>
              <w:spacing w:after="0"/>
              <w:rPr>
                <w:sz w:val="18"/>
                <w:szCs w:val="18"/>
                <w:color w:val="auto"/>
              </w:rPr>
            </w:pPr>
          </w:p>
        </w:tc>
      </w:tr>
      <w:tr>
        <w:trPr>
          <w:trHeight w:val="210"/>
        </w:trPr>
        <w:tc>
          <w:tcPr>
            <w:tcW w:w="5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2,835,631</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1,586,807</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1,120,776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2"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31" w:lineRule="exact"/>
        <w:rPr>
          <w:sz w:val="20"/>
          <w:szCs w:val="20"/>
          <w:color w:val="auto"/>
        </w:rPr>
      </w:pPr>
    </w:p>
    <w:p>
      <w:pPr>
        <w:ind w:right="120" w:firstLine="745"/>
        <w:spacing w:after="0" w:line="276" w:lineRule="auto"/>
        <w:rPr>
          <w:sz w:val="20"/>
          <w:szCs w:val="20"/>
          <w:color w:val="auto"/>
        </w:rPr>
      </w:pPr>
      <w:r>
        <w:rPr>
          <w:rFonts w:ascii="Arial" w:cs="Arial" w:eastAsia="Arial" w:hAnsi="Arial"/>
          <w:sz w:val="18"/>
          <w:szCs w:val="18"/>
          <w:color w:val="auto"/>
        </w:rPr>
        <w:t>The Company has operating and finance leases for corporate and project office spaces, vehicles, heavy machinery and office equipment. Our leases have remaining lease terms of one year to 8 years, some of which may include options to extend the leases for up to five years, and some of which may include options to terminate the leases after the third year.</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components of lease costs for the three months ended March 31, 2022 and March 31, 2021 are as follows (in thousands):</w:t>
      </w:r>
    </w:p>
    <w:p>
      <w:pPr>
        <w:spacing w:after="0" w:line="31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5"/>
          </w:tcPr>
          <w:p>
            <w:pPr>
              <w:jc w:val="right"/>
              <w:ind w:right="105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r>
      <w:tr>
        <w:trPr>
          <w:trHeight w:val="169"/>
        </w:trPr>
        <w:tc>
          <w:tcPr>
            <w:tcW w:w="6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March 31, 2022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 2021</w:t>
            </w:r>
          </w:p>
        </w:tc>
      </w:tr>
      <w:tr>
        <w:trPr>
          <w:trHeight w:val="210"/>
        </w:trPr>
        <w:tc>
          <w:tcPr>
            <w:tcW w:w="63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Operating lease cost</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16,176</w:t>
            </w:r>
          </w:p>
        </w:tc>
        <w:tc>
          <w:tcPr>
            <w:tcW w:w="4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16,361</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300" w:type="dxa"/>
            <w:vAlign w:val="bottom"/>
          </w:tcPr>
          <w:p>
            <w:pPr>
              <w:ind w:left="240"/>
              <w:spacing w:after="0"/>
              <w:rPr>
                <w:sz w:val="20"/>
                <w:szCs w:val="20"/>
                <w:color w:val="auto"/>
              </w:rPr>
            </w:pPr>
            <w:r>
              <w:rPr>
                <w:rFonts w:ascii="Arial" w:cs="Arial" w:eastAsia="Arial" w:hAnsi="Arial"/>
                <w:sz w:val="18"/>
                <w:szCs w:val="18"/>
                <w:color w:val="auto"/>
              </w:rPr>
              <w:t>Short-term lease cost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3,480</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2,032</w:t>
            </w:r>
          </w:p>
        </w:tc>
        <w:tc>
          <w:tcPr>
            <w:tcW w:w="100" w:type="dxa"/>
            <w:vAlign w:val="bottom"/>
          </w:tcPr>
          <w:p>
            <w:pPr>
              <w:spacing w:after="0"/>
              <w:rPr>
                <w:sz w:val="18"/>
                <w:szCs w:val="18"/>
                <w:color w:val="auto"/>
              </w:rPr>
            </w:pPr>
          </w:p>
        </w:tc>
      </w:tr>
      <w:tr>
        <w:trPr>
          <w:trHeight w:val="216"/>
        </w:trPr>
        <w:tc>
          <w:tcPr>
            <w:tcW w:w="6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right-of-use assets</w:t>
            </w: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4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FF0FC"/>
          </w:tcPr>
          <w:p>
            <w:pPr>
              <w:spacing w:after="0"/>
              <w:rPr>
                <w:sz w:val="18"/>
                <w:szCs w:val="18"/>
                <w:color w:val="auto"/>
              </w:rPr>
            </w:pPr>
          </w:p>
        </w:tc>
      </w:tr>
      <w:tr>
        <w:trPr>
          <w:trHeight w:val="216"/>
        </w:trPr>
        <w:tc>
          <w:tcPr>
            <w:tcW w:w="6300" w:type="dxa"/>
            <w:vAlign w:val="bottom"/>
          </w:tcPr>
          <w:p>
            <w:pPr>
              <w:ind w:left="240"/>
              <w:spacing w:after="0"/>
              <w:rPr>
                <w:sz w:val="20"/>
                <w:szCs w:val="20"/>
                <w:color w:val="auto"/>
              </w:rPr>
            </w:pPr>
            <w:r>
              <w:rPr>
                <w:rFonts w:ascii="Arial" w:cs="Arial" w:eastAsia="Arial" w:hAnsi="Arial"/>
                <w:sz w:val="18"/>
                <w:szCs w:val="18"/>
                <w:color w:val="auto"/>
              </w:rPr>
              <w:t>Interest on lease liabilities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r>
      <w:tr>
        <w:trPr>
          <w:trHeight w:val="216"/>
        </w:trPr>
        <w:tc>
          <w:tcPr>
            <w:tcW w:w="6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Sublease income</w:t>
            </w:r>
          </w:p>
        </w:tc>
        <w:tc>
          <w:tcPr>
            <w:tcW w:w="20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(1,035)</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(776)</w:t>
            </w:r>
          </w:p>
        </w:tc>
      </w:tr>
      <w:tr>
        <w:trPr>
          <w:trHeight w:val="210"/>
        </w:trPr>
        <w:tc>
          <w:tcPr>
            <w:tcW w:w="6300" w:type="dxa"/>
            <w:vAlign w:val="bottom"/>
          </w:tcPr>
          <w:p>
            <w:pPr>
              <w:spacing w:after="0"/>
              <w:rPr>
                <w:sz w:val="20"/>
                <w:szCs w:val="20"/>
                <w:color w:val="auto"/>
              </w:rPr>
            </w:pPr>
            <w:r>
              <w:rPr>
                <w:rFonts w:ascii="Arial" w:cs="Arial" w:eastAsia="Arial" w:hAnsi="Arial"/>
                <w:sz w:val="18"/>
                <w:szCs w:val="18"/>
                <w:color w:val="auto"/>
              </w:rPr>
              <w:t>Total lease cost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19,190</w:t>
            </w:r>
          </w:p>
        </w:tc>
        <w:tc>
          <w:tcPr>
            <w:tcW w:w="4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18,120</w:t>
            </w:r>
          </w:p>
        </w:tc>
        <w:tc>
          <w:tcPr>
            <w:tcW w:w="100" w:type="dxa"/>
            <w:vAlign w:val="bottom"/>
          </w:tcPr>
          <w:p>
            <w:pPr>
              <w:spacing w:after="0"/>
              <w:rPr>
                <w:sz w:val="18"/>
                <w:szCs w:val="18"/>
                <w:color w:val="auto"/>
              </w:rPr>
            </w:pPr>
          </w:p>
        </w:tc>
      </w:tr>
      <w:tr>
        <w:trPr>
          <w:trHeight w:val="20"/>
        </w:trPr>
        <w:tc>
          <w:tcPr>
            <w:tcW w:w="6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ind w:right="200" w:firstLine="637"/>
        <w:spacing w:after="0" w:line="271" w:lineRule="auto"/>
        <w:rPr>
          <w:sz w:val="20"/>
          <w:szCs w:val="20"/>
          <w:color w:val="auto"/>
        </w:rPr>
      </w:pPr>
      <w:r>
        <w:rPr>
          <w:rFonts w:ascii="Arial" w:cs="Arial" w:eastAsia="Arial" w:hAnsi="Arial"/>
          <w:sz w:val="18"/>
          <w:szCs w:val="18"/>
          <w:color w:val="auto"/>
        </w:rPr>
        <w:t>Supplemental cash flow information related to leases for the three months ended March 31, 2022 and March 31, 2021 is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4"/>
          </w:tcPr>
          <w:p>
            <w:pPr>
              <w:jc w:val="right"/>
              <w:ind w:right="99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2022</w:t>
            </w:r>
          </w:p>
        </w:tc>
        <w:tc>
          <w:tcPr>
            <w:tcW w:w="200" w:type="dxa"/>
            <w:vAlign w:val="bottom"/>
          </w:tcPr>
          <w:p>
            <w:pPr>
              <w:spacing w:after="0"/>
              <w:rPr>
                <w:sz w:val="14"/>
                <w:szCs w:val="14"/>
                <w:color w:val="auto"/>
              </w:rPr>
            </w:pP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2021</w:t>
            </w:r>
          </w:p>
        </w:tc>
        <w:tc>
          <w:tcPr>
            <w:tcW w:w="560" w:type="dxa"/>
            <w:vAlign w:val="bottom"/>
          </w:tcPr>
          <w:p>
            <w:pPr>
              <w:spacing w:after="0"/>
              <w:rPr>
                <w:sz w:val="14"/>
                <w:szCs w:val="14"/>
                <w:color w:val="auto"/>
              </w:rPr>
            </w:pPr>
          </w:p>
        </w:tc>
      </w:tr>
      <w:tr>
        <w:trPr>
          <w:trHeight w:val="210"/>
        </w:trPr>
        <w:tc>
          <w:tcPr>
            <w:tcW w:w="580" w:type="dxa"/>
            <w:vAlign w:val="bottom"/>
          </w:tcPr>
          <w:p>
            <w:pPr>
              <w:spacing w:after="0"/>
              <w:rPr>
                <w:sz w:val="18"/>
                <w:szCs w:val="18"/>
                <w:color w:val="auto"/>
              </w:rPr>
            </w:pPr>
          </w:p>
        </w:tc>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cash flows for operating leases</w:t>
            </w: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17,506</w:t>
            </w: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16,627</w:t>
            </w:r>
          </w:p>
        </w:tc>
        <w:tc>
          <w:tcPr>
            <w:tcW w:w="100" w:type="dxa"/>
            <w:vAlign w:val="bottom"/>
            <w:tcBorders>
              <w:top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Operating cash flows for finance leases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Financing cash flows from finance leases</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2,304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4,865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436"/>
        </w:trPr>
        <w:tc>
          <w:tcPr>
            <w:tcW w:w="580" w:type="dxa"/>
            <w:vAlign w:val="bottom"/>
          </w:tcPr>
          <w:p>
            <w:pPr>
              <w:spacing w:after="0"/>
              <w:rPr>
                <w:sz w:val="24"/>
                <w:szCs w:val="24"/>
                <w:color w:val="auto"/>
              </w:rPr>
            </w:pPr>
          </w:p>
        </w:tc>
        <w:tc>
          <w:tcPr>
            <w:tcW w:w="6200" w:type="dxa"/>
            <w:vAlign w:val="bottom"/>
          </w:tcPr>
          <w:p>
            <w:pPr>
              <w:ind w:left="494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98"/>
        </w:trPr>
        <w:tc>
          <w:tcPr>
            <w:tcW w:w="580" w:type="dxa"/>
            <w:vAlign w:val="bottom"/>
            <w:tcBorders>
              <w:bottom w:val="single" w:sz="8" w:color="9A9A9A"/>
            </w:tcBorders>
          </w:tcPr>
          <w:p>
            <w:pPr>
              <w:spacing w:after="0"/>
              <w:rPr>
                <w:sz w:val="8"/>
                <w:szCs w:val="8"/>
                <w:color w:val="auto"/>
              </w:rPr>
            </w:pPr>
          </w:p>
        </w:tc>
        <w:tc>
          <w:tcPr>
            <w:tcW w:w="6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3" w:right="339" w:bottom="1440" w:gutter="0" w:footer="0" w:header="0"/>
        </w:sectPr>
      </w:pPr>
    </w:p>
    <w:bookmarkStart w:id="12" w:name="page13"/>
    <w:bookmarkEnd w:id="12"/>
    <w:p>
      <w:pPr>
        <w:ind w:right="80" w:firstLine="637"/>
        <w:spacing w:after="0" w:line="271" w:lineRule="auto"/>
        <w:rPr>
          <w:sz w:val="20"/>
          <w:szCs w:val="20"/>
          <w:color w:val="auto"/>
        </w:rPr>
      </w:pPr>
      <w:r>
        <w:rPr>
          <w:rFonts w:ascii="Arial" w:cs="Arial" w:eastAsia="Arial" w:hAnsi="Arial"/>
          <w:sz w:val="18"/>
          <w:szCs w:val="18"/>
          <w:color w:val="auto"/>
        </w:rPr>
        <w:t>Supplemental balance sheet and other information related to leases as of March 31, 2022 and December 31, 2021 are as follows (in thousands):</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97"/>
        </w:trPr>
        <w:tc>
          <w:tcPr>
            <w:tcW w:w="4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December 31, 2021</w:t>
            </w:r>
          </w:p>
        </w:tc>
      </w:tr>
      <w:tr>
        <w:trPr>
          <w:trHeight w:val="211"/>
        </w:trPr>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3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Right-of-use assets</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171,907</w:t>
            </w:r>
          </w:p>
        </w:tc>
        <w:tc>
          <w:tcPr>
            <w:tcW w:w="2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182,672</w:t>
            </w:r>
          </w:p>
        </w:tc>
        <w:tc>
          <w:tcPr>
            <w:tcW w:w="180" w:type="dxa"/>
            <w:vAlign w:val="bottom"/>
          </w:tcPr>
          <w:p>
            <w:pPr>
              <w:spacing w:after="0"/>
              <w:rPr>
                <w:sz w:val="18"/>
                <w:szCs w:val="18"/>
                <w:color w:val="auto"/>
              </w:rPr>
            </w:pPr>
          </w:p>
        </w:tc>
      </w:tr>
      <w:tr>
        <w:trPr>
          <w:trHeight w:val="216"/>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Lease liabilities:</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960" w:type="dxa"/>
            <w:vAlign w:val="bottom"/>
          </w:tcPr>
          <w:p>
            <w:pPr>
              <w:ind w:left="240"/>
              <w:spacing w:after="0"/>
              <w:rPr>
                <w:sz w:val="20"/>
                <w:szCs w:val="20"/>
                <w:color w:val="auto"/>
              </w:rPr>
            </w:pPr>
            <w:r>
              <w:rPr>
                <w:rFonts w:ascii="Arial" w:cs="Arial" w:eastAsia="Arial" w:hAnsi="Arial"/>
                <w:sz w:val="18"/>
                <w:szCs w:val="18"/>
                <w:color w:val="auto"/>
              </w:rPr>
              <w:t>Current</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57,197</w:t>
            </w:r>
          </w:p>
        </w:tc>
        <w:tc>
          <w:tcPr>
            <w:tcW w:w="2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55,902</w:t>
            </w:r>
          </w:p>
        </w:tc>
        <w:tc>
          <w:tcPr>
            <w:tcW w:w="180" w:type="dxa"/>
            <w:vAlign w:val="bottom"/>
          </w:tcPr>
          <w:p>
            <w:pPr>
              <w:spacing w:after="0"/>
              <w:rPr>
                <w:sz w:val="18"/>
                <w:szCs w:val="18"/>
                <w:color w:val="auto"/>
              </w:rPr>
            </w:pPr>
          </w:p>
        </w:tc>
      </w:tr>
      <w:tr>
        <w:trPr>
          <w:trHeight w:val="216"/>
        </w:trPr>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Long-term</w:t>
            </w:r>
          </w:p>
        </w:tc>
        <w:tc>
          <w:tcPr>
            <w:tcW w:w="13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135,276</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148,893</w:t>
            </w:r>
          </w:p>
        </w:tc>
        <w:tc>
          <w:tcPr>
            <w:tcW w:w="180" w:type="dxa"/>
            <w:vAlign w:val="bottom"/>
            <w:shd w:val="clear" w:color="auto" w:fill="CFF0FC"/>
          </w:tcPr>
          <w:p>
            <w:pPr>
              <w:spacing w:after="0"/>
              <w:rPr>
                <w:sz w:val="18"/>
                <w:szCs w:val="18"/>
                <w:color w:val="auto"/>
              </w:rPr>
            </w:pPr>
          </w:p>
        </w:tc>
      </w:tr>
      <w:tr>
        <w:trPr>
          <w:trHeight w:val="250"/>
        </w:trPr>
        <w:tc>
          <w:tcPr>
            <w:tcW w:w="4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lease liabilities</w:t>
            </w:r>
          </w:p>
        </w:tc>
        <w:tc>
          <w:tcPr>
            <w:tcW w:w="134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192,473</w:t>
            </w:r>
          </w:p>
        </w:tc>
        <w:tc>
          <w:tcPr>
            <w:tcW w:w="2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204,795</w:t>
            </w:r>
          </w:p>
        </w:tc>
        <w:tc>
          <w:tcPr>
            <w:tcW w:w="180" w:type="dxa"/>
            <w:vAlign w:val="bottom"/>
            <w:tcBorders>
              <w:bottom w:val="single" w:sz="8" w:color="CFF0FC"/>
            </w:tcBorders>
          </w:tcPr>
          <w:p>
            <w:pPr>
              <w:spacing w:after="0"/>
              <w:rPr>
                <w:sz w:val="21"/>
                <w:szCs w:val="21"/>
                <w:color w:val="auto"/>
              </w:rPr>
            </w:pPr>
          </w:p>
        </w:tc>
      </w:tr>
      <w:tr>
        <w:trPr>
          <w:trHeight w:val="197"/>
        </w:trPr>
        <w:tc>
          <w:tcPr>
            <w:tcW w:w="4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Finance Leases:</w:t>
            </w: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3,842</w:t>
            </w:r>
          </w:p>
        </w:tc>
        <w:tc>
          <w:tcPr>
            <w:tcW w:w="2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4,389</w:t>
            </w:r>
          </w:p>
        </w:tc>
        <w:tc>
          <w:tcPr>
            <w:tcW w:w="180" w:type="dxa"/>
            <w:vAlign w:val="bottom"/>
          </w:tcPr>
          <w:p>
            <w:pPr>
              <w:spacing w:after="0"/>
              <w:rPr>
                <w:sz w:val="18"/>
                <w:szCs w:val="18"/>
                <w:color w:val="auto"/>
              </w:rPr>
            </w:pPr>
          </w:p>
        </w:tc>
      </w:tr>
      <w:tr>
        <w:trPr>
          <w:trHeight w:val="216"/>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15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2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1,822</w:t>
            </w:r>
          </w:p>
        </w:tc>
        <w:tc>
          <w:tcPr>
            <w:tcW w:w="180" w:type="dxa"/>
            <w:vAlign w:val="bottom"/>
            <w:shd w:val="clear" w:color="auto" w:fill="CFF0FC"/>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2,073</w:t>
            </w:r>
          </w:p>
        </w:tc>
        <w:tc>
          <w:tcPr>
            <w:tcW w:w="2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2,422</w:t>
            </w:r>
          </w:p>
        </w:tc>
        <w:tc>
          <w:tcPr>
            <w:tcW w:w="180" w:type="dxa"/>
            <w:vAlign w:val="bottom"/>
          </w:tcPr>
          <w:p>
            <w:pPr>
              <w:spacing w:after="0"/>
              <w:rPr>
                <w:sz w:val="18"/>
                <w:szCs w:val="18"/>
                <w:color w:val="auto"/>
              </w:rPr>
            </w:pPr>
          </w:p>
        </w:tc>
      </w:tr>
      <w:tr>
        <w:trPr>
          <w:trHeight w:val="216"/>
        </w:trPr>
        <w:tc>
          <w:tcPr>
            <w:tcW w:w="49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4.1 Years</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4.3 years</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Finance leases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2.7 Years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2.9 years</w:t>
            </w:r>
          </w:p>
        </w:tc>
      </w:tr>
      <w:tr>
        <w:trPr>
          <w:trHeight w:val="216"/>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Discount Rate:</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Operating leases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216"/>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Finance leases</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r>
    </w:tbl>
    <w:p>
      <w:pPr>
        <w:spacing w:after="0" w:line="25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March 31, 2022, the Company has no operating leases that have not yet commenced.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maturity analysis of the future undiscounted cash flows associated with the Company’s operating and finance lease liabilities as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31, 2022 is as follows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Operating Leases</w:t>
            </w:r>
          </w:p>
        </w:tc>
        <w:tc>
          <w:tcPr>
            <w:tcW w:w="200" w:type="dxa"/>
            <w:vAlign w:val="bottom"/>
          </w:tcPr>
          <w:p>
            <w:pPr>
              <w:spacing w:after="0"/>
              <w:rPr>
                <w:sz w:val="14"/>
                <w:szCs w:val="14"/>
                <w:color w:val="auto"/>
              </w:rPr>
            </w:pPr>
          </w:p>
        </w:tc>
        <w:tc>
          <w:tcPr>
            <w:tcW w:w="15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Finance Leases</w:t>
            </w:r>
          </w:p>
        </w:tc>
      </w:tr>
      <w:tr>
        <w:trPr>
          <w:trHeight w:val="210"/>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2022 (remaining)</w:t>
            </w:r>
          </w:p>
        </w:tc>
        <w:tc>
          <w:tcPr>
            <w:tcW w:w="17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48,184</w:t>
            </w: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1,378</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2023</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53,184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41,599</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2025</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30,955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17,564</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7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14,607</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r>
      <w:tr>
        <w:trPr>
          <w:trHeight w:val="209"/>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206,093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3,876</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Less: imputed interest</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(13,620)</w:t>
            </w:r>
          </w:p>
        </w:tc>
        <w:tc>
          <w:tcPr>
            <w:tcW w:w="20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r>
      <w:tr>
        <w:trPr>
          <w:trHeight w:val="210"/>
        </w:trPr>
        <w:tc>
          <w:tcPr>
            <w:tcW w:w="4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present value of lease liabilities</w:t>
            </w:r>
          </w:p>
        </w:tc>
        <w:tc>
          <w:tcPr>
            <w:tcW w:w="17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192,473</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changes in the carrying value of goodwill by reporting segment from December 31, 2021 to</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31, 2022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217"/>
              <w:spacing w:after="0"/>
              <w:rPr>
                <w:sz w:val="20"/>
                <w:szCs w:val="20"/>
                <w:color w:val="auto"/>
              </w:rPr>
            </w:pPr>
            <w:r>
              <w:rPr>
                <w:rFonts w:ascii="Arial" w:cs="Arial" w:eastAsia="Arial" w:hAnsi="Arial"/>
                <w:sz w:val="14"/>
                <w:szCs w:val="14"/>
                <w:b w:val="1"/>
                <w:bCs w:val="1"/>
                <w:color w:val="auto"/>
              </w:rPr>
              <w:t>Foreign</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62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Acquisitions</w:t>
            </w:r>
          </w:p>
        </w:tc>
        <w:tc>
          <w:tcPr>
            <w:tcW w:w="160" w:type="dxa"/>
            <w:vAlign w:val="bottom"/>
          </w:tcPr>
          <w:p>
            <w:pPr>
              <w:spacing w:after="0"/>
              <w:rPr>
                <w:sz w:val="14"/>
                <w:szCs w:val="14"/>
                <w:color w:val="auto"/>
              </w:rPr>
            </w:pPr>
          </w:p>
        </w:tc>
        <w:tc>
          <w:tcPr>
            <w:tcW w:w="960" w:type="dxa"/>
            <w:vAlign w:val="bottom"/>
          </w:tcPr>
          <w:p>
            <w:pPr>
              <w:jc w:val="right"/>
              <w:ind w:right="137"/>
              <w:spacing w:after="0"/>
              <w:rPr>
                <w:sz w:val="20"/>
                <w:szCs w:val="20"/>
                <w:color w:val="auto"/>
              </w:rPr>
            </w:pPr>
            <w:r>
              <w:rPr>
                <w:rFonts w:ascii="Arial" w:cs="Arial" w:eastAsia="Arial" w:hAnsi="Arial"/>
                <w:sz w:val="14"/>
                <w:szCs w:val="14"/>
                <w:b w:val="1"/>
                <w:bCs w:val="1"/>
                <w:color w:val="auto"/>
              </w:rPr>
              <w:t>Exchange</w:t>
            </w:r>
          </w:p>
        </w:tc>
        <w:tc>
          <w:tcPr>
            <w:tcW w:w="240" w:type="dxa"/>
            <w:vAlign w:val="bottom"/>
          </w:tcPr>
          <w:p>
            <w:pPr>
              <w:spacing w:after="0"/>
              <w:rPr>
                <w:sz w:val="14"/>
                <w:szCs w:val="14"/>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 2022</w:t>
            </w:r>
          </w:p>
        </w:tc>
      </w:tr>
      <w:tr>
        <w:trPr>
          <w:trHeight w:val="209"/>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1,339,117</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1,338,373</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73,573</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74,461</w:t>
            </w:r>
          </w:p>
        </w:tc>
        <w:tc>
          <w:tcPr>
            <w:tcW w:w="100" w:type="dxa"/>
            <w:vAlign w:val="bottom"/>
            <w:tcBorders>
              <w:bottom w:val="single" w:sz="8" w:color="CFF0FC"/>
            </w:tcBorders>
          </w:tcPr>
          <w:p>
            <w:pPr>
              <w:spacing w:after="0"/>
              <w:rPr>
                <w:sz w:val="18"/>
                <w:szCs w:val="18"/>
                <w:color w:val="auto"/>
              </w:rPr>
            </w:pPr>
          </w:p>
        </w:tc>
      </w:tr>
      <w:tr>
        <w:trPr>
          <w:trHeight w:val="210"/>
        </w:trPr>
        <w:tc>
          <w:tcPr>
            <w:tcW w:w="5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1,412,690</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1,412,834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2" w:lineRule="exact"/>
        <w:rPr>
          <w:sz w:val="20"/>
          <w:szCs w:val="20"/>
          <w:color w:val="auto"/>
        </w:rPr>
      </w:pPr>
    </w:p>
    <w:p>
      <w:pPr>
        <w:ind w:right="720" w:firstLine="637"/>
        <w:spacing w:after="0" w:line="271" w:lineRule="auto"/>
        <w:rPr>
          <w:sz w:val="20"/>
          <w:szCs w:val="20"/>
          <w:color w:val="auto"/>
        </w:rPr>
      </w:pPr>
      <w:r>
        <w:rPr>
          <w:rFonts w:ascii="Arial" w:cs="Arial" w:eastAsia="Arial" w:hAnsi="Arial"/>
          <w:sz w:val="18"/>
          <w:szCs w:val="18"/>
          <w:color w:val="auto"/>
        </w:rPr>
        <w:t>The Company performed a qualitative triggering analysis and determined there was no triggering event indicating a potential impairment to the carrying value of its goodwill at March 31, 2022 and concluded there has not been an impairment.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 w:name="page14"/>
    <w:bookmarkEnd w:id="13"/>
    <w:p>
      <w:pPr>
        <w:ind w:left="640" w:hanging="632"/>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04" w:lineRule="exact"/>
        <w:rPr>
          <w:sz w:val="20"/>
          <w:szCs w:val="20"/>
          <w:color w:val="auto"/>
        </w:rPr>
      </w:pPr>
    </w:p>
    <w:p>
      <w:pPr>
        <w:ind w:right="40" w:firstLine="637"/>
        <w:spacing w:after="0" w:line="271" w:lineRule="auto"/>
        <w:rPr>
          <w:sz w:val="20"/>
          <w:szCs w:val="20"/>
          <w:color w:val="auto"/>
        </w:rPr>
      </w:pPr>
      <w:r>
        <w:rPr>
          <w:rFonts w:ascii="Arial" w:cs="Arial" w:eastAsia="Arial" w:hAnsi="Arial"/>
          <w:sz w:val="18"/>
          <w:szCs w:val="18"/>
          <w:color w:val="auto"/>
        </w:rPr>
        <w:t>The gross amount and accumulated amortization of intangible assets with finite useful lives included in “Intangible assets, net” on the consolidated balance sheets are as follows (in thousands except for years):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r>
      <w:tr>
        <w:trPr>
          <w:trHeight w:val="171"/>
        </w:trPr>
        <w:tc>
          <w:tcPr>
            <w:tcW w:w="3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61"/>
              <w:spacing w:after="0"/>
              <w:rPr>
                <w:sz w:val="20"/>
                <w:szCs w:val="20"/>
                <w:color w:val="auto"/>
              </w:rPr>
            </w:pPr>
            <w:r>
              <w:rPr>
                <w:rFonts w:ascii="Arial" w:cs="Arial" w:eastAsia="Arial" w:hAnsi="Arial"/>
                <w:sz w:val="14"/>
                <w:szCs w:val="14"/>
                <w:b w:val="1"/>
                <w:bCs w:val="1"/>
                <w:color w:val="auto"/>
              </w:rPr>
              <w:t>March 31, 2022</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r>
      <w:tr>
        <w:trPr>
          <w:trHeight w:val="160"/>
        </w:trPr>
        <w:tc>
          <w:tcPr>
            <w:tcW w:w="3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35"/>
              <w:spacing w:after="0" w:line="160"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3"/>
                <w:szCs w:val="13"/>
                <w:color w:val="auto"/>
              </w:rPr>
            </w:pPr>
          </w:p>
        </w:tc>
        <w:tc>
          <w:tcPr>
            <w:tcW w:w="760" w:type="dxa"/>
            <w:vAlign w:val="bottom"/>
          </w:tcPr>
          <w:p>
            <w:pPr>
              <w:jc w:val="center"/>
              <w:ind w:right="55"/>
              <w:spacing w:after="0" w:line="160" w:lineRule="exact"/>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55"/>
              <w:spacing w:after="0" w:line="160" w:lineRule="exact"/>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1000" w:type="dxa"/>
            <w:vAlign w:val="bottom"/>
            <w:gridSpan w:val="2"/>
          </w:tcPr>
          <w:p>
            <w:pPr>
              <w:jc w:val="center"/>
              <w:ind w:right="120"/>
              <w:spacing w:after="0" w:line="160" w:lineRule="exact"/>
              <w:rPr>
                <w:sz w:val="20"/>
                <w:szCs w:val="20"/>
                <w:color w:val="auto"/>
              </w:rPr>
            </w:pPr>
            <w:r>
              <w:rPr>
                <w:rFonts w:ascii="Arial" w:cs="Arial" w:eastAsia="Arial" w:hAnsi="Arial"/>
                <w:sz w:val="14"/>
                <w:szCs w:val="14"/>
                <w:b w:val="1"/>
                <w:bCs w:val="1"/>
                <w:color w:val="auto"/>
              </w:rPr>
              <w:t>Amortization</w:t>
            </w:r>
          </w:p>
        </w:tc>
      </w:tr>
      <w:tr>
        <w:trPr>
          <w:trHeight w:val="162"/>
        </w:trPr>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5"/>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760" w:type="dxa"/>
            <w:vAlign w:val="bottom"/>
          </w:tcPr>
          <w:p>
            <w:pPr>
              <w:jc w:val="center"/>
              <w:ind w:right="55"/>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780" w:type="dxa"/>
            <w:vAlign w:val="bottom"/>
          </w:tcPr>
          <w:p>
            <w:pPr>
              <w:jc w:val="center"/>
              <w:ind w:right="55"/>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Period</w:t>
            </w:r>
          </w:p>
        </w:tc>
      </w:tr>
      <w:tr>
        <w:trPr>
          <w:trHeight w:val="171"/>
        </w:trPr>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5"/>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760" w:type="dxa"/>
            <w:vAlign w:val="bottom"/>
          </w:tcPr>
          <w:p>
            <w:pPr>
              <w:jc w:val="center"/>
              <w:ind w:right="55"/>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780" w:type="dxa"/>
            <w:vAlign w:val="bottom"/>
          </w:tcPr>
          <w:p>
            <w:pPr>
              <w:jc w:val="center"/>
              <w:ind w:right="55"/>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i w:val="1"/>
                <w:iCs w:val="1"/>
                <w:color w:val="auto"/>
              </w:rPr>
              <w:t>(in years)</w:t>
            </w:r>
          </w:p>
        </w:tc>
      </w:tr>
      <w:tr>
        <w:trPr>
          <w:trHeight w:val="209"/>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Backlog</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170,455</w:t>
            </w: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(131,981)</w:t>
            </w: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38,474</w:t>
            </w: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169,455</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(126,637)</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42,818</w:t>
            </w:r>
          </w:p>
        </w:tc>
        <w:tc>
          <w:tcPr>
            <w:tcW w:w="18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301,829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(166,221)</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135,608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301,829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(158,405)</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143,424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Leases</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(623)</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(618)</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Developed technology</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113,939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(103,342)</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10,597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113,939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(96,765)</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17,174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(8,575)</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(8,444)</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Non-compete agreements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(3,739)</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(3,523)</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1,727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In process research and development</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n/a</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Other intangibles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09"/>
        </w:trPr>
        <w:tc>
          <w:tcPr>
            <w:tcW w:w="37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intangible assets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603,418</w:t>
            </w: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(414,687</w:t>
            </w:r>
          </w:p>
        </w:tc>
        <w:tc>
          <w:tcPr>
            <w:tcW w:w="200" w:type="dxa"/>
            <w:vAlign w:val="bottom"/>
            <w:tcBorders>
              <w:top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188,731</w:t>
            </w: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602,418</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(394,597</w:t>
            </w:r>
          </w:p>
        </w:tc>
        <w:tc>
          <w:tcPr>
            <w:tcW w:w="180" w:type="dxa"/>
            <w:vAlign w:val="bottom"/>
            <w:tcBorders>
              <w:top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207,821</w:t>
            </w:r>
          </w:p>
        </w:tc>
        <w:tc>
          <w:tcPr>
            <w:tcW w:w="18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bl>
    <w:p>
      <w:pPr>
        <w:spacing w:after="0" w:line="224" w:lineRule="exact"/>
        <w:rPr>
          <w:sz w:val="20"/>
          <w:szCs w:val="20"/>
          <w:color w:val="auto"/>
        </w:rPr>
      </w:pPr>
    </w:p>
    <w:p>
      <w:pPr>
        <w:ind w:right="40" w:firstLine="637"/>
        <w:spacing w:after="0" w:line="303" w:lineRule="auto"/>
        <w:rPr>
          <w:sz w:val="20"/>
          <w:szCs w:val="20"/>
          <w:color w:val="auto"/>
        </w:rPr>
      </w:pPr>
      <w:r>
        <w:rPr>
          <w:rFonts w:ascii="Arial" w:cs="Arial" w:eastAsia="Arial" w:hAnsi="Arial"/>
          <w:sz w:val="18"/>
          <w:szCs w:val="18"/>
          <w:color w:val="auto"/>
        </w:rPr>
        <w:t>The aggregate amortization expense of intangible assets for the three months ended March 31, 2022 and March 31, 2021 was $20.1 million and $24.5 million, respectively.</w:t>
      </w:r>
    </w:p>
    <w:p>
      <w:pPr>
        <w:spacing w:after="0" w:line="139" w:lineRule="exact"/>
        <w:rPr>
          <w:sz w:val="20"/>
          <w:szCs w:val="20"/>
          <w:color w:val="auto"/>
        </w:rPr>
      </w:pPr>
    </w:p>
    <w:p>
      <w:pPr>
        <w:ind w:right="520" w:firstLine="637"/>
        <w:spacing w:after="0" w:line="271" w:lineRule="auto"/>
        <w:rPr>
          <w:sz w:val="20"/>
          <w:szCs w:val="20"/>
          <w:color w:val="auto"/>
        </w:rPr>
      </w:pPr>
      <w:r>
        <w:rPr>
          <w:rFonts w:ascii="Arial" w:cs="Arial" w:eastAsia="Arial" w:hAnsi="Arial"/>
          <w:sz w:val="18"/>
          <w:szCs w:val="18"/>
          <w:color w:val="auto"/>
        </w:rPr>
        <w:t>Estimated amortization expense for the remainder of the current fiscal year and in each of the next four years and beyond is as follows (in thousands):</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97"/>
        </w:trPr>
        <w:tc>
          <w:tcPr>
            <w:tcW w:w="8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2022</w:t>
            </w:r>
          </w:p>
        </w:tc>
      </w:tr>
      <w:tr>
        <w:trPr>
          <w:trHeight w:val="211"/>
        </w:trPr>
        <w:tc>
          <w:tcPr>
            <w:tcW w:w="8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2022</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46,164</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50,123</w:t>
            </w:r>
          </w:p>
        </w:tc>
        <w:tc>
          <w:tcPr>
            <w:tcW w:w="100" w:type="dxa"/>
            <w:vAlign w:val="bottom"/>
          </w:tcPr>
          <w:p>
            <w:pPr>
              <w:spacing w:after="0"/>
              <w:rPr>
                <w:sz w:val="18"/>
                <w:szCs w:val="18"/>
                <w:color w:val="auto"/>
              </w:rPr>
            </w:pPr>
          </w:p>
        </w:tc>
      </w:tr>
      <w:tr>
        <w:trPr>
          <w:trHeight w:val="216"/>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18,892</w:t>
            </w:r>
          </w:p>
        </w:tc>
        <w:tc>
          <w:tcPr>
            <w:tcW w:w="100" w:type="dxa"/>
            <w:vAlign w:val="bottom"/>
            <w:shd w:val="clear" w:color="auto" w:fill="CFF0FC"/>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13,637</w:t>
            </w:r>
          </w:p>
        </w:tc>
        <w:tc>
          <w:tcPr>
            <w:tcW w:w="100" w:type="dxa"/>
            <w:vAlign w:val="bottom"/>
          </w:tcPr>
          <w:p>
            <w:pPr>
              <w:spacing w:after="0"/>
              <w:rPr>
                <w:sz w:val="18"/>
                <w:szCs w:val="18"/>
                <w:color w:val="auto"/>
              </w:rPr>
            </w:pPr>
          </w:p>
        </w:tc>
      </w:tr>
      <w:tr>
        <w:trPr>
          <w:trHeight w:val="216"/>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10,265</w:t>
            </w:r>
          </w:p>
        </w:tc>
        <w:tc>
          <w:tcPr>
            <w:tcW w:w="100" w:type="dxa"/>
            <w:vAlign w:val="bottom"/>
            <w:shd w:val="clear" w:color="auto" w:fill="CFF0FC"/>
          </w:tcPr>
          <w:p>
            <w:pPr>
              <w:spacing w:after="0"/>
              <w:rPr>
                <w:sz w:val="18"/>
                <w:szCs w:val="18"/>
                <w:color w:val="auto"/>
              </w:rPr>
            </w:pPr>
          </w:p>
        </w:tc>
      </w:tr>
      <w:tr>
        <w:trPr>
          <w:trHeight w:val="216"/>
        </w:trPr>
        <w:tc>
          <w:tcPr>
            <w:tcW w:w="8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47,850</w:t>
            </w:r>
          </w:p>
        </w:tc>
        <w:tc>
          <w:tcPr>
            <w:tcW w:w="100" w:type="dxa"/>
            <w:vAlign w:val="bottom"/>
            <w:tcBorders>
              <w:bottom w:val="single" w:sz="8" w:color="CFF0FC"/>
            </w:tcBorders>
          </w:tcPr>
          <w:p>
            <w:pPr>
              <w:spacing w:after="0"/>
              <w:rPr>
                <w:sz w:val="18"/>
                <w:szCs w:val="18"/>
                <w:color w:val="auto"/>
              </w:rPr>
            </w:pPr>
          </w:p>
        </w:tc>
      </w:tr>
      <w:tr>
        <w:trPr>
          <w:trHeight w:val="209"/>
        </w:trPr>
        <w:tc>
          <w:tcPr>
            <w:tcW w:w="8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186,931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2"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0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 at March 31, 2022 and December 31, 2021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jc w:val="right"/>
              <w:ind w:right="416"/>
              <w:spacing w:after="0"/>
              <w:rPr>
                <w:sz w:val="20"/>
                <w:szCs w:val="20"/>
                <w:color w:val="auto"/>
              </w:rPr>
            </w:pPr>
            <w:r>
              <w:rPr>
                <w:rFonts w:ascii="Arial" w:cs="Arial" w:eastAsia="Arial" w:hAnsi="Arial"/>
                <w:sz w:val="14"/>
                <w:szCs w:val="14"/>
                <w:b w:val="1"/>
                <w:bCs w:val="1"/>
                <w:color w:val="auto"/>
              </w:rPr>
              <w:t>Useful life</w:t>
            </w:r>
          </w:p>
        </w:tc>
      </w:tr>
      <w:tr>
        <w:trPr>
          <w:trHeight w:val="171"/>
        </w:trPr>
        <w:tc>
          <w:tcPr>
            <w:tcW w:w="6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4"/>
                <w:szCs w:val="14"/>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December 31, 2021</w:t>
            </w:r>
          </w:p>
        </w:tc>
        <w:tc>
          <w:tcPr>
            <w:tcW w:w="1660" w:type="dxa"/>
            <w:vAlign w:val="bottom"/>
          </w:tcPr>
          <w:p>
            <w:pPr>
              <w:jc w:val="right"/>
              <w:ind w:right="516"/>
              <w:spacing w:after="0"/>
              <w:rPr>
                <w:sz w:val="20"/>
                <w:szCs w:val="20"/>
                <w:color w:val="auto"/>
              </w:rPr>
            </w:pPr>
            <w:r>
              <w:rPr>
                <w:rFonts w:ascii="Arial" w:cs="Arial" w:eastAsia="Arial" w:hAnsi="Arial"/>
                <w:sz w:val="14"/>
                <w:szCs w:val="14"/>
                <w:b w:val="1"/>
                <w:bCs w:val="1"/>
                <w:color w:val="auto"/>
              </w:rPr>
              <w:t>(years)</w:t>
            </w:r>
          </w:p>
        </w:tc>
      </w:tr>
      <w:tr>
        <w:trPr>
          <w:trHeight w:val="210"/>
        </w:trPr>
        <w:tc>
          <w:tcPr>
            <w:tcW w:w="6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Buildings and leasehold improvements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100,961</w:t>
            </w: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99,543</w:t>
            </w:r>
          </w:p>
        </w:tc>
        <w:tc>
          <w:tcPr>
            <w:tcW w:w="240" w:type="dxa"/>
            <w:vAlign w:val="bottom"/>
            <w:tcBorders>
              <w:top w:val="single" w:sz="8" w:color="CFF0FC"/>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87,179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86,862</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Computer systems and equipment</w:t>
            </w: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159,280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157,633</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Construction equipment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6,806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6,806</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11,123</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12,970</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10"/>
        </w:trPr>
        <w:tc>
          <w:tcPr>
            <w:tcW w:w="6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365,349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363,814</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1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(267,427)</w:t>
            </w:r>
          </w:p>
        </w:tc>
        <w:tc>
          <w:tcPr>
            <w:tcW w:w="1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(259,618)</w:t>
            </w:r>
          </w:p>
        </w:tc>
        <w:tc>
          <w:tcPr>
            <w:tcW w:w="1660" w:type="dxa"/>
            <w:vAlign w:val="bottom"/>
            <w:shd w:val="clear" w:color="auto" w:fill="CFF0FC"/>
          </w:tcPr>
          <w:p>
            <w:pPr>
              <w:spacing w:after="0"/>
              <w:rPr>
                <w:sz w:val="18"/>
                <w:szCs w:val="18"/>
                <w:color w:val="auto"/>
              </w:rPr>
            </w:pPr>
          </w:p>
        </w:tc>
      </w:tr>
      <w:tr>
        <w:trPr>
          <w:trHeight w:val="210"/>
        </w:trPr>
        <w:tc>
          <w:tcPr>
            <w:tcW w:w="604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97,922</w:t>
            </w: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104,196</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24" w:lineRule="exact"/>
        <w:rPr>
          <w:sz w:val="20"/>
          <w:szCs w:val="20"/>
          <w:color w:val="auto"/>
        </w:rPr>
      </w:pPr>
    </w:p>
    <w:p>
      <w:pPr>
        <w:ind w:right="1000" w:firstLine="637"/>
        <w:spacing w:after="0" w:line="271" w:lineRule="auto"/>
        <w:rPr>
          <w:sz w:val="20"/>
          <w:szCs w:val="20"/>
          <w:color w:val="auto"/>
        </w:rPr>
      </w:pPr>
      <w:r>
        <w:rPr>
          <w:rFonts w:ascii="Arial" w:cs="Arial" w:eastAsia="Arial" w:hAnsi="Arial"/>
          <w:sz w:val="18"/>
          <w:szCs w:val="18"/>
          <w:color w:val="auto"/>
        </w:rPr>
        <w:t>Depreciation expense for the three months ended March 31, 2022 and March 31, 2021 was $9.7 million and $9.6 million, respectively.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ind w:left="640" w:hanging="632"/>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Debt and Credit Facilities</w:t>
      </w:r>
    </w:p>
    <w:p>
      <w:pPr>
        <w:spacing w:after="0" w:line="10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Debt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146050</wp:posOffset>
            </wp:positionV>
            <wp:extent cx="24428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5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Pr>
          <w:p>
            <w:pPr>
              <w:spacing w:after="0"/>
              <w:rPr>
                <w:sz w:val="14"/>
                <w:szCs w:val="14"/>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December 31, 2021</w:t>
            </w:r>
          </w:p>
        </w:tc>
      </w:tr>
      <w:tr>
        <w:trPr>
          <w:trHeight w:val="230"/>
        </w:trPr>
        <w:tc>
          <w:tcPr>
            <w:tcW w:w="6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w:t>
            </w:r>
          </w:p>
        </w:tc>
        <w:tc>
          <w:tcPr>
            <w:tcW w:w="240" w:type="dxa"/>
            <w:vAlign w:val="bottom"/>
            <w:tcBorders>
              <w:top w:val="single" w:sz="8" w:color="auto"/>
              <w:bottom w:val="single" w:sz="8" w:color="CFF0FC"/>
            </w:tcBorders>
            <w:shd w:val="clear" w:color="auto" w:fill="CFF0FC"/>
          </w:tcPr>
          <w:p>
            <w:pPr>
              <w:spacing w:after="0"/>
              <w:rPr>
                <w:sz w:val="20"/>
                <w:szCs w:val="20"/>
                <w:color w:val="auto"/>
              </w:rPr>
            </w:pPr>
          </w:p>
        </w:tc>
        <w:tc>
          <w:tcPr>
            <w:tcW w:w="1600" w:type="dxa"/>
            <w:vAlign w:val="bottom"/>
            <w:tcBorders>
              <w:top w:val="single" w:sz="8" w:color="auto"/>
              <w:bottom w:val="single" w:sz="8" w:color="CFF0FC"/>
            </w:tcBorders>
            <w:shd w:val="clear" w:color="auto" w:fill="CFF0FC"/>
          </w:tcPr>
          <w:p>
            <w:pPr>
              <w:spacing w:after="0"/>
              <w:rPr>
                <w:sz w:val="20"/>
                <w:szCs w:val="20"/>
                <w:color w:val="auto"/>
              </w:rPr>
            </w:pP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CFF0FC"/>
            </w:tcBorders>
            <w:shd w:val="clear" w:color="auto" w:fill="CFF0FC"/>
          </w:tcPr>
          <w:p>
            <w:pPr>
              <w:spacing w:after="0"/>
              <w:rPr>
                <w:sz w:val="20"/>
                <w:szCs w:val="20"/>
                <w:color w:val="auto"/>
              </w:rPr>
            </w:pPr>
          </w:p>
        </w:tc>
        <w:tc>
          <w:tcPr>
            <w:tcW w:w="1580" w:type="dxa"/>
            <w:vAlign w:val="bottom"/>
            <w:tcBorders>
              <w:top w:val="single" w:sz="8" w:color="auto"/>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16"/>
        </w:trPr>
        <w:tc>
          <w:tcPr>
            <w:tcW w:w="6160" w:type="dxa"/>
            <w:vAlign w:val="bottom"/>
          </w:tcPr>
          <w:p>
            <w:pPr>
              <w:ind w:left="120"/>
              <w:spacing w:after="0"/>
              <w:rPr>
                <w:sz w:val="20"/>
                <w:szCs w:val="20"/>
                <w:color w:val="auto"/>
              </w:rPr>
            </w:pPr>
            <w:r>
              <w:rPr>
                <w:rFonts w:ascii="Arial" w:cs="Arial" w:eastAsia="Arial" w:hAnsi="Arial"/>
                <w:sz w:val="18"/>
                <w:szCs w:val="18"/>
                <w:color w:val="auto"/>
              </w:rPr>
              <w:t>Senior notes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200,000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8"/>
                <w:szCs w:val="18"/>
                <w:color w:val="auto"/>
              </w:rPr>
            </w:pPr>
          </w:p>
        </w:tc>
      </w:tr>
      <w:tr>
        <w:trPr>
          <w:trHeight w:val="216"/>
        </w:trPr>
        <w:tc>
          <w:tcPr>
            <w:tcW w:w="6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Convertible senior notes</w:t>
            </w: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FF0FC"/>
          </w:tcPr>
          <w:p>
            <w:pPr>
              <w:spacing w:after="0"/>
              <w:rPr>
                <w:sz w:val="18"/>
                <w:szCs w:val="18"/>
                <w:color w:val="auto"/>
              </w:rPr>
            </w:pPr>
          </w:p>
        </w:tc>
      </w:tr>
      <w:tr>
        <w:trPr>
          <w:trHeight w:val="216"/>
        </w:trPr>
        <w:tc>
          <w:tcPr>
            <w:tcW w:w="6160" w:type="dxa"/>
            <w:vAlign w:val="bottom"/>
          </w:tcPr>
          <w:p>
            <w:pPr>
              <w:ind w:left="120"/>
              <w:spacing w:after="0"/>
              <w:rPr>
                <w:sz w:val="20"/>
                <w:szCs w:val="20"/>
                <w:color w:val="auto"/>
              </w:rPr>
            </w:pPr>
            <w:r>
              <w:rPr>
                <w:rFonts w:ascii="Arial" w:cs="Arial" w:eastAsia="Arial" w:hAnsi="Arial"/>
                <w:sz w:val="18"/>
                <w:szCs w:val="18"/>
                <w:color w:val="auto"/>
              </w:rPr>
              <w:t>Debt issuance costs</w:t>
            </w:r>
          </w:p>
        </w:tc>
        <w:tc>
          <w:tcPr>
            <w:tcW w:w="24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(7,550)</w:t>
            </w:r>
          </w:p>
        </w:tc>
        <w:tc>
          <w:tcPr>
            <w:tcW w:w="16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(8,078)</w:t>
            </w:r>
          </w:p>
        </w:tc>
      </w:tr>
      <w:tr>
        <w:trPr>
          <w:trHeight w:val="209"/>
        </w:trPr>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long-term</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592,450</w:t>
            </w: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591,922</w:t>
            </w:r>
          </w:p>
        </w:tc>
        <w:tc>
          <w:tcPr>
            <w:tcW w:w="100" w:type="dxa"/>
            <w:vAlign w:val="bottom"/>
            <w:tcBorders>
              <w:top w:val="single" w:sz="8" w:color="CFF0FC"/>
            </w:tcBorders>
            <w:shd w:val="clear" w:color="auto" w:fill="CFF0FC"/>
          </w:tcPr>
          <w:p>
            <w:pPr>
              <w:spacing w:after="0"/>
              <w:rPr>
                <w:sz w:val="18"/>
                <w:szCs w:val="18"/>
                <w:color w:val="auto"/>
              </w:rPr>
            </w:pPr>
          </w:p>
        </w:tc>
      </w:tr>
      <w:tr>
        <w:trPr>
          <w:trHeight w:val="250"/>
        </w:trPr>
        <w:tc>
          <w:tcPr>
            <w:tcW w:w="6160" w:type="dxa"/>
            <w:vAlign w:val="bottom"/>
          </w:tcPr>
          <w:p>
            <w:pPr>
              <w:spacing w:after="0"/>
              <w:rPr>
                <w:sz w:val="20"/>
                <w:szCs w:val="20"/>
                <w:color w:val="auto"/>
              </w:rPr>
            </w:pPr>
            <w:r>
              <w:rPr>
                <w:rFonts w:ascii="Arial" w:cs="Arial" w:eastAsia="Arial" w:hAnsi="Arial"/>
                <w:sz w:val="18"/>
                <w:szCs w:val="18"/>
                <w:color w:val="auto"/>
              </w:rPr>
              <w:t>Total Debt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592,450</w:t>
            </w:r>
          </w:p>
        </w:tc>
        <w:tc>
          <w:tcPr>
            <w:tcW w:w="2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591,922</w:t>
            </w:r>
          </w:p>
        </w:tc>
        <w:tc>
          <w:tcPr>
            <w:tcW w:w="100" w:type="dxa"/>
            <w:vAlign w:val="bottom"/>
          </w:tcPr>
          <w:p>
            <w:pPr>
              <w:spacing w:after="0"/>
              <w:rPr>
                <w:sz w:val="21"/>
                <w:szCs w:val="21"/>
                <w:color w:val="auto"/>
              </w:rPr>
            </w:pPr>
          </w:p>
        </w:tc>
      </w:tr>
      <w:tr>
        <w:trPr>
          <w:trHeight w:val="20"/>
        </w:trPr>
        <w:tc>
          <w:tcPr>
            <w:tcW w:w="6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15" w:lineRule="exact"/>
        <w:rPr>
          <w:sz w:val="20"/>
          <w:szCs w:val="20"/>
          <w:color w:val="auto"/>
        </w:rPr>
      </w:pPr>
    </w:p>
    <w:p>
      <w:pPr>
        <w:ind w:right="140" w:firstLine="637"/>
        <w:spacing w:after="0" w:line="243" w:lineRule="auto"/>
        <w:rPr>
          <w:sz w:val="20"/>
          <w:szCs w:val="20"/>
          <w:color w:val="auto"/>
        </w:rPr>
      </w:pPr>
      <w:r>
        <w:rPr>
          <w:rFonts w:ascii="Arial" w:cs="Arial" w:eastAsia="Arial" w:hAnsi="Arial"/>
          <w:sz w:val="18"/>
          <w:szCs w:val="18"/>
          <w:color w:val="auto"/>
        </w:rPr>
        <w:t>In June 2021, the Company entered into a $650 million unsecured revolving credit facility (the “Credit Agreement”). The Company incurred $1.9 million of costs in connection with this Credit Agreement. The 2021 Credit Agreement replaced an existing Fifth Amended and Restated Credit Agreement dated as of November 15, 2017. Under the new agreement, the Company’s revolving credit facility was increased from $550 million to $650 million. The credit facility has a five-year maturity, which may be extended up to two times for periods determined by the Company and the applicable extending lenders, and permits the Company to borrow in U.S. dollars, certain specified</w:t>
      </w:r>
    </w:p>
    <w:p>
      <w:pPr>
        <w:spacing w:after="0" w:line="1"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foreign currencies, and each other currency that may be approved in accordance with the 2021 Facility. The borrowings under the Credit Agreement bear interest at either a eurocurrency rate plus a margin between 1.0% and 1.625% or a base rate (as defined in the Credit Agreement) plus a margin of between 0% and 0.625%. The rates on March 31, 2022 and December 31, 2021 were 1.70% and 1.36%, respectively. Borrowings under this Credit Agreement are guaranteed by certain Company operating subsidiaries. Letters of credit commitments outstanding under this agreement aggregated to $44.5 million and $44.3 million at March 31, 2022 and December 31, 2021, respectively, which reduced borrowing limits available to the Company. Interest expense related to the Credit Agreement was $0.1 million and $0.1 million for the three months ended March 31, 2022 and March 31, 2021, respectively. There were no loan amounts outstanding under the Credit Agreement on March 31, 2022.</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Private Placement</w:t>
      </w:r>
    </w:p>
    <w:p>
      <w:pPr>
        <w:spacing w:after="0" w:line="102" w:lineRule="exact"/>
        <w:rPr>
          <w:sz w:val="20"/>
          <w:szCs w:val="20"/>
          <w:color w:val="auto"/>
        </w:rPr>
      </w:pPr>
    </w:p>
    <w:p>
      <w:pPr>
        <w:ind w:right="140" w:firstLine="637"/>
        <w:spacing w:after="0" w:line="271" w:lineRule="auto"/>
        <w:rPr>
          <w:sz w:val="20"/>
          <w:szCs w:val="20"/>
          <w:color w:val="auto"/>
        </w:rPr>
      </w:pPr>
      <w:r>
        <w:rPr>
          <w:rFonts w:ascii="Arial" w:cs="Arial" w:eastAsia="Arial" w:hAnsi="Arial"/>
          <w:sz w:val="18"/>
          <w:szCs w:val="18"/>
          <w:color w:val="auto"/>
        </w:rPr>
        <w:t>On July 1, 2014, the Company finalized a private placement whereby the Company raised an aggregate amount of $250.0 million in debt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Tranche</w:t>
            </w:r>
          </w:p>
        </w:tc>
        <w:tc>
          <w:tcPr>
            <w:tcW w:w="5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Debt Amount</w:t>
            </w:r>
          </w:p>
        </w:tc>
        <w:tc>
          <w:tcPr>
            <w:tcW w:w="1860" w:type="dxa"/>
            <w:vAlign w:val="bottom"/>
            <w:gridSpan w:val="2"/>
          </w:tcPr>
          <w:p>
            <w:pPr>
              <w:ind w:left="380"/>
              <w:spacing w:after="0"/>
              <w:rPr>
                <w:sz w:val="20"/>
                <w:szCs w:val="20"/>
                <w:color w:val="auto"/>
              </w:rPr>
            </w:pPr>
            <w:r>
              <w:rPr>
                <w:rFonts w:ascii="Arial" w:cs="Arial" w:eastAsia="Arial" w:hAnsi="Arial"/>
                <w:sz w:val="14"/>
                <w:szCs w:val="14"/>
                <w:b w:val="1"/>
                <w:bCs w:val="1"/>
                <w:color w:val="auto"/>
              </w:rPr>
              <w:t>Maturity Date</w:t>
            </w:r>
          </w:p>
        </w:tc>
        <w:tc>
          <w:tcPr>
            <w:tcW w:w="17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Interest Rates</w:t>
            </w:r>
          </w:p>
        </w:tc>
        <w:tc>
          <w:tcPr>
            <w:tcW w:w="0" w:type="dxa"/>
            <w:vAlign w:val="bottom"/>
          </w:tcPr>
          <w:p>
            <w:pPr>
              <w:spacing w:after="0"/>
              <w:rPr>
                <w:sz w:val="1"/>
                <w:szCs w:val="1"/>
                <w:color w:val="auto"/>
              </w:rPr>
            </w:pPr>
          </w:p>
        </w:tc>
      </w:tr>
      <w:tr>
        <w:trPr>
          <w:trHeight w:val="20"/>
        </w:trPr>
        <w:tc>
          <w:tcPr>
            <w:tcW w:w="580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Senior Note, Series A</w:t>
            </w: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0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50,000</w:t>
            </w:r>
          </w:p>
        </w:tc>
        <w:tc>
          <w:tcPr>
            <w:tcW w:w="260" w:type="dxa"/>
            <w:vAlign w:val="bottom"/>
            <w:vMerge w:val="continue"/>
            <w:shd w:val="clear" w:color="auto" w:fill="CFF0FC"/>
          </w:tcPr>
          <w:p>
            <w:pPr>
              <w:spacing w:after="0"/>
              <w:rPr>
                <w:sz w:val="17"/>
                <w:szCs w:val="17"/>
                <w:color w:val="auto"/>
              </w:rPr>
            </w:pPr>
          </w:p>
        </w:tc>
        <w:tc>
          <w:tcPr>
            <w:tcW w:w="1700" w:type="dxa"/>
            <w:vAlign w:val="bottom"/>
            <w:shd w:val="clear" w:color="auto" w:fill="CFF0FC"/>
          </w:tcPr>
          <w:p>
            <w:pPr>
              <w:ind w:left="620"/>
              <w:spacing w:after="0" w:line="203" w:lineRule="exact"/>
              <w:rPr>
                <w:sz w:val="20"/>
                <w:szCs w:val="20"/>
                <w:color w:val="auto"/>
              </w:rPr>
            </w:pPr>
            <w:r>
              <w:rPr>
                <w:rFonts w:ascii="Arial" w:cs="Arial" w:eastAsia="Arial" w:hAnsi="Arial"/>
                <w:sz w:val="18"/>
                <w:szCs w:val="18"/>
                <w:color w:val="auto"/>
                <w:w w:val="98"/>
              </w:rPr>
              <w:t>July 15, 2021</w:t>
            </w:r>
          </w:p>
        </w:tc>
        <w:tc>
          <w:tcPr>
            <w:tcW w:w="160" w:type="dxa"/>
            <w:vAlign w:val="bottom"/>
            <w:vMerge w:val="continue"/>
            <w:shd w:val="clear" w:color="auto" w:fill="CFF0FC"/>
          </w:tcPr>
          <w:p>
            <w:pPr>
              <w:spacing w:after="0"/>
              <w:rPr>
                <w:sz w:val="17"/>
                <w:szCs w:val="17"/>
                <w:color w:val="auto"/>
              </w:rPr>
            </w:pPr>
          </w:p>
        </w:tc>
        <w:tc>
          <w:tcPr>
            <w:tcW w:w="178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Senior Note, Series B</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Pr>
          <w:p>
            <w:pPr>
              <w:spacing w:after="0"/>
              <w:rPr>
                <w:sz w:val="18"/>
                <w:szCs w:val="18"/>
                <w:color w:val="auto"/>
              </w:rPr>
            </w:pPr>
          </w:p>
        </w:tc>
        <w:tc>
          <w:tcPr>
            <w:tcW w:w="1860" w:type="dxa"/>
            <w:vAlign w:val="bottom"/>
            <w:gridSpan w:val="2"/>
          </w:tcPr>
          <w:p>
            <w:pPr>
              <w:ind w:left="620"/>
              <w:spacing w:after="0"/>
              <w:rPr>
                <w:sz w:val="20"/>
                <w:szCs w:val="20"/>
                <w:color w:val="auto"/>
              </w:rPr>
            </w:pPr>
            <w:r>
              <w:rPr>
                <w:rFonts w:ascii="Arial" w:cs="Arial" w:eastAsia="Arial" w:hAnsi="Arial"/>
                <w:sz w:val="18"/>
                <w:szCs w:val="18"/>
                <w:color w:val="auto"/>
              </w:rPr>
              <w:t>July 15, 2024</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Note, Series C</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w:t>
            </w:r>
          </w:p>
        </w:tc>
        <w:tc>
          <w:tcPr>
            <w:tcW w:w="26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July 15, 2026</w:t>
            </w: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39"/>
        </w:trPr>
        <w:tc>
          <w:tcPr>
            <w:tcW w:w="5800" w:type="dxa"/>
            <w:vAlign w:val="bottom"/>
            <w:gridSpan w:val="2"/>
          </w:tcPr>
          <w:p>
            <w:pPr>
              <w:spacing w:after="0"/>
              <w:rPr>
                <w:sz w:val="20"/>
                <w:szCs w:val="20"/>
                <w:color w:val="auto"/>
              </w:rPr>
            </w:pPr>
            <w:r>
              <w:rPr>
                <w:rFonts w:ascii="Arial" w:cs="Arial" w:eastAsia="Arial" w:hAnsi="Arial"/>
                <w:sz w:val="18"/>
                <w:szCs w:val="18"/>
                <w:color w:val="auto"/>
              </w:rPr>
              <w:t>Senior Note, Series D</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40,000</w:t>
            </w:r>
          </w:p>
        </w:tc>
        <w:tc>
          <w:tcPr>
            <w:tcW w:w="260" w:type="dxa"/>
            <w:vAlign w:val="bottom"/>
          </w:tcPr>
          <w:p>
            <w:pPr>
              <w:spacing w:after="0"/>
              <w:rPr>
                <w:sz w:val="20"/>
                <w:szCs w:val="20"/>
                <w:color w:val="auto"/>
              </w:rPr>
            </w:pPr>
          </w:p>
        </w:tc>
        <w:tc>
          <w:tcPr>
            <w:tcW w:w="1860" w:type="dxa"/>
            <w:vAlign w:val="bottom"/>
            <w:gridSpan w:val="2"/>
          </w:tcPr>
          <w:p>
            <w:pPr>
              <w:ind w:left="620"/>
              <w:spacing w:after="0"/>
              <w:rPr>
                <w:sz w:val="20"/>
                <w:szCs w:val="20"/>
                <w:color w:val="auto"/>
              </w:rPr>
            </w:pPr>
            <w:r>
              <w:rPr>
                <w:rFonts w:ascii="Arial" w:cs="Arial" w:eastAsia="Arial" w:hAnsi="Arial"/>
                <w:sz w:val="18"/>
                <w:szCs w:val="18"/>
                <w:color w:val="auto"/>
              </w:rPr>
              <w:t>July 15, 2029</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20" w:firstLine="644"/>
        <w:spacing w:after="0" w:line="243" w:lineRule="auto"/>
        <w:rPr>
          <w:sz w:val="20"/>
          <w:szCs w:val="20"/>
          <w:color w:val="auto"/>
        </w:rPr>
      </w:pPr>
      <w:r>
        <w:rPr>
          <w:rFonts w:ascii="Arial" w:cs="Arial" w:eastAsia="Arial" w:hAnsi="Arial"/>
          <w:sz w:val="18"/>
          <w:szCs w:val="18"/>
          <w:color w:val="auto"/>
        </w:rPr>
        <w:t>The Company incurred $1.1 million of debt issuance costs in connection with the private placement. On August 10, 2018, the Company finalized an amended and restated intercreditor agreement related to this private placement to more closely align certain covenants and definitions with the terms under the 2017 amended and restated Credit Agreement and incurred $0.5 million of additional issuance costs. These costs are presented as a direct deduction from the debt on the face of the consolidated balance sheets. Interest expense related to the Senior Notes for the three months ended March 31, 2022 and March 31, 2021 was $2.6 million and $3.2 million,</w:t>
      </w:r>
    </w:p>
    <w:p>
      <w:pPr>
        <w:spacing w:after="0" w:line="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respectively. The amortization of debt issuance costs and interest expense is recorded in “Interest expense” on the consolidated statements of income. The Company paid the $50 million Series A tranche of the Senior Note as scheduled in July 2021. The Company made interest payments of $5.1 million and $ 6.2 million for the three months ended March 31, 2022 and March 31, 2021, respectively. Interest payable of $2.2 million and $4.7 million is recorded in “Accrued expenses and other current liabilities” on the consolidated balance sheets at March 31, 2022 and December 31, 2021, respectively, related to the Senior Notes.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jc w:val="both"/>
        <w:ind w:firstLine="644"/>
        <w:spacing w:after="0" w:line="253" w:lineRule="auto"/>
        <w:rPr>
          <w:sz w:val="20"/>
          <w:szCs w:val="20"/>
          <w:color w:val="auto"/>
        </w:rPr>
      </w:pPr>
      <w:r>
        <w:rPr>
          <w:rFonts w:ascii="Arial" w:cs="Arial" w:eastAsia="Arial" w:hAnsi="Arial"/>
          <w:sz w:val="18"/>
          <w:szCs w:val="18"/>
          <w:color w:val="auto"/>
        </w:rPr>
        <w:t>Using a discounted cash flow technique that incorporates a market interest yield curve with adjustments for duration, optionality, and risk profile, the Company estimated that the fair value (Level 2) of its Senior Notes at March 31, 2022 approximates $208.4 million. See “Note 16 – Fair Value of Financial Instruments” for the definition of Level 2 of the fair value hierarchy.</w:t>
      </w:r>
    </w:p>
    <w:p>
      <w:pPr>
        <w:spacing w:after="0" w:line="169" w:lineRule="exact"/>
        <w:rPr>
          <w:sz w:val="20"/>
          <w:szCs w:val="20"/>
          <w:color w:val="auto"/>
        </w:rPr>
      </w:pPr>
    </w:p>
    <w:p>
      <w:pPr>
        <w:ind w:right="100" w:firstLine="644"/>
        <w:spacing w:after="0" w:line="253" w:lineRule="auto"/>
        <w:rPr>
          <w:sz w:val="20"/>
          <w:szCs w:val="20"/>
          <w:color w:val="auto"/>
        </w:rPr>
      </w:pPr>
      <w:r>
        <w:rPr>
          <w:rFonts w:ascii="Arial" w:cs="Arial" w:eastAsia="Arial" w:hAnsi="Arial"/>
          <w:sz w:val="18"/>
          <w:szCs w:val="18"/>
          <w:color w:val="auto"/>
        </w:rPr>
        <w:t>The Credit Agreement and private placement includes various covenants, including restrictions on indebtedness, liens, acquisitions, investments or dispositions, payment of dividends and maintenance of certain financial ratios and conditions. The Company was in compliance with these covenants at March 31, 2022 and December 31, 2021.</w:t>
      </w:r>
    </w:p>
    <w:p>
      <w:pPr>
        <w:spacing w:after="0" w:line="169" w:lineRule="exact"/>
        <w:rPr>
          <w:sz w:val="20"/>
          <w:szCs w:val="20"/>
          <w:color w:val="auto"/>
        </w:rPr>
      </w:pPr>
    </w:p>
    <w:p>
      <w:pPr>
        <w:ind w:right="300" w:firstLine="644"/>
        <w:spacing w:after="0" w:line="253" w:lineRule="auto"/>
        <w:rPr>
          <w:sz w:val="20"/>
          <w:szCs w:val="20"/>
          <w:color w:val="auto"/>
        </w:rPr>
      </w:pPr>
      <w:r>
        <w:rPr>
          <w:rFonts w:ascii="Arial" w:cs="Arial" w:eastAsia="Arial" w:hAnsi="Arial"/>
          <w:sz w:val="18"/>
          <w:szCs w:val="18"/>
          <w:color w:val="auto"/>
        </w:rPr>
        <w:t>The Company also has in place several secondary bank credit lines for issuing letters of credit, principally for foreign contracts, to support performance and completion guarantees. Letters of credit commitments outstanding under these bank lines aggregated $220.6 million and $223.0 million at March 31, 2022 and December 31, 2021, respectively.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02" w:lineRule="exact"/>
        <w:rPr>
          <w:sz w:val="20"/>
          <w:szCs w:val="20"/>
          <w:color w:val="auto"/>
        </w:rPr>
      </w:pPr>
    </w:p>
    <w:p>
      <w:pPr>
        <w:ind w:right="60" w:firstLine="644"/>
        <w:spacing w:after="0" w:line="244" w:lineRule="auto"/>
        <w:rPr>
          <w:sz w:val="20"/>
          <w:szCs w:val="20"/>
          <w:color w:val="auto"/>
        </w:rPr>
      </w:pPr>
      <w:r>
        <w:rPr>
          <w:rFonts w:ascii="Arial" w:cs="Arial" w:eastAsia="Arial" w:hAnsi="Arial"/>
          <w:sz w:val="18"/>
          <w:szCs w:val="18"/>
          <w:color w:val="auto"/>
        </w:rPr>
        <w:t>In August 2020, the Company issued an aggregate $400.0 million of 0.25% Convertible Senior Notes due 2025, including the exercise of a $50.0 million initial purchasers’ option. The Company received proceeds from the issuance and sale of the Convertible Senior Notes of $ 389.7 million, net of $10.3 million of transaction fees and other third-party offering expenses. The Convertible Senior Notes accrue interest at a rate of 0.25% per annum, payable semi-annually on February 15 and August 15 of each year beginning on February 15, 2021, and will mature on August 15, 2025, unless earlier repurchased, redeemed or converted.</w:t>
      </w:r>
    </w:p>
    <w:p>
      <w:pPr>
        <w:spacing w:after="0" w:line="176" w:lineRule="exact"/>
        <w:rPr>
          <w:sz w:val="20"/>
          <w:szCs w:val="20"/>
          <w:color w:val="auto"/>
        </w:rPr>
      </w:pPr>
    </w:p>
    <w:p>
      <w:pPr>
        <w:ind w:right="120" w:firstLine="644"/>
        <w:spacing w:after="0" w:line="244" w:lineRule="auto"/>
        <w:rPr>
          <w:sz w:val="20"/>
          <w:szCs w:val="20"/>
          <w:color w:val="auto"/>
        </w:rPr>
      </w:pPr>
      <w:r>
        <w:rPr>
          <w:rFonts w:ascii="Arial" w:cs="Arial" w:eastAsia="Arial" w:hAnsi="Arial"/>
          <w:sz w:val="18"/>
          <w:szCs w:val="18"/>
          <w:color w:val="auto"/>
        </w:rPr>
        <w:t>The Convertible Senior Notes are the Company’s senior unsecured obligations and will rank senior in right of payment to any of the Company’s indebtedness that is expressly subordinated in right of payment to the Notes; equal in right of payment to any of the Company’s unsecured indebtedness that is not so subordinated; effectively junior in right of payment to any of the Company’s secured indebtedness, to the extent of the value of the assets securing such indebtedness; and structurally junior to all indebtedness and other liabilities (including trade payables) of the Company’s subsidiaries</w:t>
      </w:r>
    </w:p>
    <w:p>
      <w:pPr>
        <w:spacing w:after="0" w:line="176" w:lineRule="exact"/>
        <w:rPr>
          <w:sz w:val="20"/>
          <w:szCs w:val="20"/>
          <w:color w:val="auto"/>
        </w:rPr>
      </w:pPr>
    </w:p>
    <w:p>
      <w:pPr>
        <w:ind w:right="60" w:firstLine="644"/>
        <w:spacing w:after="0" w:line="247" w:lineRule="auto"/>
        <w:rPr>
          <w:sz w:val="20"/>
          <w:szCs w:val="20"/>
          <w:color w:val="auto"/>
        </w:rPr>
      </w:pPr>
      <w:r>
        <w:rPr>
          <w:rFonts w:ascii="Arial" w:cs="Arial" w:eastAsia="Arial" w:hAnsi="Arial"/>
          <w:sz w:val="18"/>
          <w:szCs w:val="18"/>
          <w:color w:val="auto"/>
        </w:rPr>
        <w:t>Each $1,000 of principal of the Notes will initially be convertible into 22.2913 shares of our common stock, which is equivalent to an initial conversion price of $44.86 per share, subject to adjustment upon the occurrence of specified events. On or after March 15, 2025 until the close of business on the second scheduled trading day immediately preceding the maturity date of the Convertible Senior Notes, holders may convert all or a portion of their Convertible Senior Notes, regardless of the conditions below.</w:t>
      </w:r>
    </w:p>
    <w:p>
      <w:pPr>
        <w:spacing w:after="0" w:line="174" w:lineRule="exact"/>
        <w:rPr>
          <w:sz w:val="20"/>
          <w:szCs w:val="20"/>
          <w:color w:val="auto"/>
        </w:rPr>
      </w:pPr>
    </w:p>
    <w:p>
      <w:pPr>
        <w:ind w:right="80" w:firstLine="644"/>
        <w:spacing w:after="0" w:line="271" w:lineRule="auto"/>
        <w:rPr>
          <w:sz w:val="20"/>
          <w:szCs w:val="20"/>
          <w:color w:val="auto"/>
        </w:rPr>
      </w:pPr>
      <w:r>
        <w:rPr>
          <w:rFonts w:ascii="Arial" w:cs="Arial" w:eastAsia="Arial" w:hAnsi="Arial"/>
          <w:sz w:val="18"/>
          <w:szCs w:val="18"/>
          <w:color w:val="auto"/>
        </w:rPr>
        <w:t>Prior to the close of business on the business day immediately preceding March 15, 2025, the Notes will be convertible at the option of the holders thereof only under the following circumstances:</w:t>
      </w:r>
    </w:p>
    <w:p>
      <w:pPr>
        <w:spacing w:after="0" w:line="154" w:lineRule="exact"/>
        <w:rPr>
          <w:sz w:val="20"/>
          <w:szCs w:val="20"/>
          <w:color w:val="auto"/>
        </w:rPr>
      </w:pPr>
    </w:p>
    <w:p>
      <w:pPr>
        <w:ind w:left="1380" w:right="100" w:hanging="360"/>
        <w:spacing w:after="0" w:line="246" w:lineRule="auto"/>
        <w:tabs>
          <w:tab w:leader="none" w:pos="13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during any calendar quarter commencing after the calendar quarter ending on December 31, 2021,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176" w:lineRule="exact"/>
        <w:rPr>
          <w:rFonts w:ascii="Times New Roman" w:cs="Times New Roman" w:eastAsia="Times New Roman" w:hAnsi="Times New Roman"/>
          <w:sz w:val="18"/>
          <w:szCs w:val="18"/>
          <w:color w:val="auto"/>
        </w:rPr>
      </w:pPr>
    </w:p>
    <w:p>
      <w:pPr>
        <w:ind w:left="1380" w:right="40" w:hanging="360"/>
        <w:spacing w:after="0" w:line="246" w:lineRule="auto"/>
        <w:tabs>
          <w:tab w:leader="none" w:pos="13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per $1,000 principal amount of Convertible Senior Notes for such trading day was less than 98% of the product of the last reported sale price of the Company’s common stock and the conversion rate on each such trading day;</w:t>
      </w:r>
    </w:p>
    <w:p>
      <w:pPr>
        <w:spacing w:after="0" w:line="176"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if the Company calls such Convertible Senior Notes for redemption; or</w:t>
      </w:r>
    </w:p>
    <w:p>
      <w:pPr>
        <w:spacing w:after="0" w:line="251"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upon the occurrence of specified corporate events described in the Indenture.</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6" w:name="page17"/>
    <w:bookmarkEnd w:id="16"/>
    <w:p>
      <w:pPr>
        <w:ind w:right="60" w:firstLine="644"/>
        <w:spacing w:after="0" w:line="242" w:lineRule="auto"/>
        <w:rPr>
          <w:sz w:val="20"/>
          <w:szCs w:val="20"/>
          <w:color w:val="auto"/>
        </w:rPr>
      </w:pPr>
      <w:r>
        <w:rPr>
          <w:rFonts w:ascii="Arial" w:cs="Arial" w:eastAsia="Arial" w:hAnsi="Arial"/>
          <w:sz w:val="18"/>
          <w:szCs w:val="18"/>
          <w:color w:val="auto"/>
        </w:rPr>
        <w:t>The Company may redeem all or any portion of the Convertible Senior Notes for cash, at its option, on or after August 21, 2023 and before the 51</w:t>
      </w:r>
      <w:r>
        <w:rPr>
          <w:rFonts w:ascii="Arial" w:cs="Arial" w:eastAsia="Arial" w:hAnsi="Arial"/>
          <w:sz w:val="15"/>
          <w:szCs w:val="15"/>
          <w:color w:val="auto"/>
        </w:rPr>
        <w:t>st</w:t>
      </w:r>
      <w:r>
        <w:rPr>
          <w:rFonts w:ascii="Arial" w:cs="Arial" w:eastAsia="Arial" w:hAnsi="Arial"/>
          <w:sz w:val="18"/>
          <w:szCs w:val="18"/>
          <w:color w:val="auto"/>
        </w:rPr>
        <w:t xml:space="preserve"> scheduled trading day immediately before the maturity date at a redemption price equal to 100% of the principal amount of the Notes to be redeemed, plus accrued and unpaid interest, but only if the last reported sale price per share of the Company’s common stock exceeds 130% of the conversion price for a specified period of time. In addition, calling any Convertible Senior Note for redemption will constitute a Make-Whole Fundamental Change with respect to that Convertible Senior Note, in which case the conversion rate applicable to the conversion of that Convertible Senior Note will be increased in certain circumstances if it is converted after it is called for redemption.</w:t>
      </w:r>
    </w:p>
    <w:p>
      <w:pPr>
        <w:spacing w:after="0" w:line="179" w:lineRule="exact"/>
        <w:rPr>
          <w:sz w:val="20"/>
          <w:szCs w:val="20"/>
          <w:color w:val="auto"/>
        </w:rPr>
      </w:pPr>
    </w:p>
    <w:p>
      <w:pPr>
        <w:ind w:firstLine="644"/>
        <w:spacing w:after="0" w:line="247" w:lineRule="auto"/>
        <w:rPr>
          <w:sz w:val="20"/>
          <w:szCs w:val="20"/>
          <w:color w:val="auto"/>
        </w:rPr>
      </w:pPr>
      <w:r>
        <w:rPr>
          <w:rFonts w:ascii="Arial" w:cs="Arial" w:eastAsia="Arial" w:hAnsi="Arial"/>
          <w:sz w:val="18"/>
          <w:szCs w:val="18"/>
          <w:color w:val="auto"/>
        </w:rPr>
        <w:t>Upon the occurrence of a fundamental change prior to the maturity date of the Convertible Senior Notes, holders of the Convertible Senior Notes may require the Company to repurchase all or a portion of the Convertible Senior Notes for cash at a price equal to 100% of the principal amount of the Convertible Senior Notes to be repurchased, plus any accrued and unpaid interest to, but excluding, the fundamental change repurchase date.</w:t>
      </w:r>
    </w:p>
    <w:p>
      <w:pPr>
        <w:spacing w:after="0" w:line="174" w:lineRule="exact"/>
        <w:rPr>
          <w:sz w:val="20"/>
          <w:szCs w:val="20"/>
          <w:color w:val="auto"/>
        </w:rPr>
      </w:pPr>
    </w:p>
    <w:p>
      <w:pPr>
        <w:ind w:right="40" w:firstLine="644"/>
        <w:spacing w:after="0" w:line="244" w:lineRule="auto"/>
        <w:rPr>
          <w:sz w:val="20"/>
          <w:szCs w:val="20"/>
          <w:color w:val="auto"/>
        </w:rPr>
      </w:pPr>
      <w:r>
        <w:rPr>
          <w:rFonts w:ascii="Arial" w:cs="Arial" w:eastAsia="Arial" w:hAnsi="Arial"/>
          <w:sz w:val="18"/>
          <w:szCs w:val="18"/>
          <w:color w:val="auto"/>
        </w:rPr>
        <w:t>Upon conversion, the Company may settle the Convertible Senior Notes for cash, shares of the Company’s common stock, or a combination thereof, at the Company’s option. If the Company satisfies its conversion obligation solely in cash or through payment and delivery of a combination of cash and shares of the Company’s common stock, the amount of cash and shares of common stock due upon conversion will be based on a daily conversion value calculated on a proportionate basis for each trading day in a 50-trading day observation period.</w:t>
      </w:r>
    </w:p>
    <w:p>
      <w:pPr>
        <w:spacing w:after="0" w:line="176" w:lineRule="exact"/>
        <w:rPr>
          <w:sz w:val="20"/>
          <w:szCs w:val="20"/>
          <w:color w:val="auto"/>
        </w:rPr>
      </w:pPr>
    </w:p>
    <w:p>
      <w:pPr>
        <w:ind w:right="40" w:firstLine="644"/>
        <w:spacing w:after="0" w:line="238" w:lineRule="auto"/>
        <w:rPr>
          <w:sz w:val="20"/>
          <w:szCs w:val="20"/>
          <w:color w:val="auto"/>
        </w:rPr>
      </w:pPr>
      <w:r>
        <w:rPr>
          <w:rFonts w:ascii="Arial" w:cs="Arial" w:eastAsia="Arial" w:hAnsi="Arial"/>
          <w:sz w:val="18"/>
          <w:szCs w:val="18"/>
          <w:color w:val="auto"/>
        </w:rPr>
        <w:t>Under existing GAAP at the time of issuance during 2020, convertible debt instruments that may be settled in cash on conversion were required to be separated into liability and equity components in a manner that reflects the issuer’s non-convertible debt borrowing rate. The carrying amount of the liability component is based on the fair value of a similar instrument that does not contain an equity conversion option. The carrying amount allocated to the equity component, which is recognized as a debt discount, represents the difference between the proceeds from the issuance of the notes and the fair value of the liability component of the notes. Based on this debt to equity ratio, debt issuance costs are then allocated to the liability and equity components in a similar manner. Accordingly, at issuance the Company allocated $336.1 million to the debt liability and $53.6 million to additional paid-in capital. The difference between the principal amount of the Convertible Senior Notes and the liability component, inclusive of issuance costs, represents the debt discount, which the Company amortized to interest expense over the term of the Convertible Senior Notes using an effective interest rate of 3.25%. During the year ended December 31, 2020, the Company recognized interest expense of $4.4 million. As of December 31, 2020, the net carrying value of the Notes was $340.6 million.</w:t>
      </w:r>
    </w:p>
    <w:p>
      <w:pPr>
        <w:spacing w:after="0" w:line="186" w:lineRule="exact"/>
        <w:rPr>
          <w:sz w:val="20"/>
          <w:szCs w:val="20"/>
          <w:color w:val="auto"/>
        </w:rPr>
      </w:pPr>
    </w:p>
    <w:p>
      <w:pPr>
        <w:ind w:right="40" w:firstLine="644"/>
        <w:spacing w:after="0" w:line="242" w:lineRule="auto"/>
        <w:rPr>
          <w:sz w:val="20"/>
          <w:szCs w:val="20"/>
          <w:color w:val="auto"/>
        </w:rPr>
      </w:pPr>
      <w:r>
        <w:rPr>
          <w:rFonts w:ascii="Arial" w:cs="Arial" w:eastAsia="Arial" w:hAnsi="Arial"/>
          <w:sz w:val="18"/>
          <w:szCs w:val="18"/>
          <w:color w:val="auto"/>
        </w:rPr>
        <w:t>In the first quarter of 2021, the Company early adopted ASU 2020-06, “Debt – Debt with Conversion and Other Options (Subtopic 470-20) and Derivatives and Hedging – Contracts in Equity’s Own Equity (Subtopic 815-40)”. The Company used the modified retrospective method which resulted in a reduction in non-cash interest expense and reclassification of equity component of the convertible senior notes of $55.0 million and equity component of the debt issuance costs of $1.4 million to liabilities on the consolidated balance sheet. The Company also adjusted the carrying amount of the convertible senior notes to what it would have been if the Company had applied ASU 2020-06 from the inception of the Notes and recorded the offset of the carrying amount adjustment of $3.7 million in retained earnings on January 1, 2021.</w:t>
      </w:r>
    </w:p>
    <w:p>
      <w:pPr>
        <w:spacing w:after="0" w:line="179" w:lineRule="exact"/>
        <w:rPr>
          <w:sz w:val="20"/>
          <w:szCs w:val="20"/>
          <w:color w:val="auto"/>
        </w:rPr>
      </w:pPr>
    </w:p>
    <w:p>
      <w:pPr>
        <w:ind w:right="280" w:firstLine="644"/>
        <w:spacing w:after="0" w:line="303" w:lineRule="auto"/>
        <w:rPr>
          <w:sz w:val="20"/>
          <w:szCs w:val="20"/>
          <w:color w:val="auto"/>
        </w:rPr>
      </w:pPr>
      <w:r>
        <w:rPr>
          <w:rFonts w:ascii="Arial" w:cs="Arial" w:eastAsia="Arial" w:hAnsi="Arial"/>
          <w:sz w:val="18"/>
          <w:szCs w:val="18"/>
          <w:color w:val="auto"/>
        </w:rPr>
        <w:t>The Company recognized interest expense of $0.7 million and $0.7 million for the three months ended March 31, 2022 and March 31, 2021, respectively. As of March 31, 2022 and December 31, 2021, the carrying value of the Notes was $400.0 million.</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Convertible Note Hedge and Warrant Transactions</w:t>
      </w:r>
    </w:p>
    <w:p>
      <w:pPr>
        <w:spacing w:after="0" w:line="210" w:lineRule="exact"/>
        <w:rPr>
          <w:sz w:val="20"/>
          <w:szCs w:val="20"/>
          <w:color w:val="auto"/>
        </w:rPr>
      </w:pPr>
    </w:p>
    <w:p>
      <w:pPr>
        <w:ind w:right="20" w:firstLine="644"/>
        <w:spacing w:after="0" w:line="242" w:lineRule="auto"/>
        <w:rPr>
          <w:sz w:val="20"/>
          <w:szCs w:val="20"/>
          <w:color w:val="auto"/>
        </w:rPr>
      </w:pPr>
      <w:r>
        <w:rPr>
          <w:rFonts w:ascii="Arial" w:cs="Arial" w:eastAsia="Arial" w:hAnsi="Arial"/>
          <w:sz w:val="18"/>
          <w:szCs w:val="18"/>
          <w:color w:val="auto"/>
        </w:rPr>
        <w:t>In connection with the sale of the Convertible Senior Notes, the Company purchased a bond hedge designed to mitigate the potential dilution from the conversion of the Convertible Senior Notes. Under the five-year term of the bond hedge, upon a conversion of the bonds, the Company will receive the number of shares of common stock equal to the remaining common stock deliverable upon conversion of the Convertible Senior Notes if the conversion value exceeds the principal amount of the Notes. The aggregate number of shares that the Company could be obligated to issue upon conversion of the Convertible Senior Notes is approximately 8.9 million shares. The cost of the convertible note hedge transactions was $55.0 million.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jc w:val="both"/>
        <w:ind w:right="320" w:firstLine="644"/>
        <w:spacing w:after="0" w:line="247" w:lineRule="auto"/>
        <w:rPr>
          <w:sz w:val="20"/>
          <w:szCs w:val="20"/>
          <w:color w:val="auto"/>
        </w:rPr>
      </w:pPr>
      <w:r>
        <w:rPr>
          <w:rFonts w:ascii="Arial" w:cs="Arial" w:eastAsia="Arial" w:hAnsi="Arial"/>
          <w:sz w:val="18"/>
          <w:szCs w:val="18"/>
          <w:color w:val="auto"/>
        </w:rPr>
        <w:t>The cost of the convertible note hedge was partially offset by the Company’s sale of warrants to acquire approximately 8.9 million shares of the Company’s common stock. The warrants were initially exercisable at a price of at least $ 66.46 per share and are subject to customary adjustments upon the occurrence of certain events, such as the payment of dividends. The Company received $13.8 million in cash proceeds from the sales of these warrants.</w:t>
      </w:r>
    </w:p>
    <w:p>
      <w:pPr>
        <w:spacing w:after="0" w:line="174" w:lineRule="exact"/>
        <w:rPr>
          <w:sz w:val="20"/>
          <w:szCs w:val="20"/>
          <w:color w:val="auto"/>
        </w:rPr>
      </w:pPr>
    </w:p>
    <w:p>
      <w:pPr>
        <w:ind w:right="280" w:firstLine="644"/>
        <w:spacing w:after="0" w:line="253" w:lineRule="auto"/>
        <w:rPr>
          <w:sz w:val="20"/>
          <w:szCs w:val="20"/>
          <w:color w:val="auto"/>
        </w:rPr>
      </w:pPr>
      <w:r>
        <w:rPr>
          <w:rFonts w:ascii="Arial" w:cs="Arial" w:eastAsia="Arial" w:hAnsi="Arial"/>
          <w:sz w:val="18"/>
          <w:szCs w:val="18"/>
          <w:color w:val="auto"/>
        </w:rPr>
        <w:t>The bond hedge and warrant transactions effectively increased the conversion price associated with the Convertible Senior Notes during the term of these transactions from 35%, or $44.86, to 100%, or $66.46, at their issuance, thereby reducing the dilutive economic effect to shareholders upon actual conversion.</w:t>
      </w:r>
    </w:p>
    <w:p>
      <w:pPr>
        <w:spacing w:after="0" w:line="169" w:lineRule="exact"/>
        <w:rPr>
          <w:sz w:val="20"/>
          <w:szCs w:val="20"/>
          <w:color w:val="auto"/>
        </w:rPr>
      </w:pPr>
    </w:p>
    <w:p>
      <w:pPr>
        <w:jc w:val="both"/>
        <w:ind w:right="280" w:firstLine="644"/>
        <w:spacing w:after="0" w:line="253" w:lineRule="auto"/>
        <w:rPr>
          <w:sz w:val="20"/>
          <w:szCs w:val="20"/>
          <w:color w:val="auto"/>
        </w:rPr>
      </w:pPr>
      <w:r>
        <w:rPr>
          <w:rFonts w:ascii="Arial" w:cs="Arial" w:eastAsia="Arial" w:hAnsi="Arial"/>
          <w:sz w:val="18"/>
          <w:szCs w:val="18"/>
          <w:color w:val="auto"/>
        </w:rPr>
        <w:t>The bond hedges and warrants are indexed to, and potentially settled in, shares of the Company’s common stock. The net cost of $41.2 million for the purchase of the bond hedges and sale of the warrants was recorded as a reduction to additional paid-in capital in the consolidated balance sheets.</w:t>
      </w:r>
    </w:p>
    <w:p>
      <w:pPr>
        <w:spacing w:after="0" w:line="169" w:lineRule="exact"/>
        <w:rPr>
          <w:sz w:val="20"/>
          <w:szCs w:val="20"/>
          <w:color w:val="auto"/>
        </w:rPr>
      </w:pPr>
    </w:p>
    <w:p>
      <w:pPr>
        <w:ind w:right="100" w:firstLine="644"/>
        <w:spacing w:after="0"/>
        <w:rPr>
          <w:sz w:val="20"/>
          <w:szCs w:val="20"/>
          <w:color w:val="auto"/>
        </w:rPr>
      </w:pPr>
      <w:r>
        <w:rPr>
          <w:rFonts w:ascii="Arial" w:cs="Arial" w:eastAsia="Arial" w:hAnsi="Arial"/>
          <w:sz w:val="18"/>
          <w:szCs w:val="18"/>
          <w:color w:val="auto"/>
        </w:rPr>
        <w:t>At issuance, the Company recorded a deferred tax liability of $16.2 million related to the Convertible Senior Notes debt discount and the capitalized debt issuance costs. The Company also recorded a deferred tax asset of $16.5 million related to the convertible note hedge transactions and the tax basis of the capitalized debt issuance costs through additional paid-in capital. The deferred tax liability and deferred tax asset were included net in “Deferred tax assets” on the consolidated balance sheets. Upon adoption of ASU 2020-06, the Company reversed the deferred tax liability of $13.9 million that the Company had recorded at issuance related to the Convertible Senior Note debt discount and recorded an additional deferred tax liability of $ 0.4 million related to the capitalized debt issuance costs. In addition, the Company recorded a $0.9 million adjustment to the deferred tax asset through retained earnings related to the tax effect of book accretion recorded in 2020 and reversed upon adoption.</w:t>
      </w:r>
    </w:p>
    <w:p>
      <w:pPr>
        <w:spacing w:after="0" w:line="288"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ind w:right="40" w:firstLine="674"/>
        <w:spacing w:after="0" w:line="247" w:lineRule="auto"/>
        <w:rPr>
          <w:sz w:val="20"/>
          <w:szCs w:val="20"/>
          <w:color w:val="auto"/>
        </w:rPr>
      </w:pPr>
      <w:r>
        <w:rPr>
          <w:rFonts w:ascii="Arial" w:cs="Arial" w:eastAsia="Arial" w:hAnsi="Arial"/>
          <w:sz w:val="18"/>
          <w:szCs w:val="18"/>
          <w:color w:val="auto"/>
        </w:rPr>
        <w:t>The Company’s effective tax rate was 25.4% and 27.7% for the three months ended March 31, 2022 and 2021, respectively. The change in the effective tax rate was due primarily to a decrease of withholding tax and a change in the jurisdictional mix of earnings. The difference between the effective tax rate and the statutory U.S. Federal income tax rate of 21.0% for the three months ended March 31, 2022 primarily relates to state income taxes and an increased expense for uncertain tax positions, partially offset by benefits related to untaxed income attributable to noncontrolling interests and federal research tax credits.</w:t>
      </w:r>
    </w:p>
    <w:p>
      <w:pPr>
        <w:spacing w:after="0" w:line="190" w:lineRule="exact"/>
        <w:rPr>
          <w:sz w:val="20"/>
          <w:szCs w:val="20"/>
          <w:color w:val="auto"/>
        </w:rPr>
      </w:pPr>
    </w:p>
    <w:p>
      <w:pPr>
        <w:ind w:right="80" w:firstLine="674"/>
        <w:spacing w:after="0" w:line="242" w:lineRule="auto"/>
        <w:rPr>
          <w:sz w:val="20"/>
          <w:szCs w:val="20"/>
          <w:color w:val="auto"/>
        </w:rPr>
      </w:pPr>
      <w:r>
        <w:rPr>
          <w:rFonts w:ascii="Arial" w:cs="Arial" w:eastAsia="Arial" w:hAnsi="Arial"/>
          <w:sz w:val="18"/>
          <w:szCs w:val="18"/>
          <w:color w:val="auto"/>
        </w:rPr>
        <w:t>As of March 31, 2022, the Company’s deferred tax assets were subject to a valuation allowance of $28.0 million primarily related to foreign net operating loss carryforwards, foreign tax credit carryforwards, and capital losses that the Company has determined are not more-likely-than-not to be realized. The factors used to assess the likelihood of realization include: the past performance of the entities, forecasts of future taxable income, future reversals of existing taxable temporary differences, and available tax planning strategies that could be implemented to realize the deferred tax assets. The ability or failure to achieve the forecasted taxable income in these entities could affect the ultimate realization of deferred tax assets.</w:t>
      </w:r>
    </w:p>
    <w:p>
      <w:pPr>
        <w:spacing w:after="0" w:line="192" w:lineRule="exact"/>
        <w:rPr>
          <w:sz w:val="20"/>
          <w:szCs w:val="20"/>
          <w:color w:val="auto"/>
        </w:rPr>
      </w:pPr>
    </w:p>
    <w:p>
      <w:pPr>
        <w:ind w:firstLine="674"/>
        <w:spacing w:after="0" w:line="253" w:lineRule="auto"/>
        <w:rPr>
          <w:sz w:val="20"/>
          <w:szCs w:val="20"/>
          <w:color w:val="auto"/>
        </w:rPr>
      </w:pPr>
      <w:r>
        <w:rPr>
          <w:rFonts w:ascii="Arial" w:cs="Arial" w:eastAsia="Arial" w:hAnsi="Arial"/>
          <w:sz w:val="18"/>
          <w:szCs w:val="18"/>
          <w:color w:val="auto"/>
        </w:rPr>
        <w:t>As of March 31, 2022 and December 31, 2021, the liability for income taxes associated with uncertain tax positions was $22.5 million and $21.2 million, respectively. It is reasonably possible that the Company may realize a decrease in our uncertain tax positions of approximately $0.5 million during the next 12 months as a result of concluding various tax audits and closing tax years.</w:t>
      </w:r>
    </w:p>
    <w:p>
      <w:pPr>
        <w:spacing w:after="0" w:line="169" w:lineRule="exact"/>
        <w:rPr>
          <w:sz w:val="20"/>
          <w:szCs w:val="20"/>
          <w:color w:val="auto"/>
        </w:rPr>
      </w:pPr>
    </w:p>
    <w:p>
      <w:pPr>
        <w:ind w:right="40" w:firstLine="674"/>
        <w:spacing w:after="0" w:line="247" w:lineRule="auto"/>
        <w:rPr>
          <w:sz w:val="20"/>
          <w:szCs w:val="20"/>
          <w:color w:val="auto"/>
        </w:rPr>
      </w:pPr>
      <w:r>
        <w:rPr>
          <w:rFonts w:ascii="Arial" w:cs="Arial" w:eastAsia="Arial" w:hAnsi="Arial"/>
          <w:sz w:val="18"/>
          <w:szCs w:val="18"/>
          <w:color w:val="auto"/>
        </w:rPr>
        <w:t>Although the Company believes its reserves for its tax positions are reasonable, the final outcome of tax audits could be materially different, both favorably and unfavorably. It is reasonably possible that certain audits may conclude in the next 12 months and that the unrecognized tax benefits the Company has recorded in relation to these tax years may change compared to the liabilities recorded for these periods. However, it is not currently possible to estimate the amount, if any, of such change.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8" w:name="page19"/>
    <w:bookmarkEnd w:id="18"/>
    <w:p>
      <w:pPr>
        <w:ind w:left="640" w:hanging="632"/>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04" w:lineRule="exact"/>
        <w:rPr>
          <w:sz w:val="20"/>
          <w:szCs w:val="20"/>
          <w:color w:val="auto"/>
        </w:rPr>
      </w:pPr>
    </w:p>
    <w:p>
      <w:pPr>
        <w:ind w:right="40" w:firstLine="644"/>
        <w:spacing w:after="0" w:line="239" w:lineRule="auto"/>
        <w:rPr>
          <w:sz w:val="20"/>
          <w:szCs w:val="20"/>
          <w:color w:val="auto"/>
        </w:rPr>
      </w:pPr>
      <w:r>
        <w:rPr>
          <w:rFonts w:ascii="Arial" w:cs="Arial" w:eastAsia="Arial" w:hAnsi="Arial"/>
          <w:sz w:val="18"/>
          <w:szCs w:val="18"/>
          <w:color w:val="auto"/>
        </w:rPr>
        <w:t>The Company is subject to certain lawsuits, claims and assessments that arise in the ordinary course of business. Additionally, the Company has been named as a defendant in lawsuits alleging personal injuries as a result of contact with asbestos products at various project sites. Management believes that any significant costs relating to these claims will be reimbursed by applicable insurance and, although there can be no assurance that these matters will be resolved favorably, management believes that the ultimate resolution of any of these claims will not have a material adverse effect on our consolidated financial position, results of operations, or cash flows. A liability is recorded when it is both probable that a loss has been incurred and the amount of loss or range of loss can be reasonably estimated. When using a range of loss estimate, the Company records the liability using the low end of the range. The Company records a corresponding receivable for costs covered under its insurance policies. Management judgment is required to determine the outcome and the estimated amount of a loss related to such matters. Management believes that there are no claims or assessments outstanding which would materially affect the consolidated results of operations or the Company’s financial position.</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September 2015, a former Parsons employee filed an action in the United States District Court for the Northern District of Alabama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against us as a qui tam relator on behalf of the United States (the “Relator”) alleging violation of the False Claims Act. The United States</w:t>
      </w:r>
    </w:p>
    <w:p>
      <w:pPr>
        <w:spacing w:after="0" w:line="234" w:lineRule="auto"/>
        <w:rPr>
          <w:sz w:val="20"/>
          <w:szCs w:val="20"/>
          <w:color w:val="auto"/>
        </w:rPr>
      </w:pPr>
      <w:r>
        <w:rPr>
          <w:rFonts w:ascii="Arial" w:cs="Arial" w:eastAsia="Arial" w:hAnsi="Arial"/>
          <w:sz w:val="18"/>
          <w:szCs w:val="18"/>
          <w:color w:val="auto"/>
        </w:rPr>
        <w:t>government did not intervene in this matter as it is allowed to do so under the statute. The Company filed a motion to dismiss the lawsuit on</w:t>
      </w:r>
    </w:p>
    <w:p>
      <w:pPr>
        <w:spacing w:after="0" w:line="235" w:lineRule="auto"/>
        <w:rPr>
          <w:sz w:val="20"/>
          <w:szCs w:val="20"/>
          <w:color w:val="auto"/>
        </w:rPr>
      </w:pPr>
      <w:r>
        <w:rPr>
          <w:rFonts w:ascii="Arial" w:cs="Arial" w:eastAsia="Arial" w:hAnsi="Arial"/>
          <w:sz w:val="18"/>
          <w:szCs w:val="18"/>
          <w:color w:val="auto"/>
        </w:rPr>
        <w:t>the grounds that the Relator did not meet the applicable statute of limitations. The District Court granted the motion to dismiss. The Relator’s</w:t>
      </w:r>
    </w:p>
    <w:p>
      <w:pPr>
        <w:spacing w:after="0" w:line="235" w:lineRule="auto"/>
        <w:rPr>
          <w:sz w:val="20"/>
          <w:szCs w:val="20"/>
          <w:color w:val="auto"/>
        </w:rPr>
      </w:pPr>
      <w:r>
        <w:rPr>
          <w:rFonts w:ascii="Arial" w:cs="Arial" w:eastAsia="Arial" w:hAnsi="Arial"/>
          <w:sz w:val="18"/>
          <w:szCs w:val="18"/>
          <w:color w:val="auto"/>
        </w:rPr>
        <w:t>attorney appealed the decision to the United States Court of Appeals of the Eleventh Circuit, which ultimately ruled in favor of the Relator,</w:t>
      </w:r>
    </w:p>
    <w:p>
      <w:pPr>
        <w:spacing w:after="0" w:line="235" w:lineRule="auto"/>
        <w:rPr>
          <w:sz w:val="20"/>
          <w:szCs w:val="20"/>
          <w:color w:val="auto"/>
        </w:rPr>
      </w:pPr>
      <w:r>
        <w:rPr>
          <w:rFonts w:ascii="Arial" w:cs="Arial" w:eastAsia="Arial" w:hAnsi="Arial"/>
          <w:sz w:val="18"/>
          <w:szCs w:val="18"/>
          <w:color w:val="auto"/>
        </w:rPr>
        <w:t>and the Company petitioned the United States Supreme Court to review the decision. The Supreme Court reviewed the decision and</w:t>
      </w:r>
    </w:p>
    <w:p>
      <w:pPr>
        <w:spacing w:after="0" w:line="235" w:lineRule="auto"/>
        <w:rPr>
          <w:sz w:val="20"/>
          <w:szCs w:val="20"/>
          <w:color w:val="auto"/>
        </w:rPr>
      </w:pPr>
      <w:r>
        <w:rPr>
          <w:rFonts w:ascii="Arial" w:cs="Arial" w:eastAsia="Arial" w:hAnsi="Arial"/>
          <w:sz w:val="18"/>
          <w:szCs w:val="18"/>
          <w:color w:val="auto"/>
        </w:rPr>
        <w:t>accepted the position of the Relator. The case was thus remanded to the United States District Court for the Northern District of</w:t>
      </w:r>
    </w:p>
    <w:p>
      <w:pPr>
        <w:spacing w:after="0" w:line="234" w:lineRule="auto"/>
        <w:rPr>
          <w:sz w:val="20"/>
          <w:szCs w:val="20"/>
          <w:color w:val="auto"/>
        </w:rPr>
      </w:pPr>
      <w:r>
        <w:rPr>
          <w:rFonts w:ascii="Arial" w:cs="Arial" w:eastAsia="Arial" w:hAnsi="Arial"/>
          <w:sz w:val="18"/>
          <w:szCs w:val="18"/>
          <w:color w:val="auto"/>
        </w:rPr>
        <w:t>Alabama. The defendants, including Parsons, will file appropriate pleadings opposing the allegations. At this time, the Company is unable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determine the probability of the outcome of the litigation or determine a potential range of loss, if any.</w:t>
      </w:r>
    </w:p>
    <w:p>
      <w:pPr>
        <w:spacing w:after="0" w:line="194" w:lineRule="exact"/>
        <w:rPr>
          <w:sz w:val="20"/>
          <w:szCs w:val="20"/>
          <w:color w:val="auto"/>
        </w:rPr>
      </w:pPr>
    </w:p>
    <w:p>
      <w:pPr>
        <w:ind w:right="60" w:firstLine="637"/>
        <w:spacing w:after="0"/>
        <w:rPr>
          <w:sz w:val="20"/>
          <w:szCs w:val="20"/>
          <w:color w:val="auto"/>
        </w:rPr>
      </w:pPr>
      <w:r>
        <w:rPr>
          <w:rFonts w:ascii="Arial" w:cs="Arial" w:eastAsia="Arial" w:hAnsi="Arial"/>
          <w:sz w:val="18"/>
          <w:szCs w:val="18"/>
          <w:color w:val="auto"/>
        </w:rPr>
        <w:t>Federal government contracts are subject to audits, which are performed for the most part by the Defense Contract Audit Agency (“DCAA”). Audits by the DCAA and other agencies consist of reviews of our overhead rates, operating systems and cost proposals to ensure that we account for such costs in accordance with the Cost Accounting Standards (“CAS”). If the DCAA determines we have not accounted for such costs in accordance with the CAS, the DCAA may disallow these costs. The disallowance of such costs may result in a reduction of revenue and additional liability for the Company. Historically, the Company has not experienced any material disallowed costs as a result of government audits. However, the Company can provide no assurance that the DCAA or other government audits will not result in material disallowances for incurred costs in the future. All audits of costs incurred on work performed through 2013 have been closed, and years thereafter remain open.</w:t>
      </w:r>
    </w:p>
    <w:p>
      <w:pPr>
        <w:spacing w:after="0" w:line="180" w:lineRule="exact"/>
        <w:rPr>
          <w:sz w:val="20"/>
          <w:szCs w:val="20"/>
          <w:color w:val="auto"/>
        </w:rPr>
      </w:pPr>
    </w:p>
    <w:p>
      <w:pPr>
        <w:ind w:right="20" w:firstLine="637"/>
        <w:spacing w:after="0" w:line="271" w:lineRule="auto"/>
        <w:rPr>
          <w:sz w:val="20"/>
          <w:szCs w:val="20"/>
          <w:color w:val="auto"/>
        </w:rPr>
      </w:pPr>
      <w:r>
        <w:rPr>
          <w:rFonts w:ascii="Arial" w:cs="Arial" w:eastAsia="Arial" w:hAnsi="Arial"/>
          <w:sz w:val="18"/>
          <w:szCs w:val="18"/>
          <w:color w:val="auto"/>
        </w:rPr>
        <w:t>Although there can be no assurance that these matters will be resolved favorably, management believes that their ultimate resolution will not have a material adverse impact on the Company’s consolidated financial position, results of operations, or cash flows.</w:t>
      </w:r>
    </w:p>
    <w:p>
      <w:pPr>
        <w:spacing w:after="0" w:line="262"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w:t>
      </w:r>
    </w:p>
    <w:p>
      <w:pPr>
        <w:spacing w:after="0" w:line="104" w:lineRule="exact"/>
        <w:rPr>
          <w:sz w:val="20"/>
          <w:szCs w:val="20"/>
          <w:color w:val="auto"/>
        </w:rPr>
      </w:pPr>
    </w:p>
    <w:p>
      <w:pPr>
        <w:ind w:right="300" w:firstLine="637"/>
        <w:spacing w:after="0" w:line="257" w:lineRule="auto"/>
        <w:rPr>
          <w:sz w:val="20"/>
          <w:szCs w:val="20"/>
          <w:color w:val="auto"/>
        </w:rPr>
      </w:pPr>
      <w:r>
        <w:rPr>
          <w:rFonts w:ascii="Arial" w:cs="Arial" w:eastAsia="Arial" w:hAnsi="Arial"/>
          <w:sz w:val="17"/>
          <w:szCs w:val="17"/>
          <w:color w:val="auto"/>
        </w:rPr>
        <w:t>The Company’s principal retirement benefit plan is the Parsons Employee Stock Ownership Plan (“ESOP”), a stock bonus plan, established in 1975 to cover eligible employees of the Company and certain affiliated companies. Contributions of treasury stock to the ESOP are made annually in amounts determined by the Company’s board of directors and are held in trust for the sole benefit of the participants. Shares allocated to a participant’s account are fully vested after three years of credited service, or in the event(s) of reaching age 65, death or disability while an active employee of the Company. As of March 31, 2022 and December 31, 2021, total shares of the</w:t>
      </w:r>
    </w:p>
    <w:p>
      <w:pPr>
        <w:spacing w:after="0" w:line="2"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Company’s common stock outstanding were 103,730,134 and 103,659,731, respectively, of which 68,787,554 and 70,328,237, respectively, were held by the ESOP.</w:t>
      </w:r>
    </w:p>
    <w:p>
      <w:pPr>
        <w:spacing w:after="0" w:line="149" w:lineRule="exact"/>
        <w:rPr>
          <w:sz w:val="20"/>
          <w:szCs w:val="20"/>
          <w:color w:val="auto"/>
        </w:rPr>
      </w:pPr>
    </w:p>
    <w:p>
      <w:pPr>
        <w:ind w:right="400" w:firstLine="644"/>
        <w:spacing w:after="0" w:line="244" w:lineRule="auto"/>
        <w:rPr>
          <w:sz w:val="20"/>
          <w:szCs w:val="20"/>
          <w:color w:val="auto"/>
        </w:rPr>
      </w:pPr>
      <w:r>
        <w:rPr>
          <w:rFonts w:ascii="Arial" w:cs="Arial" w:eastAsia="Arial" w:hAnsi="Arial"/>
          <w:sz w:val="18"/>
          <w:szCs w:val="18"/>
          <w:color w:val="auto"/>
        </w:rPr>
        <w:t>A participant’s interest in their ESOP account is redeemable upon certain events, including retirement, death, termination due to permanent disability, a severe financial hardship following termination of employment, certain conflicts of interest following termination of employment, or the exercise of diversification rights. Distributions from the ESOP of participants’ interests are made in the Company’s common stock based on quoted prices of a share of the Company’s common stock on the NYSE. A participant will be able to sell such shares of common stock in the market, subject to any requirements of the federal securities laws.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9" w:name="page20"/>
    <w:bookmarkEnd w:id="19"/>
    <w:p>
      <w:pPr>
        <w:ind w:right="100" w:firstLine="644"/>
        <w:spacing w:after="0" w:line="273" w:lineRule="auto"/>
        <w:rPr>
          <w:sz w:val="20"/>
          <w:szCs w:val="20"/>
          <w:color w:val="auto"/>
        </w:rPr>
      </w:pPr>
      <w:r>
        <w:rPr>
          <w:rFonts w:ascii="Arial" w:cs="Arial" w:eastAsia="Arial" w:hAnsi="Arial"/>
          <w:sz w:val="18"/>
          <w:szCs w:val="18"/>
          <w:color w:val="auto"/>
        </w:rPr>
        <w:t>Total ESOP contribution expense was $13.1 million and $13.2 million for the three months ended March 31, 2022 and March 31, 2021, respectively. The expense is recorded in “Direct costs of contracts” and “Selling, general and administrative expense” in the consolidated statements of income. The fiscal 2022 ESOP contribution has not yet been made. The amount is currently included in accrued liabilities.</w:t>
      </w:r>
    </w:p>
    <w:p>
      <w:pPr>
        <w:spacing w:after="0" w:line="273"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and Advances to Joint Ventures</w:t>
      </w:r>
    </w:p>
    <w:p>
      <w:pPr>
        <w:spacing w:after="0" w:line="104" w:lineRule="exact"/>
        <w:rPr>
          <w:sz w:val="20"/>
          <w:szCs w:val="20"/>
          <w:color w:val="auto"/>
        </w:rPr>
      </w:pPr>
    </w:p>
    <w:p>
      <w:pPr>
        <w:ind w:right="120" w:firstLine="637"/>
        <w:spacing w:after="0" w:line="253" w:lineRule="auto"/>
        <w:rPr>
          <w:sz w:val="20"/>
          <w:szCs w:val="20"/>
          <w:color w:val="auto"/>
        </w:rPr>
      </w:pPr>
      <w:r>
        <w:rPr>
          <w:rFonts w:ascii="Arial" w:cs="Arial" w:eastAsia="Arial" w:hAnsi="Arial"/>
          <w:sz w:val="18"/>
          <w:szCs w:val="18"/>
          <w:color w:val="auto"/>
        </w:rPr>
        <w:t>The Company participates in joint ventures to bid, negotiate and complete specific projects. The Company is required to consolidate these joint ventures if it holds the majority voting interest or if the Company meets the criteria under the consolidation model, as described below.</w:t>
      </w:r>
    </w:p>
    <w:p>
      <w:pPr>
        <w:spacing w:after="0" w:line="169" w:lineRule="exact"/>
        <w:rPr>
          <w:sz w:val="20"/>
          <w:szCs w:val="20"/>
          <w:color w:val="auto"/>
        </w:rPr>
      </w:pPr>
    </w:p>
    <w:p>
      <w:pPr>
        <w:ind w:right="140" w:firstLine="637"/>
        <w:spacing w:after="0" w:line="247" w:lineRule="auto"/>
        <w:rPr>
          <w:sz w:val="20"/>
          <w:szCs w:val="20"/>
          <w:color w:val="auto"/>
        </w:rPr>
      </w:pPr>
      <w:r>
        <w:rPr>
          <w:rFonts w:ascii="Arial" w:cs="Arial" w:eastAsia="Arial" w:hAnsi="Arial"/>
          <w:sz w:val="18"/>
          <w:szCs w:val="18"/>
          <w:color w:val="auto"/>
        </w:rPr>
        <w:t>The Company performs an analysis to determine whether its variable interests give the Company a controlling financial interest in a Variable Interest Entity (“VIE”) for which the Company is the primary beneficiary and should, therefore, be consolidated. Such analysis requires the Company to assess whether it has the power to direct the activities of the VIE and the obligation to absorb losses or the right to receive benefits that could potentially be significant to the VIE.</w:t>
      </w:r>
    </w:p>
    <w:p>
      <w:pPr>
        <w:spacing w:after="0" w:line="174" w:lineRule="exact"/>
        <w:rPr>
          <w:sz w:val="20"/>
          <w:szCs w:val="20"/>
          <w:color w:val="auto"/>
        </w:rPr>
      </w:pPr>
    </w:p>
    <w:p>
      <w:pPr>
        <w:ind w:right="300" w:firstLine="637"/>
        <w:spacing w:after="0" w:line="247" w:lineRule="auto"/>
        <w:rPr>
          <w:sz w:val="20"/>
          <w:szCs w:val="20"/>
          <w:color w:val="auto"/>
        </w:rPr>
      </w:pPr>
      <w:r>
        <w:rPr>
          <w:rFonts w:ascii="Arial" w:cs="Arial" w:eastAsia="Arial" w:hAnsi="Arial"/>
          <w:sz w:val="18"/>
          <w:szCs w:val="18"/>
          <w:color w:val="auto"/>
        </w:rPr>
        <w:t>The Company analyzed all of its joint ventures and classified them into two groups: (1) joint ventures that must be consolidated because they are either not VIEs and the Company holds the majority voting interest, or because they are VIEs and the Company is the primary beneficiary; and (2) joint ventures that do not need to be consolidated because they are either not VIEs and the Company holds a minority voting interest, or because they are VIEs and the Company is not the primary beneficiary.</w:t>
      </w:r>
    </w:p>
    <w:p>
      <w:pPr>
        <w:spacing w:after="0" w:line="174" w:lineRule="exact"/>
        <w:rPr>
          <w:sz w:val="20"/>
          <w:szCs w:val="20"/>
          <w:color w:val="auto"/>
        </w:rPr>
      </w:pPr>
    </w:p>
    <w:p>
      <w:pPr>
        <w:ind w:right="80" w:firstLine="637"/>
        <w:spacing w:after="0" w:line="271" w:lineRule="auto"/>
        <w:rPr>
          <w:sz w:val="20"/>
          <w:szCs w:val="20"/>
          <w:color w:val="auto"/>
        </w:rPr>
      </w:pPr>
      <w:r>
        <w:rPr>
          <w:rFonts w:ascii="Arial" w:cs="Arial" w:eastAsia="Arial" w:hAnsi="Arial"/>
          <w:sz w:val="18"/>
          <w:szCs w:val="18"/>
          <w:color w:val="auto"/>
        </w:rPr>
        <w:t>Many of the Company’s joint venture agreements provide for capital calls to fund operations, as necessary; however, such funding is infrequent and is not anticipated to be material.</w:t>
      </w:r>
    </w:p>
    <w:p>
      <w:pPr>
        <w:spacing w:after="0" w:line="181" w:lineRule="exact"/>
        <w:rPr>
          <w:sz w:val="20"/>
          <w:szCs w:val="20"/>
          <w:color w:val="auto"/>
        </w:rPr>
      </w:pPr>
    </w:p>
    <w:p>
      <w:pPr>
        <w:ind w:right="380" w:firstLine="637"/>
        <w:spacing w:after="0" w:line="287" w:lineRule="auto"/>
        <w:rPr>
          <w:sz w:val="20"/>
          <w:szCs w:val="20"/>
          <w:color w:val="auto"/>
        </w:rPr>
      </w:pPr>
      <w:r>
        <w:rPr>
          <w:rFonts w:ascii="Arial" w:cs="Arial" w:eastAsia="Arial" w:hAnsi="Arial"/>
          <w:sz w:val="18"/>
          <w:szCs w:val="18"/>
          <w:color w:val="auto"/>
        </w:rPr>
        <w:t>Letters of credit outstanding described in “Note 10 – Debt and Credit Facilities” that relate to project ventures are $73.2 million at March 31, 2022 and December 31, 2021.</w:t>
      </w:r>
    </w:p>
    <w:p>
      <w:pPr>
        <w:spacing w:after="0" w:line="139" w:lineRule="exact"/>
        <w:rPr>
          <w:sz w:val="20"/>
          <w:szCs w:val="20"/>
          <w:color w:val="auto"/>
        </w:rPr>
      </w:pPr>
    </w:p>
    <w:p>
      <w:pPr>
        <w:jc w:val="both"/>
        <w:ind w:right="320" w:firstLine="637"/>
        <w:spacing w:after="0" w:line="253" w:lineRule="auto"/>
        <w:rPr>
          <w:sz w:val="20"/>
          <w:szCs w:val="20"/>
          <w:color w:val="auto"/>
        </w:rPr>
      </w:pPr>
      <w:r>
        <w:rPr>
          <w:rFonts w:ascii="Arial" w:cs="Arial" w:eastAsia="Arial" w:hAnsi="Arial"/>
          <w:sz w:val="18"/>
          <w:szCs w:val="18"/>
          <w:color w:val="auto"/>
        </w:rPr>
        <w:t>In the table below, aggregated financial information relating to the Company’s joint ventures is provided because their nature, risk and reward characteristics are similar. None of the Company’s current joint ventures that meet the characteristics of a VIE are individually significant to the consolidated financial statements.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Consolidated Joint Ventures</w:t>
      </w:r>
    </w:p>
    <w:p>
      <w:pPr>
        <w:spacing w:after="0" w:line="102" w:lineRule="exact"/>
        <w:rPr>
          <w:sz w:val="20"/>
          <w:szCs w:val="20"/>
          <w:color w:val="auto"/>
        </w:rPr>
      </w:pPr>
    </w:p>
    <w:p>
      <w:pPr>
        <w:ind w:right="380" w:firstLine="637"/>
        <w:spacing w:after="0" w:line="271" w:lineRule="auto"/>
        <w:rPr>
          <w:sz w:val="20"/>
          <w:szCs w:val="20"/>
          <w:color w:val="auto"/>
        </w:rPr>
      </w:pPr>
      <w:r>
        <w:rPr>
          <w:rFonts w:ascii="Arial" w:cs="Arial" w:eastAsia="Arial" w:hAnsi="Arial"/>
          <w:sz w:val="18"/>
          <w:szCs w:val="18"/>
          <w:color w:val="auto"/>
        </w:rPr>
        <w:t>The following represents financial information for consolidated joint ventures included in the consolidated financial statements (in thousands):</w:t>
      </w:r>
    </w:p>
    <w:p>
      <w:pPr>
        <w:spacing w:after="0" w:line="25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r>
      <w:tr>
        <w:trPr>
          <w:trHeight w:val="210"/>
        </w:trPr>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20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214,229</w:t>
            </w: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246,342</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assets</w:t>
            </w:r>
          </w:p>
        </w:tc>
        <w:tc>
          <w:tcPr>
            <w:tcW w:w="20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w:t>
            </w:r>
          </w:p>
        </w:tc>
        <w:tc>
          <w:tcPr>
            <w:tcW w:w="2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w:t>
            </w:r>
          </w:p>
        </w:tc>
        <w:tc>
          <w:tcPr>
            <w:tcW w:w="120" w:type="dxa"/>
            <w:vAlign w:val="bottom"/>
            <w:tcBorders>
              <w:bottom w:val="single" w:sz="8" w:color="CFF0FC"/>
            </w:tcBorders>
          </w:tcPr>
          <w:p>
            <w:pPr>
              <w:spacing w:after="0"/>
              <w:rPr>
                <w:sz w:val="18"/>
                <w:szCs w:val="18"/>
                <w:color w:val="auto"/>
              </w:rPr>
            </w:pPr>
          </w:p>
        </w:tc>
      </w:tr>
      <w:tr>
        <w:trPr>
          <w:trHeight w:val="210"/>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assets</w:t>
            </w:r>
          </w:p>
        </w:tc>
        <w:tc>
          <w:tcPr>
            <w:tcW w:w="20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216,567</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248,522</w:t>
            </w:r>
          </w:p>
        </w:tc>
        <w:tc>
          <w:tcPr>
            <w:tcW w:w="120" w:type="dxa"/>
            <w:vAlign w:val="bottom"/>
            <w:shd w:val="clear" w:color="auto" w:fill="CFF0FC"/>
          </w:tcPr>
          <w:p>
            <w:pPr>
              <w:spacing w:after="0"/>
              <w:rPr>
                <w:sz w:val="18"/>
                <w:szCs w:val="18"/>
                <w:color w:val="auto"/>
              </w:rPr>
            </w:pPr>
          </w:p>
        </w:tc>
      </w:tr>
      <w:tr>
        <w:trPr>
          <w:trHeight w:val="209"/>
        </w:trPr>
        <w:tc>
          <w:tcPr>
            <w:tcW w:w="4180" w:type="dxa"/>
            <w:vAlign w:val="bottom"/>
          </w:tcPr>
          <w:p>
            <w:pPr>
              <w:spacing w:after="0"/>
              <w:rPr>
                <w:sz w:val="20"/>
                <w:szCs w:val="20"/>
                <w:color w:val="auto"/>
              </w:rPr>
            </w:pPr>
            <w:r>
              <w:rPr>
                <w:rFonts w:ascii="Arial" w:cs="Arial" w:eastAsia="Arial" w:hAnsi="Arial"/>
                <w:sz w:val="18"/>
                <w:szCs w:val="18"/>
                <w:color w:val="auto"/>
              </w:rPr>
              <w:t>Current liabilities</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150,474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175,637</w:t>
            </w:r>
          </w:p>
        </w:tc>
        <w:tc>
          <w:tcPr>
            <w:tcW w:w="120" w:type="dxa"/>
            <w:vAlign w:val="bottom"/>
          </w:tcPr>
          <w:p>
            <w:pPr>
              <w:spacing w:after="0"/>
              <w:rPr>
                <w:sz w:val="18"/>
                <w:szCs w:val="18"/>
                <w:color w:val="auto"/>
              </w:rPr>
            </w:pPr>
          </w:p>
        </w:tc>
      </w:tr>
      <w:tr>
        <w:trPr>
          <w:trHeight w:val="216"/>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liabilities</w:t>
            </w:r>
          </w:p>
        </w:tc>
        <w:tc>
          <w:tcPr>
            <w:tcW w:w="20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150,474</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175,637</w:t>
            </w:r>
          </w:p>
        </w:tc>
        <w:tc>
          <w:tcPr>
            <w:tcW w:w="120" w:type="dxa"/>
            <w:vAlign w:val="bottom"/>
            <w:shd w:val="clear" w:color="auto" w:fill="CFF0FC"/>
          </w:tcPr>
          <w:p>
            <w:pPr>
              <w:spacing w:after="0"/>
              <w:rPr>
                <w:sz w:val="18"/>
                <w:szCs w:val="18"/>
                <w:color w:val="auto"/>
              </w:rPr>
            </w:pPr>
          </w:p>
        </w:tc>
      </w:tr>
      <w:tr>
        <w:trPr>
          <w:trHeight w:val="210"/>
        </w:trPr>
        <w:tc>
          <w:tcPr>
            <w:tcW w:w="4180" w:type="dxa"/>
            <w:vAlign w:val="bottom"/>
          </w:tcPr>
          <w:p>
            <w:pPr>
              <w:ind w:left="240"/>
              <w:spacing w:after="0"/>
              <w:rPr>
                <w:sz w:val="20"/>
                <w:szCs w:val="20"/>
                <w:color w:val="auto"/>
              </w:rPr>
            </w:pPr>
            <w:r>
              <w:rPr>
                <w:rFonts w:ascii="Arial" w:cs="Arial" w:eastAsia="Arial" w:hAnsi="Arial"/>
                <w:sz w:val="18"/>
                <w:szCs w:val="18"/>
                <w:color w:val="auto"/>
              </w:rPr>
              <w:t>Total joint venture equity</w:t>
            </w:r>
          </w:p>
        </w:tc>
        <w:tc>
          <w:tcPr>
            <w:tcW w:w="20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66,093</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72,885</w:t>
            </w:r>
          </w:p>
        </w:tc>
        <w:tc>
          <w:tcPr>
            <w:tcW w:w="120" w:type="dxa"/>
            <w:vAlign w:val="bottom"/>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gridSpan w:val="4"/>
          </w:tcPr>
          <w:p>
            <w:pPr>
              <w:jc w:val="right"/>
              <w:ind w:right="131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4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ind w:right="376"/>
              <w:spacing w:after="0"/>
              <w:rPr>
                <w:sz w:val="20"/>
                <w:szCs w:val="20"/>
                <w:color w:val="auto"/>
              </w:rPr>
            </w:pPr>
            <w:r>
              <w:rPr>
                <w:rFonts w:ascii="Arial" w:cs="Arial" w:eastAsia="Arial" w:hAnsi="Arial"/>
                <w:sz w:val="14"/>
                <w:szCs w:val="14"/>
                <w:b w:val="1"/>
                <w:bCs w:val="1"/>
                <w:color w:val="auto"/>
              </w:rPr>
              <w:t>March 31, 2022</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95,534</w:t>
            </w:r>
          </w:p>
        </w:tc>
        <w:tc>
          <w:tcPr>
            <w:tcW w:w="28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Costs</w:t>
            </w:r>
          </w:p>
        </w:tc>
        <w:tc>
          <w:tcPr>
            <w:tcW w:w="146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88,842</w:t>
            </w:r>
          </w:p>
        </w:tc>
        <w:tc>
          <w:tcPr>
            <w:tcW w:w="2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86,306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146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6,692</w:t>
            </w:r>
          </w:p>
        </w:tc>
        <w:tc>
          <w:tcPr>
            <w:tcW w:w="28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10,318</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attributable to noncontrolling interests</w:t>
            </w: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3,176</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4,975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320" w:firstLine="637"/>
        <w:spacing w:after="0" w:line="271" w:lineRule="auto"/>
        <w:rPr>
          <w:sz w:val="20"/>
          <w:szCs w:val="20"/>
          <w:color w:val="auto"/>
        </w:rPr>
      </w:pPr>
      <w:r>
        <w:rPr>
          <w:rFonts w:ascii="Arial" w:cs="Arial" w:eastAsia="Arial" w:hAnsi="Arial"/>
          <w:sz w:val="18"/>
          <w:szCs w:val="18"/>
          <w:color w:val="auto"/>
        </w:rPr>
        <w:t>The assets of the consolidated joint ventures are restricted for use only by the particular joint venture and are not available for the Company’s general operations.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0" w:name="page21"/>
    <w:bookmarkEnd w:id="20"/>
    <w:p>
      <w:pPr>
        <w:ind w:left="640"/>
        <w:spacing w:after="0"/>
        <w:rPr>
          <w:sz w:val="20"/>
          <w:szCs w:val="20"/>
          <w:color w:val="auto"/>
        </w:rPr>
      </w:pPr>
      <w:r>
        <w:rPr>
          <w:rFonts w:ascii="Arial" w:cs="Arial" w:eastAsia="Arial" w:hAnsi="Arial"/>
          <w:sz w:val="18"/>
          <w:szCs w:val="18"/>
          <w:b w:val="1"/>
          <w:bCs w:val="1"/>
          <w:i w:val="1"/>
          <w:iCs w:val="1"/>
          <w:color w:val="auto"/>
        </w:rPr>
        <w:t>Unconsolidated Joint Ventures</w:t>
      </w:r>
    </w:p>
    <w:p>
      <w:pPr>
        <w:spacing w:after="0" w:line="102" w:lineRule="exact"/>
        <w:rPr>
          <w:sz w:val="20"/>
          <w:szCs w:val="20"/>
          <w:color w:val="auto"/>
        </w:rPr>
      </w:pPr>
    </w:p>
    <w:p>
      <w:pPr>
        <w:ind w:firstLine="637"/>
        <w:spacing w:after="0" w:line="247" w:lineRule="auto"/>
        <w:rPr>
          <w:sz w:val="20"/>
          <w:szCs w:val="20"/>
          <w:color w:val="auto"/>
        </w:rPr>
      </w:pPr>
      <w:r>
        <w:rPr>
          <w:rFonts w:ascii="Arial" w:cs="Arial" w:eastAsia="Arial" w:hAnsi="Arial"/>
          <w:sz w:val="18"/>
          <w:szCs w:val="18"/>
          <w:color w:val="auto"/>
        </w:rPr>
        <w:t>The Company accounts for its unconsolidated joint ventures using the equity method of accounting. Under this method, the Company recognizes its proportionate share of the net earnings of these joint ventures as “Equity in earnings (loss) of unconsolidated joint ventures” in the consolidated statements of income. The Company’s maximum exposure to loss as a result of its investments in unconsolidated joint ventures is typically limited to the aggregate of the carrying value of the investment and future funding commitments.</w:t>
      </w:r>
    </w:p>
    <w:p>
      <w:pPr>
        <w:spacing w:after="0" w:line="174" w:lineRule="exact"/>
        <w:rPr>
          <w:sz w:val="20"/>
          <w:szCs w:val="20"/>
          <w:color w:val="auto"/>
        </w:rPr>
      </w:pPr>
    </w:p>
    <w:p>
      <w:pPr>
        <w:ind w:right="340" w:firstLine="637"/>
        <w:spacing w:after="0" w:line="271" w:lineRule="auto"/>
        <w:rPr>
          <w:sz w:val="20"/>
          <w:szCs w:val="20"/>
          <w:color w:val="auto"/>
        </w:rPr>
      </w:pPr>
      <w:r>
        <w:rPr>
          <w:rFonts w:ascii="Arial" w:cs="Arial" w:eastAsia="Arial" w:hAnsi="Arial"/>
          <w:sz w:val="18"/>
          <w:szCs w:val="18"/>
          <w:color w:val="auto"/>
        </w:rPr>
        <w:t>The following represents the financial information of the Company’s unconsolidated joint ventures as presented in their unaudited financial statements (in thousands):</w:t>
      </w:r>
    </w:p>
    <w:p>
      <w:pPr>
        <w:spacing w:after="0" w:line="25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020" w:type="dxa"/>
            <w:vAlign w:val="bottom"/>
            <w:vMerge w:val="restart"/>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ind w:right="294"/>
              <w:spacing w:after="0"/>
              <w:rPr>
                <w:sz w:val="20"/>
                <w:szCs w:val="20"/>
                <w:color w:val="auto"/>
              </w:rPr>
            </w:pPr>
            <w:r>
              <w:rPr>
                <w:rFonts w:ascii="Arial" w:cs="Arial" w:eastAsia="Arial" w:hAnsi="Arial"/>
                <w:sz w:val="14"/>
                <w:szCs w:val="14"/>
                <w:b w:val="1"/>
                <w:bCs w:val="1"/>
                <w:color w:val="auto"/>
              </w:rPr>
              <w:t>March 31, 2022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10"/>
        </w:trPr>
        <w:tc>
          <w:tcPr>
            <w:tcW w:w="60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1,707,836</w:t>
            </w:r>
          </w:p>
        </w:tc>
        <w:tc>
          <w:tcPr>
            <w:tcW w:w="2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1,620,735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Noncurrent assets</w:t>
            </w:r>
          </w:p>
        </w:tc>
        <w:tc>
          <w:tcPr>
            <w:tcW w:w="1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539,798</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531,261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2,247,634</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2,151,996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1,252,393</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1,088,985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liabilities</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603,929</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669,911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1,856,322</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1,758,896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0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joint venture equity</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391,312</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393,100</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and advances to unconsolidated joint ventures</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114,234</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110,688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6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4"/>
          </w:tcPr>
          <w:p>
            <w:pPr>
              <w:jc w:val="right"/>
              <w:ind w:right="109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02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ind w:right="294"/>
              <w:spacing w:after="0"/>
              <w:rPr>
                <w:sz w:val="20"/>
                <w:szCs w:val="20"/>
                <w:color w:val="auto"/>
              </w:rPr>
            </w:pPr>
            <w:r>
              <w:rPr>
                <w:rFonts w:ascii="Arial" w:cs="Arial" w:eastAsia="Arial" w:hAnsi="Arial"/>
                <w:sz w:val="14"/>
                <w:szCs w:val="14"/>
                <w:b w:val="1"/>
                <w:bCs w:val="1"/>
                <w:color w:val="auto"/>
              </w:rPr>
              <w:t>March 31, 2022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209"/>
        </w:trPr>
        <w:tc>
          <w:tcPr>
            <w:tcW w:w="60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384,581</w:t>
            </w:r>
          </w:p>
        </w:tc>
        <w:tc>
          <w:tcPr>
            <w:tcW w:w="2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236,517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Costs</w:t>
            </w:r>
          </w:p>
        </w:tc>
        <w:tc>
          <w:tcPr>
            <w:tcW w:w="1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373,286</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210,847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11,295</w:t>
            </w:r>
          </w:p>
        </w:tc>
        <w:tc>
          <w:tcPr>
            <w:tcW w:w="2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25,670</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Equity in earnings of unconsolidated joint ventures</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5,598</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7,530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right="540" w:firstLine="637"/>
        <w:spacing w:after="0" w:line="303" w:lineRule="auto"/>
        <w:rPr>
          <w:sz w:val="20"/>
          <w:szCs w:val="20"/>
          <w:color w:val="auto"/>
        </w:rPr>
      </w:pPr>
      <w:r>
        <w:rPr>
          <w:rFonts w:ascii="Arial" w:cs="Arial" w:eastAsia="Arial" w:hAnsi="Arial"/>
          <w:sz w:val="18"/>
          <w:szCs w:val="18"/>
          <w:color w:val="auto"/>
        </w:rPr>
        <w:t>The Company received net distributions from its unconsolidated joint ventures for the three months ended March 31, 2022 and March 31, 2021 of $2.8 million and $5.4 million, respectively.</w:t>
      </w:r>
    </w:p>
    <w:p>
      <w:pPr>
        <w:spacing w:after="0" w:line="274"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04" w:lineRule="exact"/>
        <w:rPr>
          <w:sz w:val="20"/>
          <w:szCs w:val="20"/>
          <w:color w:val="auto"/>
        </w:rPr>
      </w:pPr>
    </w:p>
    <w:p>
      <w:pPr>
        <w:ind w:right="80" w:firstLine="637"/>
        <w:spacing w:after="0" w:line="270" w:lineRule="auto"/>
        <w:rPr>
          <w:sz w:val="20"/>
          <w:szCs w:val="20"/>
          <w:color w:val="auto"/>
        </w:rPr>
      </w:pPr>
      <w:r>
        <w:rPr>
          <w:rFonts w:ascii="Arial" w:cs="Arial" w:eastAsia="Arial" w:hAnsi="Arial"/>
          <w:sz w:val="17"/>
          <w:szCs w:val="17"/>
          <w:color w:val="auto"/>
        </w:rPr>
        <w:t>The Company often provides services to unconsolidated joint ventures and revenues include amounts related to recovering costs for these services. Revenues related to services the Company provided to unconsolidated joint ventures for the three months ended March 31,</w:t>
      </w:r>
    </w:p>
    <w:p>
      <w:pPr>
        <w:spacing w:after="0" w:line="2"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color w:val="auto"/>
        </w:rPr>
        <w:t>2022 and March 31, 2021 were $47.3 million and $53.7 million, respectively. For the three months ended March 31, 2022 and March 31, 2021, the Company incurred $33.7 million and $ 41.4 million, respectively, of reimbursable costs. The revenue and reimbursable cost prior period amounts have been updated to reflect all joint ventures for the comparable period. Amounts included in the consolidated balance sheets related to services the Company provided to unconsolidated joint ventures are as follows (in thousands):</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ind w:right="175"/>
              <w:spacing w:after="0"/>
              <w:rPr>
                <w:sz w:val="20"/>
                <w:szCs w:val="20"/>
                <w:color w:val="auto"/>
              </w:rPr>
            </w:pPr>
            <w:r>
              <w:rPr>
                <w:rFonts w:ascii="Arial" w:cs="Arial" w:eastAsia="Arial" w:hAnsi="Arial"/>
                <w:sz w:val="14"/>
                <w:szCs w:val="14"/>
                <w:b w:val="1"/>
                <w:bCs w:val="1"/>
                <w:color w:val="auto"/>
              </w:rPr>
              <w:t>March 31, 2022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2021</w:t>
            </w:r>
          </w:p>
        </w:tc>
      </w:tr>
      <w:tr>
        <w:trPr>
          <w:trHeight w:val="210"/>
        </w:trPr>
        <w:tc>
          <w:tcPr>
            <w:tcW w:w="6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36,097</w:t>
            </w: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30,246</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Contract assets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19,819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16,069</w:t>
            </w:r>
          </w:p>
        </w:tc>
        <w:tc>
          <w:tcPr>
            <w:tcW w:w="100" w:type="dxa"/>
            <w:vAlign w:val="bottom"/>
          </w:tcPr>
          <w:p>
            <w:pPr>
              <w:spacing w:after="0"/>
              <w:rPr>
                <w:sz w:val="18"/>
                <w:szCs w:val="18"/>
                <w:color w:val="auto"/>
              </w:rPr>
            </w:pPr>
          </w:p>
        </w:tc>
      </w:tr>
      <w:tr>
        <w:trPr>
          <w:trHeight w:val="216"/>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11,466</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10,605</w:t>
            </w:r>
          </w:p>
        </w:tc>
        <w:tc>
          <w:tcPr>
            <w:tcW w:w="100" w:type="dxa"/>
            <w:vAlign w:val="bottom"/>
            <w:shd w:val="clear" w:color="auto" w:fill="CFF0FC"/>
          </w:tcPr>
          <w:p>
            <w:pPr>
              <w:spacing w:after="0"/>
              <w:rPr>
                <w:sz w:val="18"/>
                <w:szCs w:val="18"/>
                <w:color w:val="auto"/>
              </w:rPr>
            </w:pPr>
          </w:p>
        </w:tc>
      </w:tr>
    </w:tbl>
    <w:p>
      <w:pPr>
        <w:spacing w:after="0" w:line="332" w:lineRule="exact"/>
        <w:rPr>
          <w:sz w:val="20"/>
          <w:szCs w:val="20"/>
          <w:color w:val="auto"/>
        </w:rPr>
      </w:pPr>
    </w:p>
    <w:p>
      <w:pPr>
        <w:ind w:left="640" w:hanging="632"/>
        <w:spacing w:after="0"/>
        <w:tabs>
          <w:tab w:leader="none" w:pos="6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04" w:lineRule="exact"/>
        <w:rPr>
          <w:sz w:val="20"/>
          <w:szCs w:val="20"/>
          <w:color w:val="auto"/>
        </w:rPr>
      </w:pPr>
    </w:p>
    <w:p>
      <w:pPr>
        <w:ind w:firstLine="637"/>
        <w:spacing w:after="0" w:line="247" w:lineRule="auto"/>
        <w:rPr>
          <w:sz w:val="20"/>
          <w:szCs w:val="20"/>
          <w:color w:val="auto"/>
        </w:rPr>
      </w:pPr>
      <w:r>
        <w:rPr>
          <w:rFonts w:ascii="Arial" w:cs="Arial" w:eastAsia="Arial" w:hAnsi="Arial"/>
          <w:sz w:val="18"/>
          <w:szCs w:val="18"/>
          <w:color w:val="auto"/>
        </w:rPr>
        <w:t>The authoritative guidance on fair value measurement defines fair value as the price that would be received to sell an asset or paid to transfer a liability in an orderly transaction between market participants at the measurement date (referred to as an “exit price”). At March 31, 2022 and December 31, 2021, the Company’s financial instruments include cash, cash equivalents, accounts receivable, accounts payable, and other liabilities. The fair values of these financial instruments approximate their carrying values due to their short-term maturities.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3" w:right="339" w:bottom="1440" w:gutter="0" w:footer="0" w:header="0"/>
        </w:sectPr>
      </w:pPr>
    </w:p>
    <w:bookmarkStart w:id="21" w:name="page22"/>
    <w:bookmarkEnd w:id="21"/>
    <w:p>
      <w:pPr>
        <w:ind w:left="640"/>
        <w:spacing w:after="0"/>
        <w:rPr>
          <w:sz w:val="20"/>
          <w:szCs w:val="20"/>
          <w:color w:val="auto"/>
        </w:rPr>
      </w:pPr>
      <w:r>
        <w:rPr>
          <w:rFonts w:ascii="Arial" w:cs="Arial" w:eastAsia="Arial" w:hAnsi="Arial"/>
          <w:sz w:val="18"/>
          <w:szCs w:val="18"/>
          <w:color w:val="auto"/>
        </w:rPr>
        <w:t>Investments measured at fair value are based on one or more of the following three valuation techniques:</w:t>
      </w:r>
    </w:p>
    <w:p>
      <w:pPr>
        <w:spacing w:after="0" w:line="104" w:lineRule="exact"/>
        <w:rPr>
          <w:sz w:val="20"/>
          <w:szCs w:val="20"/>
          <w:color w:val="auto"/>
        </w:rPr>
      </w:pPr>
    </w:p>
    <w:p>
      <w:pPr>
        <w:ind w:left="880" w:right="480" w:hanging="238"/>
        <w:spacing w:after="0" w:line="270" w:lineRule="auto"/>
        <w:tabs>
          <w:tab w:leader="none" w:pos="88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Market approach</w:t>
      </w:r>
      <w:r>
        <w:rPr>
          <w:rFonts w:ascii="Arial" w:cs="Arial" w:eastAsia="Arial" w:hAnsi="Arial"/>
          <w:sz w:val="18"/>
          <w:szCs w:val="18"/>
          <w:color w:val="auto"/>
        </w:rPr>
        <w:t>—Prices and other relevant information generated by market transactions involving identical or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w:t>
      </w:r>
    </w:p>
    <w:p>
      <w:pPr>
        <w:spacing w:after="0" w:line="46" w:lineRule="exact"/>
        <w:rPr>
          <w:rFonts w:ascii="Times New Roman" w:cs="Times New Roman" w:eastAsia="Times New Roman" w:hAnsi="Times New Roman"/>
          <w:sz w:val="18"/>
          <w:szCs w:val="18"/>
          <w:color w:val="auto"/>
        </w:rPr>
      </w:pPr>
    </w:p>
    <w:p>
      <w:pPr>
        <w:ind w:left="880" w:hanging="238"/>
        <w:spacing w:after="0"/>
        <w:tabs>
          <w:tab w:leader="none" w:pos="88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Cost approach</w:t>
      </w:r>
      <w:r>
        <w:rPr>
          <w:rFonts w:ascii="Arial" w:cs="Arial" w:eastAsia="Arial" w:hAnsi="Arial"/>
          <w:sz w:val="18"/>
          <w:szCs w:val="18"/>
          <w:color w:val="auto"/>
        </w:rPr>
        <w:t>—Amount that would be required to replace the service capacity of an asset (i.e., replacement cost); and</w:t>
      </w:r>
    </w:p>
    <w:p>
      <w:pPr>
        <w:spacing w:after="0" w:line="143" w:lineRule="exact"/>
        <w:rPr>
          <w:rFonts w:ascii="Times New Roman" w:cs="Times New Roman" w:eastAsia="Times New Roman" w:hAnsi="Times New Roman"/>
          <w:sz w:val="18"/>
          <w:szCs w:val="18"/>
          <w:color w:val="auto"/>
        </w:rPr>
      </w:pPr>
    </w:p>
    <w:p>
      <w:pPr>
        <w:ind w:left="880" w:right="320" w:hanging="238"/>
        <w:spacing w:after="0" w:line="270" w:lineRule="auto"/>
        <w:tabs>
          <w:tab w:leader="none" w:pos="88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Income approach</w:t>
      </w:r>
      <w:r>
        <w:rPr>
          <w:rFonts w:ascii="Arial" w:cs="Arial" w:eastAsia="Arial" w:hAnsi="Arial"/>
          <w:sz w:val="18"/>
          <w:szCs w:val="18"/>
          <w:color w:val="auto"/>
        </w:rPr>
        <w:t>—Techniques to convert future amounts to a single present amount based on market expectations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value techniques, option-pricing models and lattice models).</w:t>
      </w:r>
    </w:p>
    <w:p>
      <w:pPr>
        <w:spacing w:after="0" w:line="154" w:lineRule="exact"/>
        <w:rPr>
          <w:sz w:val="20"/>
          <w:szCs w:val="20"/>
          <w:color w:val="auto"/>
        </w:rPr>
      </w:pPr>
    </w:p>
    <w:p>
      <w:pPr>
        <w:ind w:right="20" w:firstLine="637"/>
        <w:spacing w:after="0" w:line="253" w:lineRule="auto"/>
        <w:rPr>
          <w:sz w:val="20"/>
          <w:szCs w:val="20"/>
          <w:color w:val="auto"/>
        </w:rPr>
      </w:pPr>
      <w:r>
        <w:rPr>
          <w:rFonts w:ascii="Arial" w:cs="Arial" w:eastAsia="Arial" w:hAnsi="Arial"/>
          <w:sz w:val="18"/>
          <w:szCs w:val="18"/>
          <w:color w:val="auto"/>
        </w:rPr>
        <w:t>In addition, the guidance establishes a fair value hierarchy that prioritizes the inputs to valuation techniques used to measure fair value. The hierarchy gives the highest priority to unadjusted quoted market prices in active markets for identical assets and liabilities (Level 1 measurements) and the lowest priority to unobservable inputs (Level 3 measurements). The three levels of the fair value hierarchy are:</w:t>
      </w:r>
    </w:p>
    <w:p>
      <w:pPr>
        <w:spacing w:after="0" w:line="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1Unadjusted quoted prices in active markets that are accessible at the measurement date for identical assets and liabilities;</w:t>
      </w:r>
    </w:p>
    <w:p>
      <w:pPr>
        <w:spacing w:after="0" w:line="104" w:lineRule="exact"/>
        <w:rPr>
          <w:sz w:val="20"/>
          <w:szCs w:val="20"/>
          <w:color w:val="auto"/>
        </w:rPr>
      </w:pPr>
    </w:p>
    <w:p>
      <w:pPr>
        <w:ind w:left="1220" w:right="200" w:hanging="580"/>
        <w:spacing w:after="0" w:line="271" w:lineRule="auto"/>
        <w:rPr>
          <w:sz w:val="20"/>
          <w:szCs w:val="20"/>
          <w:color w:val="auto"/>
        </w:rPr>
      </w:pPr>
      <w:r>
        <w:rPr>
          <w:rFonts w:ascii="Arial" w:cs="Arial" w:eastAsia="Arial" w:hAnsi="Arial"/>
          <w:sz w:val="18"/>
          <w:szCs w:val="18"/>
          <w:color w:val="auto"/>
        </w:rPr>
        <w:t>Level 2Pricing inputs that include quoted prices for similar assets and liabilities in active markets and inputs that are observable for the asset or liability, either directly or indirectly, for substantially the full term of the instrument; and</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3Prices or valuations that require inputs that are both significant to the fair value measurements and unobservable.</w:t>
      </w:r>
    </w:p>
    <w:p>
      <w:pPr>
        <w:spacing w:after="0" w:line="212" w:lineRule="exact"/>
        <w:rPr>
          <w:sz w:val="20"/>
          <w:szCs w:val="20"/>
          <w:color w:val="auto"/>
        </w:rPr>
      </w:pPr>
    </w:p>
    <w:p>
      <w:pPr>
        <w:ind w:right="160" w:firstLine="637"/>
        <w:spacing w:after="0" w:line="247"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74" w:lineRule="exact"/>
        <w:rPr>
          <w:sz w:val="20"/>
          <w:szCs w:val="20"/>
          <w:color w:val="auto"/>
        </w:rPr>
      </w:pPr>
    </w:p>
    <w:p>
      <w:pPr>
        <w:ind w:right="180" w:firstLine="637"/>
        <w:spacing w:after="0" w:line="253" w:lineRule="auto"/>
        <w:rPr>
          <w:sz w:val="20"/>
          <w:szCs w:val="20"/>
          <w:color w:val="auto"/>
        </w:rPr>
      </w:pPr>
      <w:r>
        <w:rPr>
          <w:rFonts w:ascii="Arial" w:cs="Arial" w:eastAsia="Arial" w:hAnsi="Arial"/>
          <w:sz w:val="18"/>
          <w:szCs w:val="18"/>
          <w:color w:val="auto"/>
        </w:rPr>
        <w:t>Refer to Notes to Consolidated Financial Statements included in the Company’s Form 10-K for the year ended December 31, 2021 for a more complete discussion of the various items within the consolidated financial statements measured at fair value and the methods used to determine fair value.</w:t>
      </w:r>
    </w:p>
    <w:p>
      <w:pPr>
        <w:spacing w:after="0" w:line="277" w:lineRule="exact"/>
        <w:rPr>
          <w:sz w:val="20"/>
          <w:szCs w:val="20"/>
          <w:color w:val="auto"/>
        </w:rPr>
      </w:pPr>
    </w:p>
    <w:p>
      <w:pPr>
        <w:ind w:left="640" w:hanging="632"/>
        <w:spacing w:after="0"/>
        <w:tabs>
          <w:tab w:leader="none" w:pos="6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04" w:lineRule="exact"/>
        <w:rPr>
          <w:sz w:val="20"/>
          <w:szCs w:val="20"/>
          <w:color w:val="auto"/>
        </w:rPr>
      </w:pPr>
    </w:p>
    <w:p>
      <w:pPr>
        <w:ind w:firstLine="637"/>
        <w:spacing w:after="0" w:line="242" w:lineRule="auto"/>
        <w:rPr>
          <w:sz w:val="20"/>
          <w:szCs w:val="20"/>
          <w:color w:val="auto"/>
        </w:rPr>
      </w:pPr>
      <w:r>
        <w:rPr>
          <w:rFonts w:ascii="Arial" w:cs="Arial" w:eastAsia="Arial" w:hAnsi="Arial"/>
          <w:sz w:val="18"/>
          <w:szCs w:val="18"/>
          <w:color w:val="auto"/>
        </w:rPr>
        <w:t>The following tables reconcile the denominator and numerator used to compute basic earnings per share (“EPS”) to the denominator and numerator used to compute diluted EPS for the three months ended March 31, 2022 and March 31, 2021. Basic EPS is computed using the weighted average number of shares outstanding during the period and income available to shareholders. Diluted EPS is computed similar to basic EPS, except the income available to shareholders is adjusted to add back interest expense, after tax, related to the Convertible Senior Note, and the weighted average number of shares outstanding is adjusted to reflect the dilutive effects of stock-based awards and shares underlying the Convertible Senior Note.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Convertible Senior Note dilution impact is calculated using the if-converted method which was required upon adoption of ASU 2020-</w:t>
      </w:r>
    </w:p>
    <w:p>
      <w:pPr>
        <w:spacing w:after="0" w:line="14" w:lineRule="exact"/>
        <w:rPr>
          <w:sz w:val="20"/>
          <w:szCs w:val="20"/>
          <w:color w:val="auto"/>
        </w:rPr>
      </w:pPr>
    </w:p>
    <w:p>
      <w:pPr>
        <w:ind w:right="40" w:firstLine="8"/>
        <w:spacing w:after="0" w:line="239" w:lineRule="auto"/>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a result, the Company elected to adopt the if-converted method when the Convertible Senior Notes were issued during the third quarter of 2020. In connection with the offerings of the Notes, the Company entered into a convertible note hedge and warrants (see Note 10 Debt and Credit Facilities); however, the convertible note hedge is not considered when calculating dilutive shares given its impact is anti-dilutive. The impact of the bond hedge would offset the dilutive impact of the shares underlying the Convertible Senior Note. The warrants have a strike price above our average share price during the period and are out of the money and not included in the tables below.</w:t>
      </w:r>
    </w:p>
    <w:p>
      <w:pPr>
        <w:spacing w:after="0" w:line="72" w:lineRule="exact"/>
        <w:rPr>
          <w:sz w:val="20"/>
          <w:szCs w:val="20"/>
          <w:color w:val="auto"/>
        </w:rPr>
      </w:pPr>
    </w:p>
    <w:p>
      <w:pPr>
        <w:ind w:firstLine="637"/>
        <w:spacing w:after="0" w:line="245" w:lineRule="auto"/>
        <w:rPr>
          <w:sz w:val="20"/>
          <w:szCs w:val="20"/>
          <w:color w:val="auto"/>
        </w:rPr>
      </w:pPr>
      <w:r>
        <w:rPr>
          <w:rFonts w:ascii="Arial" w:cs="Arial" w:eastAsia="Arial" w:hAnsi="Arial"/>
          <w:sz w:val="18"/>
          <w:szCs w:val="18"/>
          <w:color w:val="auto"/>
        </w:rPr>
        <w:t>Dilutive potential common shares include, when circumstances require, shares the Company could be obligated to issue from its Convertible Senior Notes and warrants (see Note 10 for further discussion) and stock-based awards. Shares to be provided to the Company from its bond hedge purchased concurrently with the issuance of Convertible Senior Notes are anti-dilutive and are not included in its diluted shares. Anti-dilutive stock-based awards excluded from the calculation of earnings per share for the three months ended March 31, 2022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31, 2021 were 13,117 and 145, respectively.</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2" w:name="page23"/>
    <w:bookmarkEnd w:id="22"/>
    <w:p>
      <w:pPr>
        <w:ind w:left="640"/>
        <w:spacing w:after="0"/>
        <w:rPr>
          <w:sz w:val="20"/>
          <w:szCs w:val="20"/>
          <w:color w:val="auto"/>
        </w:rPr>
      </w:pPr>
      <w:r>
        <w:rPr>
          <w:rFonts w:ascii="Arial" w:cs="Arial" w:eastAsia="Arial" w:hAnsi="Arial"/>
          <w:sz w:val="18"/>
          <w:szCs w:val="18"/>
          <w:color w:val="auto"/>
        </w:rPr>
        <w:t>The weighted average number of shares used to compute basic and diluted EPS were:</w:t>
      </w:r>
    </w:p>
    <w:p>
      <w:pPr>
        <w:spacing w:after="0" w:line="31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3040" w:type="dxa"/>
            <w:vAlign w:val="bottom"/>
            <w:tcBorders>
              <w:bottom w:val="single" w:sz="8" w:color="auto"/>
            </w:tcBorders>
            <w:gridSpan w:val="3"/>
          </w:tcPr>
          <w:p>
            <w:pPr>
              <w:jc w:val="right"/>
              <w:ind w:right="71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r>
      <w:tr>
        <w:trPr>
          <w:trHeight w:val="169"/>
        </w:trPr>
        <w:tc>
          <w:tcPr>
            <w:tcW w:w="6940" w:type="dxa"/>
            <w:vAlign w:val="bottom"/>
          </w:tcPr>
          <w:p>
            <w:pPr>
              <w:spacing w:after="0"/>
              <w:rPr>
                <w:sz w:val="14"/>
                <w:szCs w:val="14"/>
                <w:color w:val="auto"/>
              </w:rPr>
            </w:pPr>
          </w:p>
        </w:tc>
        <w:tc>
          <w:tcPr>
            <w:tcW w:w="16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2022</w:t>
            </w:r>
          </w:p>
        </w:tc>
        <w:tc>
          <w:tcPr>
            <w:tcW w:w="15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2021</w:t>
            </w:r>
          </w:p>
        </w:tc>
      </w:tr>
      <w:tr>
        <w:trPr>
          <w:trHeight w:val="209"/>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103,768,636</w:t>
            </w:r>
          </w:p>
        </w:tc>
        <w:tc>
          <w:tcPr>
            <w:tcW w:w="260" w:type="dxa"/>
            <w:vAlign w:val="bottom"/>
            <w:tcBorders>
              <w:top w:val="single" w:sz="8" w:color="CFF0FC"/>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102,375,923</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Stock-based awards</w:t>
            </w:r>
          </w:p>
        </w:tc>
        <w:tc>
          <w:tcPr>
            <w:tcW w:w="1400" w:type="dxa"/>
            <w:vAlign w:val="bottom"/>
          </w:tcPr>
          <w:p>
            <w:pPr>
              <w:jc w:val="right"/>
              <w:spacing w:after="0"/>
              <w:rPr>
                <w:sz w:val="20"/>
                <w:szCs w:val="20"/>
                <w:color w:val="auto"/>
              </w:rPr>
            </w:pPr>
            <w:r>
              <w:rPr>
                <w:rFonts w:ascii="Arial" w:cs="Arial" w:eastAsia="Arial" w:hAnsi="Arial"/>
                <w:sz w:val="18"/>
                <w:szCs w:val="18"/>
                <w:color w:val="auto"/>
              </w:rPr>
              <w:t>779,834</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573,048</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Convertible senior notes</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8,916,530</w:t>
            </w:r>
          </w:p>
        </w:tc>
        <w:tc>
          <w:tcPr>
            <w:tcW w:w="260" w:type="dxa"/>
            <w:vAlign w:val="bottom"/>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8,916,530</w:t>
            </w:r>
          </w:p>
        </w:tc>
        <w:tc>
          <w:tcPr>
            <w:tcW w:w="120" w:type="dxa"/>
            <w:vAlign w:val="bottom"/>
            <w:shd w:val="clear" w:color="auto" w:fill="CFF0FC"/>
          </w:tcPr>
          <w:p>
            <w:pPr>
              <w:spacing w:after="0"/>
              <w:rPr>
                <w:sz w:val="18"/>
                <w:szCs w:val="18"/>
                <w:color w:val="auto"/>
              </w:rPr>
            </w:pPr>
          </w:p>
        </w:tc>
      </w:tr>
      <w:tr>
        <w:trPr>
          <w:trHeight w:val="209"/>
        </w:trPr>
        <w:tc>
          <w:tcPr>
            <w:tcW w:w="6940" w:type="dxa"/>
            <w:vAlign w:val="bottom"/>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113,465,000</w:t>
            </w:r>
          </w:p>
        </w:tc>
        <w:tc>
          <w:tcPr>
            <w:tcW w:w="26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111,865,501</w:t>
            </w:r>
          </w:p>
        </w:tc>
        <w:tc>
          <w:tcPr>
            <w:tcW w:w="120" w:type="dxa"/>
            <w:vAlign w:val="bottom"/>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net income available to shareholders to compute basic and diluted EPS were (in thousands):</w:t>
      </w:r>
    </w:p>
    <w:p>
      <w:pPr>
        <w:spacing w:after="0" w:line="7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3040" w:type="dxa"/>
            <w:vAlign w:val="bottom"/>
            <w:tcBorders>
              <w:bottom w:val="single" w:sz="8" w:color="auto"/>
            </w:tcBorders>
            <w:gridSpan w:val="3"/>
          </w:tcPr>
          <w:p>
            <w:pPr>
              <w:jc w:val="right"/>
              <w:ind w:right="71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940" w:type="dxa"/>
            <w:vAlign w:val="bottom"/>
            <w:vMerge w:val="restart"/>
          </w:tcPr>
          <w:p>
            <w:pPr>
              <w:spacing w:after="0"/>
              <w:rPr>
                <w:sz w:val="20"/>
                <w:szCs w:val="20"/>
                <w:color w:val="auto"/>
              </w:rPr>
            </w:pPr>
            <w:r>
              <w:rPr>
                <w:rFonts w:ascii="Arial" w:cs="Arial" w:eastAsia="Arial" w:hAnsi="Arial"/>
                <w:sz w:val="18"/>
                <w:szCs w:val="18"/>
                <w:color w:val="auto"/>
              </w:rPr>
              <w:t>Net income attributable to Parsons Corporation</w:t>
            </w:r>
          </w:p>
        </w:tc>
        <w:tc>
          <w:tcPr>
            <w:tcW w:w="16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2022</w:t>
            </w:r>
          </w:p>
        </w:tc>
        <w:tc>
          <w:tcPr>
            <w:tcW w:w="15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209"/>
        </w:trPr>
        <w:tc>
          <w:tcPr>
            <w:tcW w:w="6940" w:type="dxa"/>
            <w:vAlign w:val="bottom"/>
            <w:vMerge w:val="continue"/>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20,667</w:t>
            </w:r>
          </w:p>
        </w:tc>
        <w:tc>
          <w:tcPr>
            <w:tcW w:w="26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Convertible senior notes if-converted method interest adjustment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60" w:type="dxa"/>
            <w:vAlign w:val="bottom"/>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8"/>
                <w:szCs w:val="18"/>
                <w:color w:val="auto"/>
              </w:rPr>
              <w:t>Diluted net income attributable to Parsons Corporation</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21,207</w:t>
            </w:r>
          </w:p>
        </w:tc>
        <w:tc>
          <w:tcPr>
            <w:tcW w:w="26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10" w:lineRule="exact"/>
        <w:rPr>
          <w:sz w:val="20"/>
          <w:szCs w:val="20"/>
          <w:color w:val="auto"/>
        </w:rPr>
      </w:pPr>
    </w:p>
    <w:p>
      <w:pPr>
        <w:ind w:right="200" w:firstLine="749"/>
        <w:spacing w:after="0" w:line="244" w:lineRule="auto"/>
        <w:rPr>
          <w:sz w:val="20"/>
          <w:szCs w:val="20"/>
          <w:color w:val="auto"/>
        </w:rPr>
      </w:pPr>
      <w:r>
        <w:rPr>
          <w:rFonts w:ascii="Arial" w:cs="Arial" w:eastAsia="Arial" w:hAnsi="Arial"/>
          <w:sz w:val="18"/>
          <w:szCs w:val="18"/>
          <w:color w:val="auto"/>
        </w:rPr>
        <w:t>In August 2021, the Company’s Board of Directors authorized a stock repurchase program to repurchase up to $100.0 million of shares of Commons stock. Repurchases under this stock repurchase program commenced on August 12, 2021. Any and all shares of Common Stock purchased by the Company pursuant to the program shall be retired upon their acquisition and shall not become treasury shares but instead shall resume the status of authorized but unissued shares of Common Stock. The table below presents information on this repurchase program:</w:t>
      </w:r>
    </w:p>
    <w:p>
      <w:pPr>
        <w:spacing w:after="0" w:line="30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200" w:type="dxa"/>
            <w:vAlign w:val="bottom"/>
            <w:vMerge w:val="restart"/>
          </w:tcPr>
          <w:p>
            <w:pPr>
              <w:spacing w:after="0"/>
              <w:rPr>
                <w:sz w:val="20"/>
                <w:szCs w:val="20"/>
                <w:color w:val="auto"/>
              </w:rPr>
            </w:pPr>
            <w:r>
              <w:rPr>
                <w:rFonts w:ascii="Arial" w:cs="Arial" w:eastAsia="Arial" w:hAnsi="Arial"/>
                <w:sz w:val="18"/>
                <w:szCs w:val="18"/>
                <w:color w:val="auto"/>
              </w:rPr>
              <w:t>Total shares repurchased</w:t>
            </w:r>
          </w:p>
        </w:tc>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2022</w:t>
            </w:r>
          </w:p>
        </w:tc>
        <w:tc>
          <w:tcPr>
            <w:tcW w:w="0" w:type="dxa"/>
            <w:vAlign w:val="bottom"/>
          </w:tcPr>
          <w:p>
            <w:pPr>
              <w:spacing w:after="0"/>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29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151,436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Total shares retired</w:t>
            </w:r>
          </w:p>
        </w:tc>
        <w:tc>
          <w:tcPr>
            <w:tcW w:w="2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200" w:type="dxa"/>
            <w:vAlign w:val="bottom"/>
          </w:tcPr>
          <w:p>
            <w:pPr>
              <w:spacing w:after="0"/>
              <w:rPr>
                <w:sz w:val="20"/>
                <w:szCs w:val="20"/>
                <w:color w:val="auto"/>
              </w:rPr>
            </w:pPr>
            <w:r>
              <w:rPr>
                <w:rFonts w:ascii="Arial" w:cs="Arial" w:eastAsia="Arial" w:hAnsi="Arial"/>
                <w:sz w:val="18"/>
                <w:szCs w:val="18"/>
                <w:color w:val="auto"/>
              </w:rPr>
              <w:t>Average price paid per share</w:t>
            </w:r>
          </w:p>
        </w:tc>
        <w:tc>
          <w:tcPr>
            <w:tcW w:w="3180" w:type="dxa"/>
            <w:vAlign w:val="bottom"/>
            <w:gridSpan w:val="2"/>
          </w:tcPr>
          <w:p>
            <w:pPr>
              <w:ind w:left="290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36.64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March 31, 2022, the Company has $72.8 million remaining under the stock repurchase program.</w:t>
      </w:r>
    </w:p>
    <w:p>
      <w:pPr>
        <w:spacing w:after="0" w:line="104" w:lineRule="exact"/>
        <w:rPr>
          <w:sz w:val="20"/>
          <w:szCs w:val="20"/>
          <w:color w:val="auto"/>
        </w:rPr>
      </w:pPr>
    </w:p>
    <w:p>
      <w:pPr>
        <w:ind w:left="640" w:hanging="632"/>
        <w:spacing w:after="0"/>
        <w:tabs>
          <w:tab w:leader="none" w:pos="6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0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in two reportable segments: Federal Solutions and Critical Infrastructure.</w:t>
      </w:r>
    </w:p>
    <w:p>
      <w:pPr>
        <w:spacing w:after="0" w:line="212" w:lineRule="exact"/>
        <w:rPr>
          <w:sz w:val="20"/>
          <w:szCs w:val="20"/>
          <w:color w:val="auto"/>
        </w:rPr>
      </w:pPr>
    </w:p>
    <w:p>
      <w:pPr>
        <w:ind w:right="340" w:firstLine="637"/>
        <w:spacing w:after="0" w:line="247" w:lineRule="auto"/>
        <w:rPr>
          <w:sz w:val="20"/>
          <w:szCs w:val="20"/>
          <w:color w:val="auto"/>
        </w:rPr>
      </w:pPr>
      <w:r>
        <w:rPr>
          <w:rFonts w:ascii="Arial" w:cs="Arial" w:eastAsia="Arial" w:hAnsi="Arial"/>
          <w:sz w:val="18"/>
          <w:szCs w:val="18"/>
          <w:color w:val="auto"/>
        </w:rPr>
        <w:t>The Federal Solutions segment provides advanced technical solutions to the U.S. government, delivering timely, cost-effective hardware, software and services for mission-critical projects. The segment provides advanced technologies, supporting national security missions in cybersecurity, missile defense, and military facility modernization, logistics support, hazardous material remediation and engineering services.</w:t>
      </w:r>
    </w:p>
    <w:p>
      <w:pPr>
        <w:spacing w:after="0" w:line="174" w:lineRule="exact"/>
        <w:rPr>
          <w:sz w:val="20"/>
          <w:szCs w:val="20"/>
          <w:color w:val="auto"/>
        </w:rPr>
      </w:pPr>
    </w:p>
    <w:p>
      <w:pPr>
        <w:ind w:firstLine="637"/>
        <w:spacing w:after="0" w:line="247" w:lineRule="auto"/>
        <w:rPr>
          <w:sz w:val="20"/>
          <w:szCs w:val="20"/>
          <w:color w:val="auto"/>
        </w:rPr>
      </w:pPr>
      <w:r>
        <w:rPr>
          <w:rFonts w:ascii="Arial" w:cs="Arial" w:eastAsia="Arial" w:hAnsi="Arial"/>
          <w:sz w:val="18"/>
          <w:szCs w:val="18"/>
          <w:color w:val="auto"/>
        </w:rPr>
        <w:t>The Critical Infrastructure segment provides integrated engineering and management services for complex physical and digital infrastructure around the globe. The Critical Infrastructure segment is a technology innovator focused on next generation digital systems and complex structures. Industry leading capabilities in engineering and project management allow the Company to deliver significant value to customers by employing cutting-edge technologies, improving timelines and reducing costs.</w:t>
      </w:r>
    </w:p>
    <w:p>
      <w:pPr>
        <w:spacing w:after="0" w:line="174" w:lineRule="exact"/>
        <w:rPr>
          <w:sz w:val="20"/>
          <w:szCs w:val="20"/>
          <w:color w:val="auto"/>
        </w:rPr>
      </w:pPr>
    </w:p>
    <w:p>
      <w:pPr>
        <w:ind w:right="20" w:firstLine="637"/>
        <w:spacing w:after="0" w:line="247" w:lineRule="auto"/>
        <w:rPr>
          <w:sz w:val="20"/>
          <w:szCs w:val="20"/>
          <w:color w:val="auto"/>
        </w:rPr>
      </w:pPr>
      <w:r>
        <w:rPr>
          <w:rFonts w:ascii="Arial" w:cs="Arial" w:eastAsia="Arial" w:hAnsi="Arial"/>
          <w:sz w:val="18"/>
          <w:szCs w:val="18"/>
          <w:color w:val="auto"/>
        </w:rPr>
        <w:t>The Company defines its reportable segments based on the way the chief operating decision maker (“CODM”), its Chairman and Chief Executive Officer, evaluates the performance of each segment and manages the operations of the Company for purposes of allocating resources among the segments. The CODM evaluates segment operating performance using segment Revenue and segment Adjusted EBITDA attributable to Parsons Corporation.</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23" w:name="page24"/>
    <w:bookmarkEnd w:id="23"/>
    <w:p>
      <w:pPr>
        <w:ind w:left="640"/>
        <w:spacing w:after="0"/>
        <w:rPr>
          <w:sz w:val="20"/>
          <w:szCs w:val="20"/>
          <w:color w:val="auto"/>
        </w:rPr>
      </w:pPr>
      <w:r>
        <w:rPr>
          <w:rFonts w:ascii="Arial" w:cs="Arial" w:eastAsia="Arial" w:hAnsi="Arial"/>
          <w:sz w:val="18"/>
          <w:szCs w:val="18"/>
          <w:color w:val="auto"/>
        </w:rPr>
        <w:t>The following table summarizes business segment revenue for the periods presented (in thousands):</w:t>
      </w:r>
    </w:p>
    <w:p>
      <w:pPr>
        <w:spacing w:after="0" w:line="31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jc w:val="right"/>
              <w:ind w:right="75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r>
      <w:tr>
        <w:trPr>
          <w:trHeight w:val="169"/>
        </w:trPr>
        <w:tc>
          <w:tcPr>
            <w:tcW w:w="6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2022</w:t>
            </w:r>
          </w:p>
        </w:tc>
        <w:tc>
          <w:tcPr>
            <w:tcW w:w="1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2021</w:t>
            </w:r>
          </w:p>
        </w:tc>
      </w:tr>
      <w:tr>
        <w:trPr>
          <w:trHeight w:val="209"/>
        </w:trPr>
        <w:tc>
          <w:tcPr>
            <w:tcW w:w="6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Solutions revenue</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491,629</w:t>
            </w: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452,069</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 revenue</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457,440</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422,628</w:t>
            </w:r>
          </w:p>
        </w:tc>
        <w:tc>
          <w:tcPr>
            <w:tcW w:w="100" w:type="dxa"/>
            <w:vAlign w:val="bottom"/>
            <w:tcBorders>
              <w:bottom w:val="single" w:sz="8" w:color="CFF0FC"/>
            </w:tcBorders>
          </w:tcPr>
          <w:p>
            <w:pPr>
              <w:spacing w:after="0"/>
              <w:rPr>
                <w:sz w:val="18"/>
                <w:szCs w:val="18"/>
                <w:color w:val="auto"/>
              </w:rPr>
            </w:pPr>
          </w:p>
        </w:tc>
      </w:tr>
      <w:tr>
        <w:trPr>
          <w:trHeight w:val="210"/>
        </w:trPr>
        <w:tc>
          <w:tcPr>
            <w:tcW w:w="6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949,069</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874,697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ind w:firstLine="637"/>
        <w:spacing w:after="0"/>
        <w:rPr>
          <w:sz w:val="20"/>
          <w:szCs w:val="20"/>
          <w:color w:val="auto"/>
        </w:rPr>
      </w:pPr>
      <w:r>
        <w:rPr>
          <w:rFonts w:ascii="Arial" w:cs="Arial" w:eastAsia="Arial" w:hAnsi="Arial"/>
          <w:sz w:val="18"/>
          <w:szCs w:val="18"/>
          <w:color w:val="auto"/>
        </w:rPr>
        <w:t>The Company defines Adjusted EBITDA attributable to Parsons Corporation as Adjusted EBITDA excluding Adjusted EBITDA attributable to noncontrolling interests. The Company defines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are not considered in the evaluation of ongoing operating performance. These other items include net income (loss) attributable to noncontrolling interests, asset impairment charges, equity-based compensation, income and expense recognized on litigation matters, expenses incurred in connection with acquisitions and other non-recurring transaction costs and expenses related to our prior restructuring. The following table reconciles business segment Adjusted EBITDA attributable to Parsons Corporation to Net Income attributable to Parsons Corporation for the periods presented (in thousands):</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00" w:type="dxa"/>
            <w:vAlign w:val="bottom"/>
            <w:vMerge w:val="restart"/>
          </w:tcPr>
          <w:p>
            <w:pPr>
              <w:spacing w:after="0"/>
              <w:rPr>
                <w:sz w:val="20"/>
                <w:szCs w:val="20"/>
                <w:color w:val="auto"/>
              </w:rPr>
            </w:pPr>
            <w:r>
              <w:rPr>
                <w:rFonts w:ascii="Arial" w:cs="Arial" w:eastAsia="Arial" w:hAnsi="Arial"/>
                <w:sz w:val="18"/>
                <w:szCs w:val="18"/>
                <w:color w:val="auto"/>
              </w:rPr>
              <w:t>Adjusted EBITDA attributable to Parsons Corporation</w:t>
            </w:r>
          </w:p>
        </w:tc>
        <w:tc>
          <w:tcPr>
            <w:tcW w:w="1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 2022</w:t>
            </w:r>
          </w:p>
        </w:tc>
        <w:tc>
          <w:tcPr>
            <w:tcW w:w="1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209"/>
        </w:trPr>
        <w:tc>
          <w:tcPr>
            <w:tcW w:w="69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Federal Solutions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42,638</w:t>
            </w: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31,982</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Critical Infrastructure</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28,315</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attributable to Parsons Corporation</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70,953</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Adjusted EBITDA attributable to noncontrolling interests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3,295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(30,509)</w:t>
            </w: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(34,673)</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(3,873)</w:t>
            </w:r>
          </w:p>
        </w:tc>
        <w:tc>
          <w:tcPr>
            <w:tcW w:w="1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(4,443)</w:t>
            </w: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(8,119)</w:t>
            </w: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(5,375)</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Equity-based compensation expense</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(3,898)</w:t>
            </w:r>
          </w:p>
        </w:tc>
        <w:tc>
          <w:tcPr>
            <w:tcW w:w="1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(6,980)</w:t>
            </w: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Transaction-related costs (a)</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(2,398)</w:t>
            </w: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Restructuring expense (b)</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Other (c)</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(1,395)</w:t>
            </w: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0"/>
        </w:trPr>
        <w:tc>
          <w:tcPr>
            <w:tcW w:w="6900" w:type="dxa"/>
            <w:vAlign w:val="bottom"/>
          </w:tcPr>
          <w:p>
            <w:pPr>
              <w:spacing w:after="0"/>
              <w:rPr>
                <w:sz w:val="20"/>
                <w:szCs w:val="20"/>
                <w:color w:val="auto"/>
              </w:rPr>
            </w:pPr>
            <w:r>
              <w:rPr>
                <w:rFonts w:ascii="Arial" w:cs="Arial" w:eastAsia="Arial" w:hAnsi="Arial"/>
                <w:sz w:val="18"/>
                <w:szCs w:val="18"/>
                <w:color w:val="auto"/>
              </w:rPr>
              <w:t>Net income including noncontrolling interests</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23,843</w:t>
            </w: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3,176</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tcPr>
          <w:p>
            <w:pPr>
              <w:spacing w:after="0"/>
              <w:rPr>
                <w:sz w:val="20"/>
                <w:szCs w:val="20"/>
                <w:color w:val="auto"/>
              </w:rPr>
            </w:pPr>
            <w:r>
              <w:rPr>
                <w:rFonts w:ascii="Arial" w:cs="Arial" w:eastAsia="Arial" w:hAnsi="Arial"/>
                <w:sz w:val="18"/>
                <w:szCs w:val="18"/>
                <w:color w:val="auto"/>
              </w:rPr>
              <w:t>Net income attributable to Parsons Corporation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20,667</w:t>
            </w: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40" w:right="140" w:hanging="632"/>
        <w:spacing w:after="0" w:line="245"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and other non-recurring transaction costs, primarily fees paid for professional services and employee retention.</w:t>
      </w:r>
    </w:p>
    <w:p>
      <w:pPr>
        <w:ind w:left="640" w:hanging="632"/>
        <w:spacing w:after="0" w:line="234"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Reflects costs associated with corporate restructuring initiatives.</w:t>
      </w:r>
    </w:p>
    <w:p>
      <w:pPr>
        <w:ind w:left="640" w:right="120" w:hanging="632"/>
        <w:spacing w:after="0" w:line="250"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17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Asset information by segment is not a key measure of performance used by the CODM.</w:t>
      </w:r>
    </w:p>
    <w:p>
      <w:pPr>
        <w:spacing w:after="0" w:line="21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The following tables present revenues and property and equipment, net by geographic area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-1173480</wp:posOffset>
            </wp:positionV>
            <wp:extent cx="9512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4"/>
          </w:tcPr>
          <w:p>
            <w:pPr>
              <w:jc w:val="right"/>
              <w:ind w:right="91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6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ind w:right="176"/>
              <w:spacing w:after="0"/>
              <w:rPr>
                <w:sz w:val="20"/>
                <w:szCs w:val="20"/>
                <w:color w:val="auto"/>
              </w:rPr>
            </w:pPr>
            <w:r>
              <w:rPr>
                <w:rFonts w:ascii="Arial" w:cs="Arial" w:eastAsia="Arial" w:hAnsi="Arial"/>
                <w:sz w:val="14"/>
                <w:szCs w:val="14"/>
                <w:b w:val="1"/>
                <w:bCs w:val="1"/>
                <w:color w:val="auto"/>
              </w:rPr>
              <w:t>March 31, 2022</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210"/>
        </w:trPr>
        <w:tc>
          <w:tcPr>
            <w:tcW w:w="3460" w:type="dxa"/>
            <w:vAlign w:val="bottom"/>
            <w:vMerge w:val="continue"/>
          </w:tcPr>
          <w:p>
            <w:pPr>
              <w:spacing w:after="0"/>
              <w:rPr>
                <w:sz w:val="18"/>
                <w:szCs w:val="18"/>
                <w:color w:val="auto"/>
              </w:rPr>
            </w:pPr>
          </w:p>
        </w:tc>
        <w:tc>
          <w:tcPr>
            <w:tcW w:w="4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North America</w:t>
            </w:r>
          </w:p>
        </w:tc>
        <w:tc>
          <w:tcPr>
            <w:tcW w:w="4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785,708</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716,346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260"/>
              <w:spacing w:after="0"/>
              <w:rPr>
                <w:sz w:val="20"/>
                <w:szCs w:val="20"/>
                <w:color w:val="auto"/>
              </w:rPr>
            </w:pPr>
            <w:r>
              <w:rPr>
                <w:rFonts w:ascii="Arial" w:cs="Arial" w:eastAsia="Arial" w:hAnsi="Arial"/>
                <w:sz w:val="18"/>
                <w:szCs w:val="18"/>
                <w:color w:val="auto"/>
              </w:rPr>
              <w:t>Middle East</w:t>
            </w:r>
          </w:p>
        </w:tc>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158,063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153,643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 of World</w:t>
            </w:r>
          </w:p>
        </w:tc>
        <w:tc>
          <w:tcPr>
            <w:tcW w:w="4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5,298</w:t>
            </w:r>
          </w:p>
        </w:tc>
        <w:tc>
          <w:tcPr>
            <w:tcW w:w="3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tcPr>
          <w:p>
            <w:pPr>
              <w:spacing w:after="0"/>
              <w:rPr>
                <w:sz w:val="20"/>
                <w:szCs w:val="20"/>
                <w:color w:val="auto"/>
              </w:rPr>
            </w:pPr>
            <w:r>
              <w:rPr>
                <w:rFonts w:ascii="Arial" w:cs="Arial" w:eastAsia="Arial" w:hAnsi="Arial"/>
                <w:sz w:val="18"/>
                <w:szCs w:val="18"/>
                <w:color w:val="auto"/>
              </w:rPr>
              <w:t>Total Revenue</w:t>
            </w:r>
          </w:p>
        </w:tc>
        <w:tc>
          <w:tcPr>
            <w:tcW w:w="42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949,069</w:t>
            </w:r>
          </w:p>
        </w:tc>
        <w:tc>
          <w:tcPr>
            <w:tcW w:w="3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874,697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240" w:type="dxa"/>
            <w:vAlign w:val="bottom"/>
            <w:vMerge w:val="restart"/>
          </w:tcPr>
          <w:p>
            <w:pPr>
              <w:jc w:val="right"/>
              <w:ind w:right="1890"/>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346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460" w:type="dxa"/>
            <w:vAlign w:val="bottom"/>
            <w:tcBorders>
              <w:bottom w:val="single" w:sz="8" w:color="9A9A9A"/>
            </w:tcBorders>
          </w:tcPr>
          <w:p>
            <w:pPr>
              <w:spacing w:after="0"/>
              <w:rPr>
                <w:sz w:val="8"/>
                <w:szCs w:val="8"/>
                <w:color w:val="auto"/>
              </w:rPr>
            </w:pPr>
          </w:p>
        </w:tc>
        <w:tc>
          <w:tcPr>
            <w:tcW w:w="4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4" w:name="page25"/>
    <w:bookmarkEnd w:id="24"/>
    <w:p>
      <w:pPr>
        <w:ind w:left="640"/>
        <w:spacing w:after="0"/>
        <w:rPr>
          <w:sz w:val="20"/>
          <w:szCs w:val="20"/>
          <w:color w:val="auto"/>
        </w:rPr>
      </w:pPr>
      <w:r>
        <w:rPr>
          <w:rFonts w:ascii="Arial" w:cs="Arial" w:eastAsia="Arial" w:hAnsi="Arial"/>
          <w:sz w:val="18"/>
          <w:szCs w:val="18"/>
          <w:color w:val="auto"/>
        </w:rPr>
        <w:t>The geographic location of revenue is determined by the location of the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146050</wp:posOffset>
            </wp:positionV>
            <wp:extent cx="2168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vMerge w:val="restart"/>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4"/>
                <w:szCs w:val="14"/>
                <w:color w:val="auto"/>
              </w:rPr>
            </w:pPr>
          </w:p>
        </w:tc>
        <w:tc>
          <w:tcPr>
            <w:tcW w:w="1380" w:type="dxa"/>
            <w:vAlign w:val="bottom"/>
          </w:tcPr>
          <w:p>
            <w:pPr>
              <w:jc w:val="right"/>
              <w:ind w:right="175"/>
              <w:spacing w:after="0"/>
              <w:rPr>
                <w:sz w:val="20"/>
                <w:szCs w:val="20"/>
                <w:color w:val="auto"/>
              </w:rPr>
            </w:pPr>
            <w:r>
              <w:rPr>
                <w:rFonts w:ascii="Arial" w:cs="Arial" w:eastAsia="Arial" w:hAnsi="Arial"/>
                <w:sz w:val="14"/>
                <w:szCs w:val="14"/>
                <w:b w:val="1"/>
                <w:bCs w:val="1"/>
                <w:color w:val="auto"/>
              </w:rPr>
              <w:t>March 31, 2022</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09"/>
        </w:trPr>
        <w:tc>
          <w:tcPr>
            <w:tcW w:w="770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North America</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94,481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100,674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Middle East</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3,441</w:t>
            </w:r>
          </w:p>
        </w:tc>
        <w:tc>
          <w:tcPr>
            <w:tcW w:w="3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Property and Equipment, Net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97,922</w:t>
            </w:r>
          </w:p>
        </w:tc>
        <w:tc>
          <w:tcPr>
            <w:tcW w:w="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104,196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right="120" w:firstLine="637"/>
        <w:spacing w:after="0" w:line="276" w:lineRule="auto"/>
        <w:rPr>
          <w:sz w:val="20"/>
          <w:szCs w:val="20"/>
          <w:color w:val="auto"/>
        </w:rPr>
      </w:pPr>
      <w:r>
        <w:rPr>
          <w:rFonts w:ascii="Arial" w:cs="Arial" w:eastAsia="Arial" w:hAnsi="Arial"/>
          <w:sz w:val="18"/>
          <w:szCs w:val="18"/>
          <w:color w:val="auto"/>
        </w:rPr>
        <w:t>North America includes revenue in the United States for the three months ended March 31, 2022 and March 31, 2021 of $718.0 million and $652.2 million, respectively. North America property and equipment, net includes $89.0 million and $95.0 million of property and equipment, net in the United States at March 31, 2022 and December 31, 2021, respectively.</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revenues by business units (in thousands):</w:t>
      </w:r>
    </w:p>
    <w:p>
      <w:pPr>
        <w:spacing w:after="0" w:line="31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90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16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2022</w:t>
            </w:r>
          </w:p>
        </w:tc>
        <w:tc>
          <w:tcPr>
            <w:tcW w:w="1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209"/>
        </w:trPr>
        <w:tc>
          <w:tcPr>
            <w:tcW w:w="690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Defense and Intelligence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346,233</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311,102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Engineered Systems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145,396</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140,967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Solutions revenues</w:t>
            </w:r>
          </w:p>
        </w:tc>
        <w:tc>
          <w:tcPr>
            <w:tcW w:w="1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491,629</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452,069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00" w:type="dxa"/>
            <w:vAlign w:val="bottom"/>
          </w:tcPr>
          <w:p>
            <w:pPr>
              <w:ind w:left="480"/>
              <w:spacing w:after="0"/>
              <w:rPr>
                <w:sz w:val="20"/>
                <w:szCs w:val="20"/>
                <w:color w:val="auto"/>
              </w:rPr>
            </w:pPr>
            <w:r>
              <w:rPr>
                <w:rFonts w:ascii="Arial" w:cs="Arial" w:eastAsia="Arial" w:hAnsi="Arial"/>
                <w:sz w:val="18"/>
                <w:szCs w:val="18"/>
                <w:color w:val="auto"/>
              </w:rPr>
              <w:t>Mobility Solutions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294,786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281,596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Connected Communities</w:t>
            </w:r>
          </w:p>
        </w:tc>
        <w:tc>
          <w:tcPr>
            <w:tcW w:w="1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162,654</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141,032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Critical Infrastructure revenues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457,440</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422,628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949,069</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874,697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right="20" w:firstLine="749"/>
        <w:spacing w:after="0" w:line="266" w:lineRule="auto"/>
        <w:rPr>
          <w:sz w:val="20"/>
          <w:szCs w:val="20"/>
          <w:color w:val="auto"/>
        </w:rPr>
      </w:pPr>
      <w:r>
        <w:rPr>
          <w:rFonts w:ascii="Arial" w:cs="Arial" w:eastAsia="Arial" w:hAnsi="Arial"/>
          <w:sz w:val="17"/>
          <w:szCs w:val="17"/>
          <w:color w:val="auto"/>
        </w:rPr>
        <w:t>Effective July 1, 2021, the Company made changes to its Federal Solutions business units by consolidating Space &amp; Geospatial Solutions, Cyber &amp; Intelligence, and Missile Defense &amp; C5ISR into a new Defense and Intelligence business unit. Effective January 1, 2022, the Company made changes to its Critical Infrastructure business units by transferring a portion of legacy Mobility Solutions to the Connected Communities business unit. The prior year information in the table above has been reclassified to conform to the business line changes.</w:t>
      </w:r>
    </w:p>
    <w:p>
      <w:pPr>
        <w:spacing w:after="0" w:line="294" w:lineRule="exact"/>
        <w:rPr>
          <w:sz w:val="20"/>
          <w:szCs w:val="20"/>
          <w:color w:val="auto"/>
        </w:rPr>
      </w:pPr>
    </w:p>
    <w:p>
      <w:pPr>
        <w:ind w:left="640" w:hanging="632"/>
        <w:spacing w:after="0"/>
        <w:tabs>
          <w:tab w:leader="none" w:pos="6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31" w:lineRule="exact"/>
        <w:rPr>
          <w:sz w:val="20"/>
          <w:szCs w:val="20"/>
          <w:color w:val="auto"/>
        </w:rPr>
      </w:pPr>
    </w:p>
    <w:p>
      <w:pPr>
        <w:ind w:right="60" w:firstLine="722"/>
        <w:spacing w:after="0" w:line="245" w:lineRule="auto"/>
        <w:rPr>
          <w:sz w:val="20"/>
          <w:szCs w:val="20"/>
          <w:color w:val="auto"/>
        </w:rPr>
      </w:pPr>
      <w:r>
        <w:rPr>
          <w:rFonts w:ascii="Arial" w:cs="Arial" w:eastAsia="Arial" w:hAnsi="Arial"/>
          <w:sz w:val="18"/>
          <w:szCs w:val="18"/>
          <w:color w:val="auto"/>
        </w:rPr>
        <w:t>On April 20, 2022, the Board of Directors authorized the Fifth Amendment to the Parsons Corporation Employee Stock Ownership Plan 2019 Amendment and Restatement (the Plan) providing for lump sum distributions to participants. The ESOP Advisory Committee executed the Fifth Amendment to the Plan on April 28, 2022. Participants were previously required to take distributions in up to three annual installments if their balance exceeded certain thresholds as disclosed in the Company’s 10-K for the year ended December 31, 2021. Annual diversification elections and five-year vested termination distributions are not impacted by this amendment and will still occur annually and over installments as outlined in the Plan.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6" w:lineRule="exact"/>
        <w:rPr>
          <w:sz w:val="20"/>
          <w:szCs w:val="20"/>
          <w:color w:val="auto"/>
        </w:rPr>
      </w:pPr>
    </w:p>
    <w:p>
      <w:pPr>
        <w:ind w:right="180" w:firstLine="637"/>
        <w:spacing w:after="0" w:line="246" w:lineRule="auto"/>
        <w:rPr>
          <w:sz w:val="20"/>
          <w:szCs w:val="20"/>
          <w:color w:val="auto"/>
        </w:rPr>
      </w:pPr>
      <w:r>
        <w:rPr>
          <w:rFonts w:ascii="Arial" w:cs="Arial" w:eastAsia="Arial" w:hAnsi="Arial"/>
          <w:sz w:val="18"/>
          <w:szCs w:val="18"/>
          <w:i w:val="1"/>
          <w:iCs w:val="1"/>
          <w:color w:val="auto"/>
        </w:rPr>
        <w:t>The following discussion and analysis is intended to help investors understand our business, financial condition, results of operations, liquidity and capital resources. You should read this discussion together with our consolidated financial statements and related notes thereto included elsewhere in this Form 10-Q and in conjunction with the Company’s Form 10-K for the year ended December 31, 2021.</w:t>
      </w:r>
    </w:p>
    <w:p>
      <w:pPr>
        <w:spacing w:after="0" w:line="177" w:lineRule="exact"/>
        <w:rPr>
          <w:sz w:val="20"/>
          <w:szCs w:val="20"/>
          <w:color w:val="auto"/>
        </w:rPr>
      </w:pPr>
    </w:p>
    <w:p>
      <w:pPr>
        <w:ind w:right="20" w:firstLine="637"/>
        <w:spacing w:after="0" w:line="241"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“Risk Factors” and “Special Note Regarding Forward-Looking Statements” in the Company’s Form 10-K for the year ended December 31, 2021. We undertake no obligation to revise publicly any forward-looking statements. Actual results may differ materially from those contained in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144780</wp:posOffset>
            </wp:positionV>
            <wp:extent cx="6172200" cy="3471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ind w:right="160" w:firstLine="637"/>
        <w:spacing w:after="0" w:line="244" w:lineRule="auto"/>
        <w:rPr>
          <w:sz w:val="20"/>
          <w:szCs w:val="20"/>
          <w:color w:val="auto"/>
        </w:rPr>
      </w:pPr>
      <w:r>
        <w:rPr>
          <w:rFonts w:ascii="Arial" w:cs="Arial" w:eastAsia="Arial" w:hAnsi="Arial"/>
          <w:sz w:val="18"/>
          <w:szCs w:val="18"/>
          <w:color w:val="auto"/>
        </w:rPr>
        <w:t>We are a leading provider of the integrated solutions and services required in today’s complex security environment and a world of digital transformation. We deliver innovative technology-driven solutions to customers worldwide. We have developed significant expertise and differentiated capabilities in key areas of cybersecurity, intelligence, missile defense, C5ISR, space, transportation, water/wastewater and environmental remediation. By combining our talented team of professionals and advanced technology, we solve complex technical challenges to enable a safer, smarter, more secure and more connected world.</w:t>
      </w:r>
    </w:p>
    <w:p>
      <w:pPr>
        <w:spacing w:after="0" w:line="176" w:lineRule="exact"/>
        <w:rPr>
          <w:sz w:val="20"/>
          <w:szCs w:val="20"/>
          <w:color w:val="auto"/>
        </w:rPr>
      </w:pPr>
    </w:p>
    <w:p>
      <w:pPr>
        <w:ind w:right="60" w:firstLine="637"/>
        <w:spacing w:after="0" w:line="253" w:lineRule="auto"/>
        <w:rPr>
          <w:sz w:val="20"/>
          <w:szCs w:val="20"/>
          <w:color w:val="auto"/>
        </w:rPr>
      </w:pPr>
      <w:r>
        <w:rPr>
          <w:rFonts w:ascii="Arial" w:cs="Arial" w:eastAsia="Arial" w:hAnsi="Arial"/>
          <w:sz w:val="18"/>
          <w:szCs w:val="18"/>
          <w:color w:val="auto"/>
        </w:rPr>
        <w:t>We operate in two reporting segments, Federal Solutions and Critical Infrastructure. Our Federal Solutions business provides advanced technical solutions to the U.S. government. Our Critical Infrastructure business provides integrated engineering and management services for complex physical and digital infrastructure to state and local governments and large companies.</w:t>
      </w:r>
    </w:p>
    <w:p>
      <w:pPr>
        <w:spacing w:after="0" w:line="169" w:lineRule="exact"/>
        <w:rPr>
          <w:sz w:val="20"/>
          <w:szCs w:val="20"/>
          <w:color w:val="auto"/>
        </w:rPr>
      </w:pPr>
    </w:p>
    <w:p>
      <w:pPr>
        <w:ind w:firstLine="637"/>
        <w:spacing w:after="0" w:line="247" w:lineRule="auto"/>
        <w:rPr>
          <w:sz w:val="20"/>
          <w:szCs w:val="20"/>
          <w:color w:val="auto"/>
        </w:rPr>
      </w:pPr>
      <w:r>
        <w:rPr>
          <w:rFonts w:ascii="Arial" w:cs="Arial" w:eastAsia="Arial" w:hAnsi="Arial"/>
          <w:sz w:val="18"/>
          <w:szCs w:val="18"/>
          <w:color w:val="auto"/>
        </w:rPr>
        <w:t>Our employees provide services pursuant to contracts that we are awarded by the customer and specific task orders relating to such contracts. These contracts are often multi-year, which provides us backlog and visibility on our revenues for future periods. Many of our contracts and task orders are subject to renewal and rebidding at the end of their term, and some are subject to the exercise of contract options and issuance of task orders by the applicable government</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26" w:name="page27"/>
    <w:bookmarkEnd w:id="26"/>
    <w:p>
      <w:pPr>
        <w:spacing w:after="0" w:line="271" w:lineRule="auto"/>
        <w:rPr>
          <w:sz w:val="20"/>
          <w:szCs w:val="20"/>
          <w:color w:val="auto"/>
        </w:rPr>
      </w:pPr>
      <w:r>
        <w:rPr>
          <w:rFonts w:ascii="Arial" w:cs="Arial" w:eastAsia="Arial" w:hAnsi="Arial"/>
          <w:sz w:val="18"/>
          <w:szCs w:val="18"/>
          <w:color w:val="auto"/>
        </w:rPr>
        <w:t>entity. In addition to focusing on increasing our revenues through increased contract awards and backlog, we focus our financial performance on margin expansion and cash flow.</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Key Metrics</w:t>
      </w:r>
    </w:p>
    <w:p>
      <w:pPr>
        <w:spacing w:after="0" w:line="212" w:lineRule="exact"/>
        <w:rPr>
          <w:sz w:val="20"/>
          <w:szCs w:val="20"/>
          <w:color w:val="auto"/>
        </w:rPr>
      </w:pPr>
    </w:p>
    <w:p>
      <w:pPr>
        <w:ind w:right="240" w:firstLine="637"/>
        <w:spacing w:after="0" w:line="271" w:lineRule="auto"/>
        <w:rPr>
          <w:sz w:val="20"/>
          <w:szCs w:val="20"/>
          <w:color w:val="auto"/>
        </w:rPr>
      </w:pPr>
      <w:r>
        <w:rPr>
          <w:rFonts w:ascii="Arial" w:cs="Arial" w:eastAsia="Arial" w:hAnsi="Arial"/>
          <w:sz w:val="18"/>
          <w:szCs w:val="18"/>
          <w:color w:val="auto"/>
        </w:rPr>
        <w:t>We manage and assess the performance of our business by evaluating a variety of metrics. The following table sets forth selected key metrics (in thousands, except Book-to-Bill):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126365</wp:posOffset>
            </wp:positionV>
            <wp:extent cx="20059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135"/>
              <w:spacing w:after="0"/>
              <w:rPr>
                <w:sz w:val="20"/>
                <w:szCs w:val="20"/>
                <w:color w:val="auto"/>
              </w:rPr>
            </w:pPr>
            <w:r>
              <w:rPr>
                <w:rFonts w:ascii="Arial" w:cs="Arial" w:eastAsia="Arial" w:hAnsi="Arial"/>
                <w:sz w:val="14"/>
                <w:szCs w:val="14"/>
                <w:b w:val="1"/>
                <w:bCs w:val="1"/>
                <w:color w:val="auto"/>
              </w:rPr>
              <w:t>March 31, 2022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2021</w:t>
            </w:r>
          </w:p>
        </w:tc>
      </w:tr>
      <w:tr>
        <w:trPr>
          <w:trHeight w:val="210"/>
        </w:trPr>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(year to date)</w:t>
            </w:r>
          </w:p>
        </w:tc>
        <w:tc>
          <w:tcPr>
            <w:tcW w:w="24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917,156</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1,010,974</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Backlog (1)</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8,224,785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8,170,126</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Book-to-Bill (year to date)</w:t>
            </w:r>
          </w:p>
        </w:tc>
        <w:tc>
          <w:tcPr>
            <w:tcW w:w="2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0" w:lineRule="exact"/>
        <w:rPr>
          <w:sz w:val="20"/>
          <w:szCs w:val="20"/>
          <w:color w:val="auto"/>
        </w:rPr>
      </w:pPr>
    </w:p>
    <w:p>
      <w:pPr>
        <w:ind w:left="640" w:right="80" w:hanging="632"/>
        <w:spacing w:after="0" w:line="253"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Difference between our backlog of $8.2 billion and our remaining unsatisfied performance obligations, or RUPO, of $5.5 billion, each as of March 31, 2022, is due to (i) unissued task orders and unexercised option years, to the extent their issuance or exercise is probable, as well as (ii) contract awards, to the extent we believe contract execution and funding is probable.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w:t>
      </w:r>
    </w:p>
    <w:p>
      <w:pPr>
        <w:spacing w:after="0" w:line="102" w:lineRule="exact"/>
        <w:rPr>
          <w:sz w:val="20"/>
          <w:szCs w:val="20"/>
          <w:color w:val="auto"/>
        </w:rPr>
      </w:pPr>
    </w:p>
    <w:p>
      <w:pPr>
        <w:ind w:right="220" w:firstLine="637"/>
        <w:spacing w:after="0" w:line="253" w:lineRule="auto"/>
        <w:rPr>
          <w:sz w:val="20"/>
          <w:szCs w:val="20"/>
          <w:color w:val="auto"/>
        </w:rPr>
      </w:pPr>
      <w:r>
        <w:rPr>
          <w:rFonts w:ascii="Arial" w:cs="Arial" w:eastAsia="Arial" w:hAnsi="Arial"/>
          <w:sz w:val="18"/>
          <w:szCs w:val="18"/>
          <w:color w:val="auto"/>
        </w:rPr>
        <w:t>Awards generally represent the amount of revenue expected to be earned in the future from funded and unfunded contract awards received during the period. Contract awards include both new and re-compete contracts and task orders. Given that new contract awards generate growth, we closely track our new awards each year.</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year to-date value of new awards for the periods presented below (in thousands):</w:t>
      </w:r>
    </w:p>
    <w:p>
      <w:pPr>
        <w:spacing w:after="0" w:line="31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4"/>
          </w:tcPr>
          <w:p>
            <w:pPr>
              <w:jc w:val="right"/>
              <w:ind w:right="79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r>
      <w:tr>
        <w:trPr>
          <w:trHeight w:val="169"/>
        </w:trPr>
        <w:tc>
          <w:tcPr>
            <w:tcW w:w="6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137"/>
              <w:spacing w:after="0"/>
              <w:rPr>
                <w:sz w:val="20"/>
                <w:szCs w:val="20"/>
                <w:color w:val="auto"/>
              </w:rPr>
            </w:pPr>
            <w:r>
              <w:rPr>
                <w:rFonts w:ascii="Arial" w:cs="Arial" w:eastAsia="Arial" w:hAnsi="Arial"/>
                <w:sz w:val="14"/>
                <w:szCs w:val="14"/>
                <w:b w:val="1"/>
                <w:bCs w:val="1"/>
                <w:color w:val="auto"/>
              </w:rPr>
              <w:t>March 31, 2022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2021</w:t>
            </w:r>
          </w:p>
        </w:tc>
      </w:tr>
      <w:tr>
        <w:trPr>
          <w:trHeight w:val="210"/>
        </w:trPr>
        <w:tc>
          <w:tcPr>
            <w:tcW w:w="6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456,888</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424,621</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460,268</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586,353</w:t>
            </w:r>
          </w:p>
        </w:tc>
        <w:tc>
          <w:tcPr>
            <w:tcW w:w="100" w:type="dxa"/>
            <w:vAlign w:val="bottom"/>
            <w:tcBorders>
              <w:bottom w:val="single" w:sz="8" w:color="CFF0FC"/>
            </w:tcBorders>
          </w:tcPr>
          <w:p>
            <w:pPr>
              <w:spacing w:after="0"/>
              <w:rPr>
                <w:sz w:val="18"/>
                <w:szCs w:val="18"/>
                <w:color w:val="auto"/>
              </w:rPr>
            </w:pPr>
          </w:p>
        </w:tc>
      </w:tr>
      <w:tr>
        <w:trPr>
          <w:trHeight w:val="210"/>
        </w:trPr>
        <w:tc>
          <w:tcPr>
            <w:tcW w:w="6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Awards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917,156</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1,010,974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ind w:right="20" w:firstLine="637"/>
        <w:spacing w:after="0" w:line="244" w:lineRule="auto"/>
        <w:rPr>
          <w:sz w:val="20"/>
          <w:szCs w:val="20"/>
          <w:color w:val="auto"/>
        </w:rPr>
      </w:pPr>
      <w:r>
        <w:rPr>
          <w:rFonts w:ascii="Arial" w:cs="Arial" w:eastAsia="Arial" w:hAnsi="Arial"/>
          <w:sz w:val="18"/>
          <w:szCs w:val="18"/>
          <w:color w:val="auto"/>
        </w:rPr>
        <w:t>The change in new awards from year to year is primarily due to ordinary course fluctuations in our business. The volume of contract awards can fluctuate in any given period due to win rate and the timing and size of the awards issued by our customers. The change in new awards in our Federal Solutions segment for the three months ended March 31, 2022 when compared to the corresponding period last year was primarily due to two large contracts awarded in the first quarter of 2022. The awards in Critical Infrastructure for the three months ended March 31, 2022 were lower due to several large contracts awarded in the first quarter of 2021.</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define backlog to include the following two components:</w:t>
      </w:r>
    </w:p>
    <w:p>
      <w:pPr>
        <w:spacing w:after="0" w:line="104" w:lineRule="exact"/>
        <w:rPr>
          <w:sz w:val="20"/>
          <w:szCs w:val="20"/>
          <w:color w:val="auto"/>
        </w:rPr>
      </w:pPr>
    </w:p>
    <w:p>
      <w:pPr>
        <w:ind w:left="880" w:right="580" w:hanging="238"/>
        <w:spacing w:after="0" w:line="271"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Funded—Funded backlog represents future revenue anticipated from orders for services under existing contracts for which funding is appropriated or otherwise authorized.</w:t>
      </w:r>
    </w:p>
    <w:p>
      <w:pPr>
        <w:spacing w:after="0" w:line="45" w:lineRule="exact"/>
        <w:rPr>
          <w:rFonts w:ascii="Arial" w:cs="Arial" w:eastAsia="Arial" w:hAnsi="Arial"/>
          <w:sz w:val="18"/>
          <w:szCs w:val="18"/>
          <w:color w:val="auto"/>
        </w:rPr>
      </w:pPr>
    </w:p>
    <w:p>
      <w:pPr>
        <w:ind w:left="880" w:right="240" w:hanging="238"/>
        <w:spacing w:after="0" w:line="271"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Unfunded—Unfunded backlog represents future revenue anticipated from orders for services under existing contracts for which funding has not been appropriated or otherwise authorized.</w:t>
      </w:r>
    </w:p>
    <w:p>
      <w:pPr>
        <w:spacing w:after="0" w:line="154" w:lineRule="exact"/>
        <w:rPr>
          <w:sz w:val="20"/>
          <w:szCs w:val="20"/>
          <w:color w:val="auto"/>
        </w:rPr>
      </w:pPr>
    </w:p>
    <w:p>
      <w:pPr>
        <w:ind w:right="140" w:firstLine="637"/>
        <w:spacing w:after="0" w:line="271" w:lineRule="auto"/>
        <w:rPr>
          <w:sz w:val="20"/>
          <w:szCs w:val="20"/>
          <w:color w:val="auto"/>
        </w:rPr>
      </w:pPr>
      <w:r>
        <w:rPr>
          <w:rFonts w:ascii="Arial" w:cs="Arial" w:eastAsia="Arial" w:hAnsi="Arial"/>
          <w:sz w:val="18"/>
          <w:szCs w:val="18"/>
          <w:color w:val="auto"/>
        </w:rPr>
        <w:t>Backlog includes (i) unissued task orders and unexercised option years, to the extent their issuance or exercise is probable, as well as (ii) contract awards, to the extent we believe contract execution and funding is probable.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7" w:name="page28"/>
    <w:bookmarkEnd w:id="27"/>
    <w:p>
      <w:pPr>
        <w:ind w:left="640"/>
        <w:spacing w:after="0"/>
        <w:rPr>
          <w:sz w:val="20"/>
          <w:szCs w:val="20"/>
          <w:color w:val="auto"/>
        </w:rPr>
      </w:pPr>
      <w:r>
        <w:rPr>
          <w:rFonts w:ascii="Arial" w:cs="Arial" w:eastAsia="Arial" w:hAnsi="Arial"/>
          <w:sz w:val="18"/>
          <w:szCs w:val="18"/>
          <w:color w:val="auto"/>
        </w:rPr>
        <w:t>The following table summarizes the value of our backlog at the respective dates presented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163195</wp:posOffset>
            </wp:positionV>
            <wp:extent cx="20059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9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60" w:type="dxa"/>
            <w:vAlign w:val="bottom"/>
            <w:vMerge w:val="restart"/>
          </w:tcPr>
          <w:p>
            <w:pPr>
              <w:spacing w:after="0"/>
              <w:rPr>
                <w:sz w:val="20"/>
                <w:szCs w:val="20"/>
                <w:color w:val="auto"/>
              </w:rPr>
            </w:pPr>
            <w:r>
              <w:rPr>
                <w:rFonts w:ascii="Arial" w:cs="Arial" w:eastAsia="Arial" w:hAnsi="Arial"/>
                <w:sz w:val="18"/>
                <w:szCs w:val="18"/>
                <w:color w:val="auto"/>
              </w:rPr>
              <w:t>Federal Solutions:</w:t>
            </w:r>
          </w:p>
        </w:tc>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Funded</w:t>
            </w:r>
          </w:p>
        </w:tc>
        <w:tc>
          <w:tcPr>
            <w:tcW w:w="2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1,300,476</w:t>
            </w:r>
          </w:p>
        </w:tc>
        <w:tc>
          <w:tcPr>
            <w:tcW w:w="24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1,127,717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Unfunded</w:t>
            </w:r>
          </w:p>
        </w:tc>
        <w:tc>
          <w:tcPr>
            <w:tcW w:w="23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3,883,550</w:t>
            </w:r>
          </w:p>
        </w:tc>
        <w:tc>
          <w:tcPr>
            <w:tcW w:w="2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4,010,656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Total Federal Solutions</w:t>
            </w:r>
          </w:p>
        </w:tc>
        <w:tc>
          <w:tcPr>
            <w:tcW w:w="23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5,184,026</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5,138,373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Pr>
          <w:p>
            <w:pPr>
              <w:spacing w:after="0"/>
              <w:rPr>
                <w:sz w:val="20"/>
                <w:szCs w:val="20"/>
                <w:color w:val="auto"/>
              </w:rPr>
            </w:pPr>
            <w:r>
              <w:rPr>
                <w:rFonts w:ascii="Arial" w:cs="Arial" w:eastAsia="Arial" w:hAnsi="Arial"/>
                <w:sz w:val="18"/>
                <w:szCs w:val="18"/>
                <w:color w:val="auto"/>
              </w:rPr>
              <w:t>Critical Infrastructure:</w:t>
            </w: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Funded</w:t>
            </w:r>
          </w:p>
        </w:tc>
        <w:tc>
          <w:tcPr>
            <w:tcW w:w="2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2,976,099</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2,956,255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Unfunded</w:t>
            </w:r>
          </w:p>
        </w:tc>
        <w:tc>
          <w:tcPr>
            <w:tcW w:w="23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64,660</w:t>
            </w:r>
          </w:p>
        </w:tc>
        <w:tc>
          <w:tcPr>
            <w:tcW w:w="2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75,498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Total Critical Infrastructure</w:t>
            </w:r>
          </w:p>
        </w:tc>
        <w:tc>
          <w:tcPr>
            <w:tcW w:w="23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3,040,759</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3,031,753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Pr>
          <w:p>
            <w:pPr>
              <w:spacing w:after="0"/>
              <w:rPr>
                <w:sz w:val="20"/>
                <w:szCs w:val="20"/>
                <w:color w:val="auto"/>
              </w:rPr>
            </w:pPr>
            <w:r>
              <w:rPr>
                <w:rFonts w:ascii="Arial" w:cs="Arial" w:eastAsia="Arial" w:hAnsi="Arial"/>
                <w:sz w:val="18"/>
                <w:szCs w:val="18"/>
                <w:color w:val="auto"/>
              </w:rPr>
              <w:t>Total Backlog (1)</w:t>
            </w:r>
          </w:p>
        </w:tc>
        <w:tc>
          <w:tcPr>
            <w:tcW w:w="23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8,224,785</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8,170,126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0" w:lineRule="exact"/>
        <w:rPr>
          <w:sz w:val="20"/>
          <w:szCs w:val="20"/>
          <w:color w:val="auto"/>
        </w:rPr>
      </w:pPr>
    </w:p>
    <w:p>
      <w:pPr>
        <w:ind w:left="1000" w:right="60" w:hanging="628"/>
        <w:spacing w:after="0" w:line="25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Difference between our backlog of $8.2 billion and our RUPO of $5.5 billion, each as of March 31, 2022, is due to (i) unissued task orders and unexercised option years, to the extent their issuance or exercise is probable, as well as (ii) contract awards, to the extent we believe contract execution and funding is probable.</w:t>
      </w:r>
    </w:p>
    <w:p>
      <w:pPr>
        <w:spacing w:after="0" w:line="169" w:lineRule="exact"/>
        <w:rPr>
          <w:sz w:val="20"/>
          <w:szCs w:val="20"/>
          <w:color w:val="auto"/>
        </w:rPr>
      </w:pPr>
    </w:p>
    <w:p>
      <w:pPr>
        <w:ind w:right="40" w:firstLine="637"/>
        <w:spacing w:after="0" w:line="244" w:lineRule="auto"/>
        <w:rPr>
          <w:sz w:val="20"/>
          <w:szCs w:val="20"/>
          <w:color w:val="auto"/>
        </w:rPr>
      </w:pPr>
      <w:r>
        <w:rPr>
          <w:rFonts w:ascii="Arial" w:cs="Arial" w:eastAsia="Arial" w:hAnsi="Arial"/>
          <w:sz w:val="18"/>
          <w:szCs w:val="18"/>
          <w:color w:val="auto"/>
        </w:rPr>
        <w:t>Our backlog includes orders under contracts that in some cases extend for several years. For example, the U.S. Congress generally appropriates funds for our U.S. federal government customers on a yearly basis, even though their contracts with us may call for performance that is expected to take a number of years to complete. As a result, our federal contracts typically are only partially funded at any point during their term. All or some of the work to be performed under the contracts may remain unfunded unless and until the U.S. Congress makes subsequent appropriations and the procuring agency allocates funding to the contract.</w:t>
      </w:r>
    </w:p>
    <w:p>
      <w:pPr>
        <w:spacing w:after="0" w:line="176" w:lineRule="exact"/>
        <w:rPr>
          <w:sz w:val="20"/>
          <w:szCs w:val="20"/>
          <w:color w:val="auto"/>
        </w:rPr>
      </w:pPr>
    </w:p>
    <w:p>
      <w:pPr>
        <w:ind w:firstLine="637"/>
        <w:spacing w:after="0" w:line="242" w:lineRule="auto"/>
        <w:rPr>
          <w:sz w:val="20"/>
          <w:szCs w:val="20"/>
          <w:color w:val="auto"/>
        </w:rPr>
      </w:pPr>
      <w:r>
        <w:rPr>
          <w:rFonts w:ascii="Arial" w:cs="Arial" w:eastAsia="Arial" w:hAnsi="Arial"/>
          <w:sz w:val="18"/>
          <w:szCs w:val="18"/>
          <w:color w:val="auto"/>
        </w:rPr>
        <w:t>We expect to recognize $2.8 billion of our funded backlog at March 31, 2022 as revenues in the following twelve months. However, our U.S. federal government customers may cancel their contracts with us at any time through a termination for convenience or may elect to not exercise option periods under such contracts. In the case of a termination for convenience, we would not receive anticipated future revenues, but would generally be permitted to recover all or a portion of our incurred costs and fees for work performed. See “Risk Factors— Risk Relating to Our Business—We may not realize the full value of our backlog, which may result in lower than expected revenue” in the Company’s Form 10-K for the year ended December 31, 2021.</w:t>
      </w:r>
    </w:p>
    <w:p>
      <w:pPr>
        <w:spacing w:after="0" w:line="179" w:lineRule="exact"/>
        <w:rPr>
          <w:sz w:val="20"/>
          <w:szCs w:val="20"/>
          <w:color w:val="auto"/>
        </w:rPr>
      </w:pPr>
    </w:p>
    <w:p>
      <w:pPr>
        <w:ind w:right="540" w:firstLine="637"/>
        <w:spacing w:after="0" w:line="271" w:lineRule="auto"/>
        <w:rPr>
          <w:sz w:val="20"/>
          <w:szCs w:val="20"/>
          <w:color w:val="auto"/>
        </w:rPr>
      </w:pPr>
      <w:r>
        <w:rPr>
          <w:rFonts w:ascii="Arial" w:cs="Arial" w:eastAsia="Arial" w:hAnsi="Arial"/>
          <w:sz w:val="18"/>
          <w:szCs w:val="18"/>
          <w:color w:val="auto"/>
        </w:rPr>
        <w:t>The changes in backlog in both the Federal Solutions and Critical Infrastructure segments were primarily from ordinary course fluctuations in our business and the impacts related to the Company’s awards discussed above.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Book-to-Bill</w:t>
      </w:r>
    </w:p>
    <w:p>
      <w:pPr>
        <w:spacing w:after="0" w:line="102" w:lineRule="exact"/>
        <w:rPr>
          <w:sz w:val="20"/>
          <w:szCs w:val="20"/>
          <w:color w:val="auto"/>
        </w:rPr>
      </w:pPr>
    </w:p>
    <w:p>
      <w:pPr>
        <w:ind w:firstLine="637"/>
        <w:spacing w:after="0" w:line="242" w:lineRule="auto"/>
        <w:rPr>
          <w:sz w:val="20"/>
          <w:szCs w:val="20"/>
          <w:color w:val="auto"/>
        </w:rPr>
      </w:pPr>
      <w:r>
        <w:rPr>
          <w:rFonts w:ascii="Arial" w:cs="Arial" w:eastAsia="Arial" w:hAnsi="Arial"/>
          <w:sz w:val="18"/>
          <w:szCs w:val="18"/>
          <w:color w:val="auto"/>
        </w:rPr>
        <w:t>Book-to-bill is the ratio of total awards to total revenue recorded in the same period. Our management believes our book-to-bill ratio is a useful indicator of our potential future revenue growth in that it measures the rate at which we are generating new awards compared to the Company’s current revenue. To drive future revenue growth, our goal is for the level of awards in a given period to exceed the revenue booked. A book-to-bill ratio greater than 1.0 indicates that awards generated in a given period exceeded the revenue recognized in the same period, while a book-to-bill ratio of less than 1.0 indicates that awards generated in such period were less than the revenue recognized in such period. The following table sets forth the book-to-bill ratio for the periods presented below:</w:t>
      </w:r>
    </w:p>
    <w:p>
      <w:pPr>
        <w:spacing w:after="0" w:line="28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3140" w:type="dxa"/>
            <w:vAlign w:val="bottom"/>
            <w:tcBorders>
              <w:bottom w:val="single" w:sz="8" w:color="auto"/>
            </w:tcBorders>
            <w:gridSpan w:val="3"/>
          </w:tcPr>
          <w:p>
            <w:pPr>
              <w:jc w:val="right"/>
              <w:ind w:right="77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r>
      <w:tr>
        <w:trPr>
          <w:trHeight w:val="169"/>
        </w:trPr>
        <w:tc>
          <w:tcPr>
            <w:tcW w:w="6860" w:type="dxa"/>
            <w:vAlign w:val="bottom"/>
          </w:tcPr>
          <w:p>
            <w:pPr>
              <w:spacing w:after="0"/>
              <w:rPr>
                <w:sz w:val="14"/>
                <w:szCs w:val="14"/>
                <w:color w:val="auto"/>
              </w:rPr>
            </w:pPr>
          </w:p>
        </w:tc>
        <w:tc>
          <w:tcPr>
            <w:tcW w:w="170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 2022</w:t>
            </w: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 2021</w:t>
            </w:r>
          </w:p>
        </w:tc>
      </w:tr>
      <w:tr>
        <w:trPr>
          <w:trHeight w:val="210"/>
        </w:trPr>
        <w:tc>
          <w:tcPr>
            <w:tcW w:w="6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1460" w:type="dxa"/>
            <w:vAlign w:val="bottom"/>
            <w:tcBorders>
              <w:top w:val="single" w:sz="8" w:color="auto"/>
            </w:tcBorders>
            <w:shd w:val="clear" w:color="auto" w:fill="CFF0FC"/>
          </w:tcPr>
          <w:p>
            <w:pPr>
              <w:jc w:val="right"/>
              <w:ind w:right="477"/>
              <w:spacing w:after="0"/>
              <w:rPr>
                <w:sz w:val="20"/>
                <w:szCs w:val="20"/>
                <w:color w:val="auto"/>
              </w:rPr>
            </w:pPr>
            <w:r>
              <w:rPr>
                <w:rFonts w:ascii="Arial" w:cs="Arial" w:eastAsia="Arial" w:hAnsi="Arial"/>
                <w:sz w:val="18"/>
                <w:szCs w:val="18"/>
                <w:color w:val="auto"/>
              </w:rPr>
              <w:t>0.9</w:t>
            </w:r>
          </w:p>
        </w:tc>
        <w:tc>
          <w:tcPr>
            <w:tcW w:w="240" w:type="dxa"/>
            <w:vAlign w:val="bottom"/>
            <w:tcBorders>
              <w:top w:val="single" w:sz="8" w:color="CFF0FC"/>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right"/>
              <w:ind w:right="475"/>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Critical Infrastructure</w:t>
            </w:r>
          </w:p>
        </w:tc>
        <w:tc>
          <w:tcPr>
            <w:tcW w:w="1460" w:type="dxa"/>
            <w:vAlign w:val="bottom"/>
          </w:tcPr>
          <w:p>
            <w:pPr>
              <w:jc w:val="right"/>
              <w:ind w:right="477"/>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440" w:type="dxa"/>
            <w:vAlign w:val="bottom"/>
          </w:tcPr>
          <w:p>
            <w:pPr>
              <w:jc w:val="right"/>
              <w:ind w:right="475"/>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r>
      <w:tr>
        <w:trPr>
          <w:trHeight w:val="216"/>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Overall</w:t>
            </w:r>
          </w:p>
        </w:tc>
        <w:tc>
          <w:tcPr>
            <w:tcW w:w="1460" w:type="dxa"/>
            <w:vAlign w:val="bottom"/>
            <w:shd w:val="clear" w:color="auto" w:fill="CFF0FC"/>
          </w:tcPr>
          <w:p>
            <w:pPr>
              <w:jc w:val="right"/>
              <w:ind w:right="477"/>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475"/>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8"/>
                <w:szCs w:val="18"/>
                <w:color w:val="auto"/>
              </w:rPr>
            </w:pPr>
          </w:p>
        </w:tc>
      </w:tr>
    </w:tbl>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212" w:lineRule="exact"/>
        <w:rPr>
          <w:sz w:val="20"/>
          <w:szCs w:val="20"/>
          <w:color w:val="auto"/>
        </w:rPr>
      </w:pPr>
    </w:p>
    <w:p>
      <w:pPr>
        <w:ind w:right="40" w:firstLine="637"/>
        <w:spacing w:after="0" w:line="247" w:lineRule="auto"/>
        <w:rPr>
          <w:sz w:val="20"/>
          <w:szCs w:val="20"/>
          <w:color w:val="auto"/>
        </w:rPr>
      </w:pPr>
      <w:r>
        <w:rPr>
          <w:rFonts w:ascii="Arial" w:cs="Arial" w:eastAsia="Arial" w:hAnsi="Arial"/>
          <w:sz w:val="18"/>
          <w:szCs w:val="18"/>
          <w:color w:val="auto"/>
        </w:rPr>
        <w:t>We believe that the financial performance of our business and our future success are dependent upon many factors, including those highlighted in this section. Our operating performance will depend upon many variables, including the success of our growth strategies and the timing and size of investments and expenditures that we choose to undertake, as well as market growth and other factors that are not within our control.</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Government Spending</w:t>
      </w:r>
    </w:p>
    <w:p>
      <w:pPr>
        <w:spacing w:after="0" w:line="102" w:lineRule="exact"/>
        <w:rPr>
          <w:sz w:val="20"/>
          <w:szCs w:val="20"/>
          <w:color w:val="auto"/>
        </w:rPr>
      </w:pPr>
    </w:p>
    <w:p>
      <w:pPr>
        <w:ind w:right="20" w:firstLine="637"/>
        <w:spacing w:after="0" w:line="239" w:lineRule="auto"/>
        <w:rPr>
          <w:sz w:val="20"/>
          <w:szCs w:val="20"/>
          <w:color w:val="auto"/>
        </w:rPr>
      </w:pPr>
      <w:r>
        <w:rPr>
          <w:rFonts w:ascii="Arial" w:cs="Arial" w:eastAsia="Arial" w:hAnsi="Arial"/>
          <w:sz w:val="18"/>
          <w:szCs w:val="18"/>
          <w:color w:val="auto"/>
        </w:rPr>
        <w:t>Changes in the relative mix of government spending and areas of spending growth, with shifts in priorities on homeland security, intelligence, defense-related programs, infrastructure and urbanization, and continued increased spending on technology and innovation, including cybersecurity, artificial intelligence, connected communities and physical infrastructure, could impact our business and results of operations. Cost-cutting and efficiency initiatives, current and future budget restrictions, spending cuts and other efforts to reduce government spending could cause our government customers to reduce or delay funding or invest appropriated funds on a less consistent basis or not at all, and demand for our solutions or services could diminish. Furthermore, any disruption in the functioning of government agencies, including as a result of government closures and shutdowns, could have a negative impact on our operations and cause us to lose revenue or incur additional costs due to, among other things, our inability to deploy our staff to customer locations or facilities as a result of such disruptions.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Budget Uncertainty</w:t>
      </w:r>
    </w:p>
    <w:p>
      <w:pPr>
        <w:spacing w:after="0" w:line="102" w:lineRule="exact"/>
        <w:rPr>
          <w:sz w:val="20"/>
          <w:szCs w:val="20"/>
          <w:color w:val="auto"/>
        </w:rPr>
      </w:pPr>
    </w:p>
    <w:p>
      <w:pPr>
        <w:ind w:right="20" w:firstLine="637"/>
        <w:spacing w:after="0" w:line="239" w:lineRule="auto"/>
        <w:rPr>
          <w:sz w:val="20"/>
          <w:szCs w:val="20"/>
          <w:color w:val="auto"/>
        </w:rPr>
      </w:pPr>
      <w:r>
        <w:rPr>
          <w:rFonts w:ascii="Arial" w:cs="Arial" w:eastAsia="Arial" w:hAnsi="Arial"/>
          <w:sz w:val="18"/>
          <w:szCs w:val="18"/>
          <w:color w:val="auto"/>
        </w:rPr>
        <w:t>There is uncertainty around the timing, extent, nature and effect of Congressional and other U.S. government actions to address budgetary constraints, caps on the discretionary budget for defense and non-defense departments and agencies, and the ability of Congress to determine how to allocate the available budget authority and pass appropriations bills to fund both U.S. government departments and agencies that are, and those that are not, subject to the caps. Additionally, budget deficits and the growing U.S. national debt increase pressure on the U.S. government to reduce federal spending across all federal agencies, with uncertainty about the size and timing of those reductions. Furthermore, delays in the completion of future U.S. government budgets could in the future delay procurement of the federal government services we provide. A reduction in the amount of, or delays, or cancellations of funding for, services that we are contracted to provide to the U.S. government as a result of any of these impacts or related initiatives, legislation or otherwise could have a material adverse effect on our business and results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w:t>
      </w:r>
    </w:p>
    <w:p>
      <w:pPr>
        <w:spacing w:after="0" w:line="102" w:lineRule="exact"/>
        <w:rPr>
          <w:sz w:val="20"/>
          <w:szCs w:val="20"/>
          <w:color w:val="auto"/>
        </w:rPr>
      </w:pPr>
    </w:p>
    <w:p>
      <w:pPr>
        <w:ind w:firstLine="637"/>
        <w:spacing w:after="0" w:line="244" w:lineRule="auto"/>
        <w:rPr>
          <w:sz w:val="20"/>
          <w:szCs w:val="20"/>
          <w:color w:val="auto"/>
        </w:rPr>
      </w:pPr>
      <w:r>
        <w:rPr>
          <w:rFonts w:ascii="Arial" w:cs="Arial" w:eastAsia="Arial" w:hAnsi="Arial"/>
          <w:sz w:val="18"/>
          <w:szCs w:val="18"/>
          <w:color w:val="auto"/>
        </w:rPr>
        <w:t>Increased audit, review, investigation and general scrutiny by government agencies of performance under government contracts and compliance with the terms of those contracts and applicable laws could affect our operating results. Negative publicity and increased scrutiny of government contractors in general, including us, relating to government expenditures for contractor services and incidents involving the mishandling of sensitive or classified information, as well as the increasingly complex requirements of the U.S. Department of Defense and the U.S. Intelligence Community, including those related to cybersecurity, could impact our ability to perform in the markets we serve.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Markets</w:t>
      </w:r>
    </w:p>
    <w:p>
      <w:pPr>
        <w:spacing w:after="0" w:line="102" w:lineRule="exact"/>
        <w:rPr>
          <w:sz w:val="20"/>
          <w:szCs w:val="20"/>
          <w:color w:val="auto"/>
        </w:rPr>
      </w:pPr>
    </w:p>
    <w:p>
      <w:pPr>
        <w:ind w:right="120" w:firstLine="637"/>
        <w:spacing w:after="0"/>
        <w:rPr>
          <w:sz w:val="20"/>
          <w:szCs w:val="20"/>
          <w:color w:val="auto"/>
        </w:rPr>
      </w:pPr>
      <w:r>
        <w:rPr>
          <w:rFonts w:ascii="Arial" w:cs="Arial" w:eastAsia="Arial" w:hAnsi="Arial"/>
          <w:sz w:val="18"/>
          <w:szCs w:val="18"/>
          <w:color w:val="auto"/>
        </w:rPr>
        <w:t>The industries we operate in consist of a large number of enterprises ranging from small, niche-oriented companies to multi-billion-dollar corporations that serve many government and commercial customers. We compete on the basis of our technical expertise, technological innovation, our ability to deliver cost-effective multi-faceted services in a timely manner, our reputation and relationships with our customers, qualified and/or security-clearance personnel, and pricing. We believe that we are uniquely positioned to take advantage of the markets in which we operate because of our proven track record, long-term customer relationships, technology innovation, scalable and agile business offerings and world class talent. Our ability to effectively deliver on project engagements and successfully assist our customers affects our ability to win new contracts and drives our financial performance.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BlackHorse Solutions, Inc.</w:t>
      </w:r>
    </w:p>
    <w:p>
      <w:pPr>
        <w:spacing w:after="0" w:line="102" w:lineRule="exact"/>
        <w:rPr>
          <w:sz w:val="20"/>
          <w:szCs w:val="20"/>
          <w:color w:val="auto"/>
        </w:rPr>
      </w:pPr>
    </w:p>
    <w:p>
      <w:pPr>
        <w:ind w:right="160" w:firstLine="637"/>
        <w:spacing w:after="0" w:line="248" w:lineRule="auto"/>
        <w:rPr>
          <w:sz w:val="20"/>
          <w:szCs w:val="20"/>
          <w:color w:val="auto"/>
        </w:rPr>
      </w:pPr>
      <w:r>
        <w:rPr>
          <w:rFonts w:ascii="Arial" w:cs="Arial" w:eastAsia="Arial" w:hAnsi="Arial"/>
          <w:sz w:val="18"/>
          <w:szCs w:val="18"/>
          <w:color w:val="auto"/>
        </w:rPr>
        <w:t>On July 6, 2021, we acquired BlackHorse for $ 205.0 million. BlackHorse expands Parsons’ capabilities and products in next-generation military, intelligence, and space operations, specifically in cyber electronic warfare, and information dominance. The acquisition was funded by cash on-hand. The financial results of BlackHorse have been included in our consolidated results of operations from July 6,</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2021 onward.</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3"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Echo Ridge LLC</w:t>
      </w:r>
    </w:p>
    <w:p>
      <w:pPr>
        <w:spacing w:after="0" w:line="102" w:lineRule="exact"/>
        <w:rPr>
          <w:sz w:val="20"/>
          <w:szCs w:val="20"/>
          <w:color w:val="auto"/>
        </w:rPr>
      </w:pPr>
    </w:p>
    <w:p>
      <w:pPr>
        <w:ind w:right="60" w:firstLine="637"/>
        <w:spacing w:after="0" w:line="263" w:lineRule="auto"/>
        <w:rPr>
          <w:sz w:val="20"/>
          <w:szCs w:val="20"/>
          <w:color w:val="auto"/>
        </w:rPr>
      </w:pPr>
      <w:r>
        <w:rPr>
          <w:rFonts w:ascii="Arial" w:cs="Arial" w:eastAsia="Arial" w:hAnsi="Arial"/>
          <w:sz w:val="17"/>
          <w:szCs w:val="17"/>
          <w:color w:val="auto"/>
        </w:rPr>
        <w:t>On July 30, 2021, we acquired Echo Ridge LLC for $9.0 million. Echo Ridge adds position, navigation, and timing devices; modeling, simulation, test, and measurement tools; and deployable software defined radio products and signal processing services to Parsons’ space portfolio. The acquisition was funded by cash on-hand. The financial results of Echo Ridge have been included in our consolidated results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operations from July 30, 2021 onward.</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02" w:lineRule="exact"/>
        <w:rPr>
          <w:sz w:val="20"/>
          <w:szCs w:val="20"/>
          <w:color w:val="auto"/>
        </w:rPr>
      </w:pPr>
    </w:p>
    <w:p>
      <w:pPr>
        <w:ind w:firstLine="637"/>
        <w:spacing w:after="0" w:line="239" w:lineRule="auto"/>
        <w:rPr>
          <w:sz w:val="20"/>
          <w:szCs w:val="20"/>
          <w:color w:val="auto"/>
        </w:rPr>
      </w:pPr>
      <w:r>
        <w:rPr>
          <w:rFonts w:ascii="Arial" w:cs="Arial" w:eastAsia="Arial" w:hAnsi="Arial"/>
          <w:sz w:val="18"/>
          <w:szCs w:val="18"/>
          <w:color w:val="auto"/>
        </w:rPr>
        <w:t>Our results may be affected by variances as a result of weather conditions and contract award seasonality impacts that we experience across our businesses. The latter issue is typically driven by the U.S. federal government fiscal year-end, September 30. While not certain, it is not uncommon for U.S. government agencies to award task orders or complete other contract actions in the weeks before the end of the U.S. federal government fiscal year in order to avoid the loss of unexpended U.S. federal government fiscal year funds. In addition, we have also historically experienced higher bid and proposal costs in the months leading up to the U.S. federal government fiscal year-end as we pursue new contract opportunities expected to be awarded early in the following U.S. federal government fiscal year as a result of funding appropriated for that U.S. federal government fiscal year. Furthermore, many U.S. state governments with fiscal years ending on June 30 tend to accelerate spending during their first quarter, when new funding becomes available. We may continue to experience this seasonality in future periods, and our results of operations may be affected by 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2" w:lineRule="exact"/>
        <w:rPr>
          <w:sz w:val="20"/>
          <w:szCs w:val="20"/>
          <w:color w:val="auto"/>
        </w:rPr>
      </w:pPr>
    </w:p>
    <w:p>
      <w:pPr>
        <w:ind w:right="80" w:firstLine="637"/>
        <w:spacing w:after="0" w:line="253" w:lineRule="auto"/>
        <w:rPr>
          <w:sz w:val="20"/>
          <w:szCs w:val="20"/>
          <w:color w:val="auto"/>
        </w:rPr>
      </w:pPr>
      <w:r>
        <w:rPr>
          <w:rFonts w:ascii="Arial" w:cs="Arial" w:eastAsia="Arial" w:hAnsi="Arial"/>
          <w:sz w:val="18"/>
          <w:szCs w:val="18"/>
          <w:color w:val="auto"/>
        </w:rPr>
        <w:t>Our revenue consists of both services provided by our employees and pass-through fees from subcontractors and other direct costs. Our Federal Solutions segment derives revenue primarily from the U.S. federal government and our Critical Infrastructure segment derives revenue primarily from government and commercial customers.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enter into the following types of contracts with our customers:</w:t>
      </w:r>
    </w:p>
    <w:p>
      <w:pPr>
        <w:spacing w:after="0" w:line="104" w:lineRule="exact"/>
        <w:rPr>
          <w:sz w:val="20"/>
          <w:szCs w:val="20"/>
          <w:color w:val="auto"/>
        </w:rPr>
      </w:pPr>
    </w:p>
    <w:p>
      <w:pPr>
        <w:ind w:left="1380" w:right="200" w:hanging="373"/>
        <w:spacing w:after="0" w:line="246" w:lineRule="auto"/>
        <w:tabs>
          <w:tab w:leader="none" w:pos="138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Under cost-plus contracts, we are reimbursed for allowable or otherwise defined costs incurred, plus a fee. The contracts may also include incentives for various performance criteria, including quality, timeliness, safety and cost-effectiveness. In addition, costs are generally subject to review by clients and regulatory audit agencies, and such reviews could result in costs being disputed as non-reimbursable under the terms of the contract.</w:t>
      </w:r>
    </w:p>
    <w:p>
      <w:pPr>
        <w:spacing w:after="0" w:line="68" w:lineRule="exact"/>
        <w:rPr>
          <w:rFonts w:ascii="Times New Roman" w:cs="Times New Roman" w:eastAsia="Times New Roman" w:hAnsi="Times New Roman"/>
          <w:sz w:val="18"/>
          <w:szCs w:val="18"/>
          <w:color w:val="auto"/>
        </w:rPr>
      </w:pPr>
    </w:p>
    <w:p>
      <w:pPr>
        <w:jc w:val="both"/>
        <w:ind w:left="1380" w:right="440" w:hanging="373"/>
        <w:spacing w:after="0" w:line="252" w:lineRule="auto"/>
        <w:tabs>
          <w:tab w:leader="none" w:pos="138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Under time-and-materials contracts, hourly billing rates are negotiated and charged to clients based on the actual time spent on a project. In addition, clients reimburse actual out-of-pocket costs for other direct costs and expenses that are incurred in connection with the performance under the contract.</w:t>
      </w:r>
    </w:p>
    <w:p>
      <w:pPr>
        <w:spacing w:after="0" w:line="62" w:lineRule="exact"/>
        <w:rPr>
          <w:rFonts w:ascii="Times New Roman" w:cs="Times New Roman" w:eastAsia="Times New Roman" w:hAnsi="Times New Roman"/>
          <w:sz w:val="18"/>
          <w:szCs w:val="18"/>
          <w:color w:val="auto"/>
        </w:rPr>
      </w:pPr>
    </w:p>
    <w:p>
      <w:pPr>
        <w:ind w:left="1380" w:hanging="373"/>
        <w:spacing w:after="0"/>
        <w:tabs>
          <w:tab w:leader="none" w:pos="138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Under fixed-price contracts, clients pay an agreed fixed-amount negotiated in advance for a specified scope of work.</w:t>
      </w:r>
    </w:p>
    <w:p>
      <w:pPr>
        <w:spacing w:after="0" w:line="251" w:lineRule="exact"/>
        <w:rPr>
          <w:sz w:val="20"/>
          <w:szCs w:val="20"/>
          <w:color w:val="auto"/>
        </w:rPr>
      </w:pPr>
    </w:p>
    <w:p>
      <w:pPr>
        <w:ind w:right="80" w:firstLine="637"/>
        <w:spacing w:after="0" w:line="253" w:lineRule="auto"/>
        <w:rPr>
          <w:sz w:val="20"/>
          <w:szCs w:val="20"/>
          <w:color w:val="auto"/>
        </w:rPr>
      </w:pPr>
      <w:r>
        <w:rPr>
          <w:rFonts w:ascii="Arial" w:cs="Arial" w:eastAsia="Arial" w:hAnsi="Arial"/>
          <w:sz w:val="18"/>
          <w:szCs w:val="18"/>
          <w:color w:val="auto"/>
        </w:rPr>
        <w:t>Refer to “Management’s Discussion and Analysis of Financial Condition and Results of Operations—Critical Accounting Policies and Estimates” and “Note 2—Summary of Significant Accounting Policies” in the notes to our consolidated financial statements included in the Company’s Form 10-K for the year ended December 31, 2021 for a description of our policies on revenue recognition.</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14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March 31, 2022</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March 31, 2021</w:t>
            </w:r>
          </w:p>
        </w:tc>
        <w:tc>
          <w:tcPr>
            <w:tcW w:w="560" w:type="dxa"/>
            <w:vAlign w:val="bottom"/>
          </w:tcPr>
          <w:p>
            <w:pPr>
              <w:spacing w:after="0"/>
              <w:rPr>
                <w:sz w:val="14"/>
                <w:szCs w:val="14"/>
                <w:color w:val="auto"/>
              </w:rPr>
            </w:pPr>
          </w:p>
        </w:tc>
      </w:tr>
      <w:tr>
        <w:trPr>
          <w:trHeight w:val="210"/>
        </w:trPr>
        <w:tc>
          <w:tcPr>
            <w:tcW w:w="580" w:type="dxa"/>
            <w:vAlign w:val="bottom"/>
          </w:tcPr>
          <w:p>
            <w:pPr>
              <w:spacing w:after="0"/>
              <w:rPr>
                <w:sz w:val="18"/>
                <w:szCs w:val="18"/>
                <w:color w:val="auto"/>
              </w:rPr>
            </w:pPr>
          </w:p>
        </w:tc>
        <w:tc>
          <w:tcPr>
            <w:tcW w:w="3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Fixed-price</w:t>
            </w:r>
          </w:p>
        </w:tc>
        <w:tc>
          <w:tcPr>
            <w:tcW w:w="3620" w:type="dxa"/>
            <w:vAlign w:val="bottom"/>
            <w:tcBorders>
              <w:top w:val="single" w:sz="8" w:color="CFF0FC"/>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7"/>
              </w:rPr>
              <w:t>25.4%</w:t>
            </w:r>
          </w:p>
        </w:tc>
        <w:tc>
          <w:tcPr>
            <w:tcW w:w="240" w:type="dxa"/>
            <w:vAlign w:val="bottom"/>
            <w:tcBorders>
              <w:top w:val="single" w:sz="8" w:color="CFF0FC"/>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26.3%</w:t>
            </w:r>
          </w:p>
        </w:tc>
        <w:tc>
          <w:tcPr>
            <w:tcW w:w="100" w:type="dxa"/>
            <w:vAlign w:val="bottom"/>
            <w:tcBorders>
              <w:top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Time-and-materials</w:t>
            </w:r>
          </w:p>
        </w:tc>
        <w:tc>
          <w:tcPr>
            <w:tcW w:w="5060" w:type="dxa"/>
            <w:vAlign w:val="bottom"/>
            <w:gridSpan w:val="2"/>
          </w:tcPr>
          <w:p>
            <w:pPr>
              <w:jc w:val="center"/>
              <w:ind w:left="3510"/>
              <w:spacing w:after="0"/>
              <w:rPr>
                <w:sz w:val="20"/>
                <w:szCs w:val="20"/>
                <w:color w:val="auto"/>
              </w:rPr>
            </w:pPr>
            <w:r>
              <w:rPr>
                <w:rFonts w:ascii="Arial" w:cs="Arial" w:eastAsia="Arial" w:hAnsi="Arial"/>
                <w:sz w:val="18"/>
                <w:szCs w:val="18"/>
                <w:color w:val="auto"/>
                <w:w w:val="97"/>
              </w:rPr>
              <w:t>27.7%</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Cost-plus</w:t>
            </w:r>
          </w:p>
        </w:tc>
        <w:tc>
          <w:tcPr>
            <w:tcW w:w="5060" w:type="dxa"/>
            <w:vAlign w:val="bottom"/>
            <w:gridSpan w:val="2"/>
            <w:shd w:val="clear" w:color="auto" w:fill="CFF0FC"/>
          </w:tcPr>
          <w:p>
            <w:pPr>
              <w:jc w:val="center"/>
              <w:ind w:left="3510"/>
              <w:spacing w:after="0"/>
              <w:rPr>
                <w:sz w:val="20"/>
                <w:szCs w:val="20"/>
                <w:color w:val="auto"/>
              </w:rPr>
            </w:pPr>
            <w:r>
              <w:rPr>
                <w:rFonts w:ascii="Arial" w:cs="Arial" w:eastAsia="Arial" w:hAnsi="Arial"/>
                <w:sz w:val="18"/>
                <w:szCs w:val="18"/>
                <w:color w:val="auto"/>
                <w:w w:val="97"/>
              </w:rPr>
              <w:t>46.9%</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679"/>
        </w:trPr>
        <w:tc>
          <w:tcPr>
            <w:tcW w:w="5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620" w:type="dxa"/>
            <w:vAlign w:val="bottom"/>
          </w:tcPr>
          <w:p>
            <w:pPr>
              <w:jc w:val="right"/>
              <w:ind w:right="1630"/>
              <w:spacing w:after="0"/>
              <w:rPr>
                <w:sz w:val="20"/>
                <w:szCs w:val="20"/>
                <w:color w:val="auto"/>
              </w:rPr>
            </w:pPr>
            <w:r>
              <w:rPr>
                <w:rFonts w:ascii="Arial" w:cs="Arial" w:eastAsia="Arial" w:hAnsi="Arial"/>
                <w:sz w:val="18"/>
                <w:szCs w:val="18"/>
                <w:color w:val="auto"/>
              </w:rPr>
              <w:t>28</w:t>
            </w: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98"/>
        </w:trPr>
        <w:tc>
          <w:tcPr>
            <w:tcW w:w="580" w:type="dxa"/>
            <w:vAlign w:val="bottom"/>
            <w:tcBorders>
              <w:bottom w:val="single" w:sz="8" w:color="9A9A9A"/>
            </w:tcBorders>
          </w:tcPr>
          <w:p>
            <w:pPr>
              <w:spacing w:after="0"/>
              <w:rPr>
                <w:sz w:val="8"/>
                <w:szCs w:val="8"/>
                <w:color w:val="auto"/>
              </w:rPr>
            </w:pPr>
          </w:p>
        </w:tc>
        <w:tc>
          <w:tcPr>
            <w:tcW w:w="3240" w:type="dxa"/>
            <w:vAlign w:val="bottom"/>
            <w:tcBorders>
              <w:bottom w:val="single" w:sz="8" w:color="9A9A9A"/>
            </w:tcBorders>
          </w:tcPr>
          <w:p>
            <w:pPr>
              <w:spacing w:after="0"/>
              <w:rPr>
                <w:sz w:val="8"/>
                <w:szCs w:val="8"/>
                <w:color w:val="auto"/>
              </w:rPr>
            </w:pPr>
          </w:p>
        </w:tc>
        <w:tc>
          <w:tcPr>
            <w:tcW w:w="362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3" w:right="339" w:bottom="1440" w:gutter="0" w:footer="0" w:header="0"/>
        </w:sectPr>
      </w:pPr>
    </w:p>
    <w:bookmarkStart w:id="30" w:name="page31"/>
    <w:bookmarkEnd w:id="30"/>
    <w:p>
      <w:pPr>
        <w:ind w:right="20" w:firstLine="637"/>
        <w:spacing w:after="0" w:line="238" w:lineRule="auto"/>
        <w:rPr>
          <w:sz w:val="20"/>
          <w:szCs w:val="20"/>
          <w:color w:val="auto"/>
        </w:rPr>
      </w:pPr>
      <w:r>
        <w:rPr>
          <w:rFonts w:ascii="Arial" w:cs="Arial" w:eastAsia="Arial" w:hAnsi="Arial"/>
          <w:sz w:val="18"/>
          <w:szCs w:val="18"/>
          <w:color w:val="auto"/>
        </w:rPr>
        <w:t>The amount of risk and potential reward varies under each type of contract. Under cost-plus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direct contract costs and expenses at cost. We assume financial risk on time-and-materials contracts because our labor costs may exceed the negotiated billing rates. Profit margins on well-managed time-and-materials contracts tend to be higher than profit margins on cost-plus contracts as long as we are able to staff those contracts with people who have an appropriate skill set. Under fixed-price contracts, we are required to deliver the objectives under the contract for a pre-determined price. Compared to time-and-materials and cost-plus contracts, fixed-price contracts generally offer higher profit margin opportunities because we receive the full benefit of any cost savings, but they also generally involve greater financial risk because we bear the risk of any cost overruns. In the aggregate, the contract type mix in our revenue for any given period will affect that period’s profitability. Over time, we have experienced a relatively stable contract mix.</w:t>
      </w:r>
    </w:p>
    <w:p>
      <w:pPr>
        <w:spacing w:after="0" w:line="186" w:lineRule="exact"/>
        <w:rPr>
          <w:sz w:val="20"/>
          <w:szCs w:val="20"/>
          <w:color w:val="auto"/>
        </w:rPr>
      </w:pPr>
    </w:p>
    <w:p>
      <w:pPr>
        <w:ind w:right="200" w:firstLine="637"/>
        <w:spacing w:after="0" w:line="253" w:lineRule="auto"/>
        <w:rPr>
          <w:sz w:val="20"/>
          <w:szCs w:val="20"/>
          <w:color w:val="auto"/>
        </w:rPr>
      </w:pPr>
      <w:r>
        <w:rPr>
          <w:rFonts w:ascii="Arial" w:cs="Arial" w:eastAsia="Arial" w:hAnsi="Arial"/>
          <w:sz w:val="18"/>
          <w:szCs w:val="18"/>
          <w:color w:val="auto"/>
        </w:rPr>
        <w:t>Our recognition of profit on long-term contracts requires the use of assumptions related to transaction price and total cost of completion. Estimates are continually evaluated as work progresses and are revised when necessary. When a change in estimated cost or transaction price is determined to have an impact on contract profit, we record a positive or negative adjustment to revenue.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Ventures</w:t>
      </w:r>
    </w:p>
    <w:p>
      <w:pPr>
        <w:spacing w:after="0" w:line="102" w:lineRule="exact"/>
        <w:rPr>
          <w:sz w:val="20"/>
          <w:szCs w:val="20"/>
          <w:color w:val="auto"/>
        </w:rPr>
      </w:pPr>
    </w:p>
    <w:p>
      <w:pPr>
        <w:ind w:firstLine="637"/>
        <w:spacing w:after="0" w:line="244" w:lineRule="auto"/>
        <w:rPr>
          <w:sz w:val="20"/>
          <w:szCs w:val="20"/>
          <w:color w:val="auto"/>
        </w:rPr>
      </w:pPr>
      <w:r>
        <w:rPr>
          <w:rFonts w:ascii="Arial" w:cs="Arial" w:eastAsia="Arial" w:hAnsi="Arial"/>
          <w:sz w:val="18"/>
          <w:szCs w:val="18"/>
          <w:color w:val="auto"/>
        </w:rPr>
        <w:t>We conduct a portion of our business through joint ventures or similar partnership arrangements. For the joint ventures we control, we consolidate all the revenues and expenses in our consolidated statements of income (including revenues and expenses attributable to noncontrolling interests). For the joint ventures we do not control, we recognize equity in earnings (loss) of unconsolidated joint ventures. Our revenues included amounts related to services we provided to our unconsolidated joint ventures for the three months ended March 31, 2022 and March 31, 2021 of $47.3 million and $53.7 million, respectively.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02" w:lineRule="exact"/>
        <w:rPr>
          <w:sz w:val="20"/>
          <w:szCs w:val="20"/>
          <w:color w:val="auto"/>
        </w:rPr>
      </w:pPr>
    </w:p>
    <w:p>
      <w:pPr>
        <w:ind w:right="180" w:firstLine="637"/>
        <w:spacing w:after="0" w:line="244" w:lineRule="auto"/>
        <w:rPr>
          <w:sz w:val="20"/>
          <w:szCs w:val="20"/>
          <w:color w:val="auto"/>
        </w:rPr>
      </w:pPr>
      <w:r>
        <w:rPr>
          <w:rFonts w:ascii="Arial" w:cs="Arial" w:eastAsia="Arial" w:hAnsi="Arial"/>
          <w:sz w:val="18"/>
          <w:szCs w:val="18"/>
          <w:color w:val="auto"/>
        </w:rPr>
        <w:t>Operating costs and expenses primarily include direct costs of contracts and selling, general and administrative expenses. Costs associated with compensation-related expenses for our people and facilities, which includes ESOP contribution expenses, are the most significant component of our operating expenses. Total ESOP contribution expense for the three months ended March 31, 2022 and March 31, 2021 was $13.1 million and $13.2 million, respectively, and is recorded in “Direct cost of contracts” and “Selling, general and administrative expenses.”</w:t>
      </w:r>
    </w:p>
    <w:p>
      <w:pPr>
        <w:spacing w:after="0" w:line="176" w:lineRule="exact"/>
        <w:rPr>
          <w:sz w:val="20"/>
          <w:szCs w:val="20"/>
          <w:color w:val="auto"/>
        </w:rPr>
      </w:pPr>
    </w:p>
    <w:p>
      <w:pPr>
        <w:ind w:right="60" w:firstLine="637"/>
        <w:spacing w:after="0" w:line="271" w:lineRule="auto"/>
        <w:rPr>
          <w:sz w:val="20"/>
          <w:szCs w:val="20"/>
          <w:color w:val="auto"/>
        </w:rPr>
      </w:pPr>
      <w:r>
        <w:rPr>
          <w:rFonts w:ascii="Arial" w:cs="Arial" w:eastAsia="Arial" w:hAnsi="Arial"/>
          <w:sz w:val="18"/>
          <w:szCs w:val="18"/>
          <w:color w:val="auto"/>
        </w:rPr>
        <w:t>Direct costs of contracts consist of direct labor and associated fringe benefits, indirect overhead, subcontractor and materials (“pass-through costs”), travel expenses and other expenses incurred to perform on contracts.</w:t>
      </w:r>
    </w:p>
    <w:p>
      <w:pPr>
        <w:spacing w:after="0" w:line="154" w:lineRule="exact"/>
        <w:rPr>
          <w:sz w:val="20"/>
          <w:szCs w:val="20"/>
          <w:color w:val="auto"/>
        </w:rPr>
      </w:pPr>
    </w:p>
    <w:p>
      <w:pPr>
        <w:ind w:right="740" w:firstLine="637"/>
        <w:spacing w:after="0" w:line="271" w:lineRule="auto"/>
        <w:rPr>
          <w:sz w:val="20"/>
          <w:szCs w:val="20"/>
          <w:color w:val="auto"/>
        </w:rPr>
      </w:pPr>
      <w:r>
        <w:rPr>
          <w:rFonts w:ascii="Arial" w:cs="Arial" w:eastAsia="Arial" w:hAnsi="Arial"/>
          <w:sz w:val="18"/>
          <w:szCs w:val="18"/>
          <w:color w:val="auto"/>
        </w:rPr>
        <w:t>Selling, general and administrative expenses (“SG&amp;A”) include salaries and wages and fringe benefits of our employees not performing work directly for customers, facility costs and other costs related to these indirect functions.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income and expenses primarily consist of interest income, interest expense and other income, net.</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income primarily consists of interest earned on U.S. government money market funds.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expense consists of interest expense incurred under our Senior Notes, Convertible Senior Notes, and Credit Agreement.</w:t>
      </w:r>
    </w:p>
    <w:p>
      <w:pPr>
        <w:spacing w:after="0" w:line="212" w:lineRule="exact"/>
        <w:rPr>
          <w:sz w:val="20"/>
          <w:szCs w:val="20"/>
          <w:color w:val="auto"/>
        </w:rPr>
      </w:pPr>
    </w:p>
    <w:p>
      <w:pPr>
        <w:ind w:right="640" w:firstLine="637"/>
        <w:spacing w:after="0" w:line="271" w:lineRule="auto"/>
        <w:rPr>
          <w:sz w:val="20"/>
          <w:szCs w:val="20"/>
          <w:color w:val="auto"/>
        </w:rPr>
      </w:pPr>
      <w:r>
        <w:rPr>
          <w:rFonts w:ascii="Arial" w:cs="Arial" w:eastAsia="Arial" w:hAnsi="Arial"/>
          <w:sz w:val="18"/>
          <w:szCs w:val="18"/>
          <w:color w:val="auto"/>
        </w:rPr>
        <w:t>Other income, net primarily consists of gain or loss on sale of assets, sublease income and transaction gain or loss related to movements in foreign currency exchange rates.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10" w:lineRule="exact"/>
        <w:rPr>
          <w:sz w:val="20"/>
          <w:szCs w:val="20"/>
          <w:color w:val="auto"/>
        </w:rPr>
      </w:pPr>
    </w:p>
    <w:p>
      <w:pPr>
        <w:ind w:firstLine="637"/>
        <w:spacing w:after="0" w:line="271" w:lineRule="auto"/>
        <w:rPr>
          <w:sz w:val="20"/>
          <w:szCs w:val="20"/>
          <w:color w:val="auto"/>
        </w:rPr>
      </w:pPr>
      <w:r>
        <w:rPr>
          <w:rFonts w:ascii="Arial" w:cs="Arial" w:eastAsia="Arial" w:hAnsi="Arial"/>
          <w:sz w:val="18"/>
          <w:szCs w:val="18"/>
          <w:color w:val="auto"/>
        </w:rPr>
        <w:t>The following table sets forth Adjusted EBITDA, Net Income Margin, and Adjusted EBITDA Margin for the three months ended March 31, 2022 and March 31, 2021.</w:t>
      </w:r>
    </w:p>
    <w:p>
      <w:pPr>
        <w:spacing w:after="0" w:line="25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2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4"/>
          </w:tcPr>
          <w:p>
            <w:pPr>
              <w:jc w:val="right"/>
              <w:ind w:right="815"/>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80" w:type="dxa"/>
            <w:vAlign w:val="bottom"/>
            <w:vMerge w:val="continue"/>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 2022</w:t>
            </w:r>
          </w:p>
        </w:tc>
        <w:tc>
          <w:tcPr>
            <w:tcW w:w="140" w:type="dxa"/>
            <w:vAlign w:val="bottom"/>
          </w:tcPr>
          <w:p>
            <w:pPr>
              <w:spacing w:after="0"/>
              <w:rPr>
                <w:sz w:val="14"/>
                <w:szCs w:val="14"/>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209"/>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 (1)</w:t>
            </w:r>
          </w:p>
        </w:tc>
        <w:tc>
          <w:tcPr>
            <w:tcW w:w="2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74,248</w:t>
            </w:r>
          </w:p>
        </w:tc>
        <w:tc>
          <w:tcPr>
            <w:tcW w:w="3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68,699</w:t>
            </w: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Net Income Margin (2)</w:t>
            </w: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Margin (3)</w:t>
            </w:r>
          </w:p>
        </w:tc>
        <w:tc>
          <w:tcPr>
            <w:tcW w:w="2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0" w:lineRule="exact"/>
        <w:rPr>
          <w:sz w:val="20"/>
          <w:szCs w:val="20"/>
          <w:color w:val="auto"/>
        </w:rPr>
      </w:pPr>
    </w:p>
    <w:p>
      <w:pPr>
        <w:ind w:left="1000" w:hanging="62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reconciliation of net income attributable to Parsons Corporation to Adjusted EBITDA is set forth below (in thousands).</w:t>
      </w:r>
    </w:p>
    <w:p>
      <w:pPr>
        <w:spacing w:after="0" w:line="76" w:lineRule="exact"/>
        <w:rPr>
          <w:rFonts w:ascii="Arial" w:cs="Arial" w:eastAsia="Arial" w:hAnsi="Arial"/>
          <w:sz w:val="18"/>
          <w:szCs w:val="18"/>
          <w:color w:val="auto"/>
        </w:rPr>
      </w:pPr>
    </w:p>
    <w:p>
      <w:pPr>
        <w:ind w:left="1000" w:hanging="62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Income Margin is calculated as net income including noncontrolling interest divided by revenue in the applicable period</w:t>
      </w:r>
    </w:p>
    <w:p>
      <w:pPr>
        <w:spacing w:after="0" w:line="144" w:lineRule="exact"/>
        <w:rPr>
          <w:rFonts w:ascii="Arial" w:cs="Arial" w:eastAsia="Arial" w:hAnsi="Arial"/>
          <w:sz w:val="18"/>
          <w:szCs w:val="18"/>
          <w:color w:val="auto"/>
        </w:rPr>
      </w:pPr>
    </w:p>
    <w:p>
      <w:pPr>
        <w:ind w:left="1000" w:hanging="62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Adjusted EBITDA Margin is calculated as Adjusted EBITDA divided by revenue in the applicable period.</w:t>
      </w:r>
    </w:p>
    <w:p>
      <w:pPr>
        <w:spacing w:after="0" w:line="3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5"/>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r>
      <w:tr>
        <w:trPr>
          <w:trHeight w:val="169"/>
        </w:trPr>
        <w:tc>
          <w:tcPr>
            <w:tcW w:w="6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2021</w:t>
            </w:r>
          </w:p>
        </w:tc>
      </w:tr>
      <w:tr>
        <w:trPr>
          <w:trHeight w:val="210"/>
        </w:trPr>
        <w:tc>
          <w:tcPr>
            <w:tcW w:w="6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Parsons Corporation</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20,667</w:t>
            </w: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9,039</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840" w:type="dxa"/>
            <w:vAlign w:val="bottom"/>
          </w:tcPr>
          <w:p>
            <w:pPr>
              <w:ind w:left="24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3,873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4,443</w:t>
            </w: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8,119</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5,375</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30,509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34,673</w:t>
            </w: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3,176</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4,975</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240"/>
              <w:spacing w:after="0"/>
              <w:rPr>
                <w:sz w:val="20"/>
                <w:szCs w:val="20"/>
                <w:color w:val="auto"/>
              </w:rPr>
            </w:pPr>
            <w:r>
              <w:rPr>
                <w:rFonts w:ascii="Arial" w:cs="Arial" w:eastAsia="Arial" w:hAnsi="Arial"/>
                <w:sz w:val="18"/>
                <w:szCs w:val="18"/>
                <w:color w:val="auto"/>
              </w:rPr>
              <w:t>Equity-based compensation</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3,898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6,980</w:t>
            </w: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Transaction-related costs (a)</w:t>
            </w: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2,398</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2,646</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240"/>
              <w:spacing w:after="0"/>
              <w:rPr>
                <w:sz w:val="20"/>
                <w:szCs w:val="20"/>
                <w:color w:val="auto"/>
              </w:rPr>
            </w:pPr>
            <w:r>
              <w:rPr>
                <w:rFonts w:ascii="Arial" w:cs="Arial" w:eastAsia="Arial" w:hAnsi="Arial"/>
                <w:sz w:val="18"/>
                <w:szCs w:val="18"/>
                <w:color w:val="auto"/>
              </w:rPr>
              <w:t>Restructuring (b)</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w:t>
            </w:r>
          </w:p>
        </w:tc>
        <w:tc>
          <w:tcPr>
            <w:tcW w:w="1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1,395</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FF0FC"/>
          </w:tcPr>
          <w:p>
            <w:pPr>
              <w:spacing w:after="0"/>
              <w:rPr>
                <w:sz w:val="18"/>
                <w:szCs w:val="18"/>
                <w:color w:val="auto"/>
              </w:rPr>
            </w:pPr>
          </w:p>
        </w:tc>
      </w:tr>
      <w:tr>
        <w:trPr>
          <w:trHeight w:val="210"/>
        </w:trPr>
        <w:tc>
          <w:tcPr>
            <w:tcW w:w="6840" w:type="dxa"/>
            <w:vAlign w:val="bottom"/>
          </w:tcPr>
          <w:p>
            <w:pPr>
              <w:ind w:left="240"/>
              <w:spacing w:after="0"/>
              <w:rPr>
                <w:sz w:val="20"/>
                <w:szCs w:val="20"/>
                <w:color w:val="auto"/>
              </w:rPr>
            </w:pPr>
            <w:r>
              <w:rPr>
                <w:rFonts w:ascii="Arial" w:cs="Arial" w:eastAsia="Arial" w:hAnsi="Arial"/>
                <w:sz w:val="18"/>
                <w:szCs w:val="18"/>
                <w:color w:val="auto"/>
              </w:rPr>
              <w:t>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74,248</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68,699</w:t>
            </w:r>
          </w:p>
        </w:tc>
        <w:tc>
          <w:tcPr>
            <w:tcW w:w="100" w:type="dxa"/>
            <w:vAlign w:val="bottom"/>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0" w:lineRule="exact"/>
        <w:rPr>
          <w:sz w:val="20"/>
          <w:szCs w:val="20"/>
          <w:color w:val="auto"/>
        </w:rPr>
      </w:pPr>
    </w:p>
    <w:p>
      <w:pPr>
        <w:ind w:left="640" w:right="120" w:hanging="632"/>
        <w:spacing w:after="0" w:line="245"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and other non-recurring transaction costs, primarily fees paid for professional services and employee retention.</w:t>
      </w:r>
    </w:p>
    <w:p>
      <w:pPr>
        <w:ind w:left="640" w:hanging="632"/>
        <w:spacing w:after="0" w:line="234"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Reflects costs associated with our corporate restructuring initiatives.</w:t>
      </w:r>
    </w:p>
    <w:p>
      <w:pPr>
        <w:ind w:left="640" w:right="100" w:hanging="632"/>
        <w:spacing w:after="0" w:line="250"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-666750</wp:posOffset>
            </wp:positionV>
            <wp:extent cx="9512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2" w:lineRule="exact"/>
        <w:rPr>
          <w:sz w:val="20"/>
          <w:szCs w:val="20"/>
          <w:color w:val="auto"/>
        </w:rPr>
      </w:pPr>
    </w:p>
    <w:p>
      <w:pPr>
        <w:ind w:right="140" w:firstLine="637"/>
        <w:spacing w:after="0" w:line="244" w:lineRule="auto"/>
        <w:rPr>
          <w:sz w:val="20"/>
          <w:szCs w:val="20"/>
          <w:color w:val="auto"/>
        </w:rPr>
      </w:pPr>
      <w:r>
        <w:rPr>
          <w:rFonts w:ascii="Arial" w:cs="Arial" w:eastAsia="Arial" w:hAnsi="Arial"/>
          <w:sz w:val="18"/>
          <w:szCs w:val="18"/>
          <w:color w:val="auto"/>
        </w:rPr>
        <w:t>Adjusted EBITDA is a supplemental measure of our operating performance used by management and our board of directors to assess our financial performance both on a segment and on a consolidated basis. We discuss Adjusted EBITDA because our management uses this measure for business planning purposes, including to manage the business against internal projected results of operations and measure the performance of the business generally. Adjusted EBITDA is frequently used by analysts, investors and other interested parties to evaluate companies in our industry.</w:t>
      </w:r>
    </w:p>
    <w:p>
      <w:pPr>
        <w:spacing w:after="0" w:line="176" w:lineRule="exact"/>
        <w:rPr>
          <w:sz w:val="20"/>
          <w:szCs w:val="20"/>
          <w:color w:val="auto"/>
        </w:rPr>
      </w:pPr>
    </w:p>
    <w:p>
      <w:pPr>
        <w:ind w:right="40" w:firstLine="637"/>
        <w:spacing w:after="0" w:line="237" w:lineRule="auto"/>
        <w:rPr>
          <w:sz w:val="20"/>
          <w:szCs w:val="20"/>
          <w:color w:val="auto"/>
        </w:rPr>
      </w:pPr>
      <w:r>
        <w:rPr>
          <w:rFonts w:ascii="Arial" w:cs="Arial" w:eastAsia="Arial" w:hAnsi="Arial"/>
          <w:sz w:val="18"/>
          <w:szCs w:val="18"/>
          <w:color w:val="auto"/>
        </w:rPr>
        <w:t>Adjusted EBITDA is not a GAAP measure of our financial performance or liquidity and should not be considered as an alternative to net income as a measure of financial performance or cash flows from operations as measures of liquidity, or any other performance measure derived in accordance with GAAP. We define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we do not consider in our evaluation of ongoing operating performance. These other items include, among other things, impairment of goodwill, intangible and other assets, interest and other expenses recognized on litigation matters, expenses incurred in connection with acquisitions and other non-recurring transaction costs and expenses related to our corporate restructuring initiatives. Adjusted EBITDA should not be construed as an inference that our future results will be unaffected by unusual or non-recurring items. Additionally, Adjusted EBITDA is not intended to be a measure of free cash flow for management’s discretionary use, as it does not reflect tax payments, debt service requirements, capital expenditures and certain other cash costs that may recur in the future, including, among other things, cash requirements for working capital needs and cash costs to replace assets being depreciated and amortized. Management compensates for these limitations by relying on our GAAP results in addition to using Adjusted EBITDA supplementally. Our measure of Adjusted EBITDA is not necessarily comparable to similarly titled captions of other companies due to different methods of calculation.</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3" w:right="359" w:bottom="1440" w:gutter="0" w:footer="0" w:header="0"/>
        </w:sectPr>
      </w:pPr>
    </w:p>
    <w:bookmarkStart w:id="32" w:name="page33"/>
    <w:bookmarkEnd w:id="32"/>
    <w:p>
      <w:pPr>
        <w:ind w:right="240" w:firstLine="637"/>
        <w:spacing w:after="0" w:line="271"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Variance</w:t>
            </w: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40" w:type="dxa"/>
            <w:vAlign w:val="bottom"/>
            <w:vMerge w:val="restart"/>
          </w:tcPr>
          <w:p>
            <w:pPr>
              <w:spacing w:after="0"/>
              <w:rPr>
                <w:sz w:val="20"/>
                <w:szCs w:val="20"/>
                <w:color w:val="auto"/>
              </w:rPr>
            </w:pPr>
            <w:r>
              <w:rPr>
                <w:rFonts w:ascii="Arial" w:cs="Arial" w:eastAsia="Arial" w:hAnsi="Arial"/>
                <w:sz w:val="18"/>
                <w:szCs w:val="18"/>
                <w:color w:val="auto"/>
              </w:rPr>
              <w:t>Federal Solutions Adjusted EBITDA attributable to Parsons</w:t>
            </w:r>
          </w:p>
        </w:tc>
        <w:tc>
          <w:tcPr>
            <w:tcW w:w="380" w:type="dxa"/>
            <w:vAlign w:val="bottom"/>
          </w:tcPr>
          <w:p>
            <w:pPr>
              <w:spacing w:after="0"/>
              <w:rPr>
                <w:sz w:val="14"/>
                <w:szCs w:val="14"/>
                <w:color w:val="auto"/>
              </w:rPr>
            </w:pP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31, 2022</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ind w:left="140"/>
              <w:spacing w:after="0"/>
              <w:rPr>
                <w:sz w:val="20"/>
                <w:szCs w:val="20"/>
                <w:color w:val="auto"/>
              </w:rPr>
            </w:pPr>
            <w:r>
              <w:rPr>
                <w:rFonts w:ascii="Arial" w:cs="Arial" w:eastAsia="Arial" w:hAnsi="Arial"/>
                <w:sz w:val="14"/>
                <w:szCs w:val="14"/>
                <w:b w:val="1"/>
                <w:bCs w:val="1"/>
                <w:color w:val="auto"/>
              </w:rPr>
              <w:t>Dollar</w:t>
            </w: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1"/>
        </w:trPr>
        <w:tc>
          <w:tcPr>
            <w:tcW w:w="53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340" w:type="dxa"/>
            <w:vAlign w:val="bottom"/>
          </w:tcPr>
          <w:p>
            <w:pPr>
              <w:spacing w:after="0"/>
              <w:rPr>
                <w:sz w:val="20"/>
                <w:szCs w:val="20"/>
                <w:color w:val="auto"/>
              </w:rPr>
            </w:pPr>
            <w:r>
              <w:rPr>
                <w:rFonts w:ascii="Arial" w:cs="Arial" w:eastAsia="Arial" w:hAnsi="Arial"/>
                <w:sz w:val="18"/>
                <w:szCs w:val="18"/>
                <w:color w:val="auto"/>
              </w:rPr>
              <w:t>Corporation</w:t>
            </w:r>
          </w:p>
        </w:tc>
        <w:tc>
          <w:tcPr>
            <w:tcW w:w="720" w:type="dxa"/>
            <w:vAlign w:val="bottom"/>
            <w:gridSpan w:val="2"/>
          </w:tcPr>
          <w:p>
            <w:pPr>
              <w:jc w:val="right"/>
              <w:ind w:right="159"/>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42,638</w:t>
            </w:r>
          </w:p>
        </w:tc>
        <w:tc>
          <w:tcPr>
            <w:tcW w:w="240" w:type="dxa"/>
            <w:vAlign w:val="bottom"/>
          </w:tcPr>
          <w:p>
            <w:pPr>
              <w:spacing w:after="0"/>
              <w:rPr>
                <w:sz w:val="19"/>
                <w:szCs w:val="19"/>
                <w:color w:val="auto"/>
              </w:rPr>
            </w:pPr>
          </w:p>
        </w:tc>
        <w:tc>
          <w:tcPr>
            <w:tcW w:w="600" w:type="dxa"/>
            <w:vAlign w:val="bottom"/>
          </w:tcPr>
          <w:p>
            <w:pPr>
              <w:jc w:val="right"/>
              <w:ind w:right="41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31,982</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10,656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197"/>
        </w:trPr>
        <w:tc>
          <w:tcPr>
            <w:tcW w:w="5340" w:type="dxa"/>
            <w:vAlign w:val="bottom"/>
            <w:shd w:val="clear" w:color="auto" w:fill="CFF0FC"/>
          </w:tcPr>
          <w:p>
            <w:pPr>
              <w:spacing w:after="0" w:line="197" w:lineRule="exact"/>
              <w:rPr>
                <w:sz w:val="20"/>
                <w:szCs w:val="20"/>
                <w:color w:val="auto"/>
              </w:rPr>
            </w:pPr>
            <w:r>
              <w:rPr>
                <w:rFonts w:ascii="Arial" w:cs="Arial" w:eastAsia="Arial" w:hAnsi="Arial"/>
                <w:sz w:val="18"/>
                <w:szCs w:val="18"/>
                <w:color w:val="auto"/>
              </w:rPr>
              <w:t>Critical Infrastructure Adjusted EBITDA attributable to Parsons</w:t>
            </w:r>
          </w:p>
        </w:tc>
        <w:tc>
          <w:tcPr>
            <w:tcW w:w="3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Corporation</w:t>
            </w:r>
          </w:p>
        </w:tc>
        <w:tc>
          <w:tcPr>
            <w:tcW w:w="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28,315</w:t>
            </w: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31,657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(3,342)</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Adjusted EBITDA attributable to noncontrolling interests</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3,295</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5,060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(1,765)</w:t>
            </w:r>
          </w:p>
        </w:tc>
        <w:tc>
          <w:tcPr>
            <w:tcW w:w="2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0"/>
        </w:trPr>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Adjusted EBITDA</w:t>
            </w:r>
          </w:p>
        </w:tc>
        <w:tc>
          <w:tcPr>
            <w:tcW w:w="38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59"/>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74,248</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ind w:right="41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68,699</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5,549</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08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780" w:firstLine="637"/>
        <w:spacing w:after="0" w:line="271" w:lineRule="auto"/>
        <w:rPr>
          <w:sz w:val="20"/>
          <w:szCs w:val="20"/>
          <w:color w:val="auto"/>
        </w:rPr>
      </w:pPr>
      <w:r>
        <w:rPr>
          <w:rFonts w:ascii="Arial" w:cs="Arial" w:eastAsia="Arial" w:hAnsi="Arial"/>
          <w:sz w:val="18"/>
          <w:szCs w:val="18"/>
          <w:color w:val="auto"/>
        </w:rPr>
        <w:t>The following table sets forth our results of operations for the three months ended March 31, 2022 and March 31, 2021 as a percentage of revenue.</w:t>
      </w:r>
    </w:p>
    <w:p>
      <w:pPr>
        <w:spacing w:after="0" w:line="25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318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4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4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March 31, 2022</w:t>
            </w:r>
          </w:p>
        </w:tc>
        <w:tc>
          <w:tcPr>
            <w:tcW w:w="320" w:type="dxa"/>
            <w:vAlign w:val="bottom"/>
          </w:tcPr>
          <w:p>
            <w:pPr>
              <w:spacing w:after="0"/>
              <w:rPr>
                <w:sz w:val="14"/>
                <w:szCs w:val="14"/>
                <w:color w:val="auto"/>
              </w:rPr>
            </w:pPr>
          </w:p>
        </w:tc>
        <w:tc>
          <w:tcPr>
            <w:tcW w:w="14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740" w:type="dxa"/>
            <w:vAlign w:val="bottom"/>
            <w:vMerge w:val="continue"/>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Direct costs of contracts</w:t>
            </w:r>
          </w:p>
        </w:tc>
        <w:tc>
          <w:tcPr>
            <w:tcW w:w="1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77.3%</w:t>
            </w: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Equity in earnings of unconsolidated joint ventures</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19.5%</w:t>
            </w: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240"/>
              <w:spacing w:after="0"/>
              <w:rPr>
                <w:sz w:val="20"/>
                <w:szCs w:val="20"/>
                <w:color w:val="auto"/>
              </w:rPr>
            </w:pPr>
            <w:r>
              <w:rPr>
                <w:rFonts w:ascii="Arial" w:cs="Arial" w:eastAsia="Arial" w:hAnsi="Arial"/>
                <w:sz w:val="18"/>
                <w:szCs w:val="18"/>
                <w:color w:val="auto"/>
              </w:rPr>
              <w:t>Operating income</w:t>
            </w: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vMerge w:val="continue"/>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7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vMerge w:val="continue"/>
            <w:shd w:val="clear" w:color="auto" w:fill="CFF0FC"/>
          </w:tcPr>
          <w:p>
            <w:pPr>
              <w:spacing w:after="0"/>
              <w:rPr>
                <w:sz w:val="18"/>
                <w:szCs w:val="18"/>
                <w:color w:val="auto"/>
              </w:rPr>
            </w:pPr>
          </w:p>
        </w:tc>
        <w:tc>
          <w:tcPr>
            <w:tcW w:w="1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w:t>
            </w: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Interest expense</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w:t>
            </w: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240"/>
              <w:spacing w:after="0"/>
              <w:rPr>
                <w:sz w:val="20"/>
                <w:szCs w:val="20"/>
                <w:color w:val="auto"/>
              </w:rPr>
            </w:pPr>
            <w:r>
              <w:rPr>
                <w:rFonts w:ascii="Arial" w:cs="Arial" w:eastAsia="Arial" w:hAnsi="Arial"/>
                <w:sz w:val="18"/>
                <w:szCs w:val="18"/>
                <w:color w:val="auto"/>
              </w:rPr>
              <w:t>Total other income (expense)</w:t>
            </w: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vMerge w:val="continue"/>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674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Income before income tax expense</w:t>
            </w: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vMerge w:val="continue"/>
            <w:shd w:val="clear" w:color="auto" w:fill="CFF0FC"/>
          </w:tcPr>
          <w:p>
            <w:pPr>
              <w:spacing w:after="0"/>
              <w:rPr>
                <w:sz w:val="18"/>
                <w:szCs w:val="18"/>
                <w:color w:val="auto"/>
              </w:rPr>
            </w:pPr>
          </w:p>
        </w:tc>
        <w:tc>
          <w:tcPr>
            <w:tcW w:w="1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3.4%</w:t>
            </w: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674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Net income including noncontrolling interests</w:t>
            </w: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vMerge w:val="continue"/>
            <w:shd w:val="clear" w:color="auto" w:fill="CFF0FC"/>
          </w:tcPr>
          <w:p>
            <w:pPr>
              <w:spacing w:after="0"/>
              <w:rPr>
                <w:sz w:val="18"/>
                <w:szCs w:val="18"/>
                <w:color w:val="auto"/>
              </w:rPr>
            </w:pPr>
          </w:p>
        </w:tc>
        <w:tc>
          <w:tcPr>
            <w:tcW w:w="1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w:t>
            </w: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674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Net income attributable to Parsons Corporation</w:t>
            </w: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vMerge w:val="continue"/>
            <w:shd w:val="clear" w:color="auto" w:fill="CFF0FC"/>
          </w:tcPr>
          <w:p>
            <w:pPr>
              <w:spacing w:after="0"/>
              <w:rPr>
                <w:sz w:val="18"/>
                <w:szCs w:val="18"/>
                <w:color w:val="auto"/>
              </w:rPr>
            </w:pPr>
          </w:p>
        </w:tc>
        <w:tc>
          <w:tcPr>
            <w:tcW w:w="1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w:t>
            </w: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74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3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Variance</w:t>
            </w: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60" w:type="dxa"/>
            <w:vAlign w:val="bottom"/>
            <w:tcBorders>
              <w:bottom w:val="single" w:sz="8" w:color="CFF0FC"/>
            </w:tcBorders>
            <w:vMerge w:val="continue"/>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2022</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Dollar</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949,069</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874,697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74,372</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20" w:firstLine="644"/>
        <w:spacing w:after="0" w:line="253" w:lineRule="auto"/>
        <w:rPr>
          <w:sz w:val="20"/>
          <w:szCs w:val="20"/>
          <w:color w:val="auto"/>
        </w:rPr>
      </w:pPr>
      <w:r>
        <w:rPr>
          <w:rFonts w:ascii="Arial" w:cs="Arial" w:eastAsia="Arial" w:hAnsi="Arial"/>
          <w:sz w:val="18"/>
          <w:szCs w:val="18"/>
          <w:color w:val="auto"/>
        </w:rPr>
        <w:t>Revenue increased $74.4 million for the three months ended March 31, 2022 when compared to the corresponding period last year, due to increases in revenue in both our Federal Solutions and Critical Infrastructure segments of $39.6 million and $34.8 million, respectively. See “Segment Results” below for a further discussion.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of contracts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20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Variance</w:t>
            </w: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20" w:type="dxa"/>
            <w:vAlign w:val="bottom"/>
            <w:tcBorders>
              <w:bottom w:val="single" w:sz="8" w:color="CFF0FC"/>
            </w:tcBorders>
            <w:vMerge w:val="continue"/>
          </w:tcPr>
          <w:p>
            <w:pPr>
              <w:spacing w:after="0"/>
              <w:rPr>
                <w:sz w:val="14"/>
                <w:szCs w:val="14"/>
                <w:color w:val="auto"/>
              </w:rPr>
            </w:pPr>
          </w:p>
        </w:tc>
        <w:tc>
          <w:tcPr>
            <w:tcW w:w="204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2022</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Dollar</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Direct costs of contracts</w:t>
            </w:r>
          </w:p>
        </w:tc>
        <w:tc>
          <w:tcPr>
            <w:tcW w:w="20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733,900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669,082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64,818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679"/>
        </w:trPr>
        <w:tc>
          <w:tcPr>
            <w:tcW w:w="372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720" w:type="dxa"/>
            <w:vAlign w:val="bottom"/>
            <w:tcBorders>
              <w:bottom w:val="single" w:sz="8" w:color="9A9A9A"/>
            </w:tcBorders>
          </w:tcPr>
          <w:p>
            <w:pPr>
              <w:spacing w:after="0"/>
              <w:rPr>
                <w:sz w:val="8"/>
                <w:szCs w:val="8"/>
                <w:color w:val="auto"/>
              </w:rPr>
            </w:pPr>
          </w:p>
        </w:tc>
        <w:tc>
          <w:tcPr>
            <w:tcW w:w="20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3" w:name="page34"/>
    <w:bookmarkEnd w:id="33"/>
    <w:p>
      <w:pPr>
        <w:jc w:val="both"/>
        <w:ind w:right="300" w:firstLine="637"/>
        <w:spacing w:after="0" w:line="253" w:lineRule="auto"/>
        <w:rPr>
          <w:sz w:val="20"/>
          <w:szCs w:val="20"/>
          <w:color w:val="auto"/>
        </w:rPr>
      </w:pPr>
      <w:r>
        <w:rPr>
          <w:rFonts w:ascii="Arial" w:cs="Arial" w:eastAsia="Arial" w:hAnsi="Arial"/>
          <w:sz w:val="18"/>
          <w:szCs w:val="18"/>
          <w:color w:val="auto"/>
        </w:rPr>
        <w:t>Direct cost of contracts increased $64.8 million for the three months ended March 31, 2022 when compared to the corresponding period last year, primarily due to increases of $ 34.6 million in our Critical Infrastructure segment and $30.2 million in our Federal Solutions segment. The increases were primarily due to an increase in business volume from recent contract awards and acquisitions.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earnings of unconsolidated joint ventures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3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Variance</w:t>
            </w: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680" w:type="dxa"/>
            <w:vAlign w:val="bottom"/>
            <w:tcBorders>
              <w:bottom w:val="single" w:sz="8" w:color="CFF0FC"/>
            </w:tcBorders>
            <w:vMerge w:val="continue"/>
          </w:tcPr>
          <w:p>
            <w:pPr>
              <w:spacing w:after="0"/>
              <w:rPr>
                <w:sz w:val="14"/>
                <w:szCs w:val="14"/>
                <w:color w:val="auto"/>
              </w:rPr>
            </w:pPr>
          </w:p>
        </w:tc>
        <w:tc>
          <w:tcPr>
            <w:tcW w:w="12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March 31, 2022</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Dollar</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of unconsolidated joint ventures</w:t>
            </w: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5,598</w:t>
            </w: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3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(1,932)</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20" w:firstLine="637"/>
        <w:spacing w:after="0" w:line="253" w:lineRule="auto"/>
        <w:rPr>
          <w:sz w:val="20"/>
          <w:szCs w:val="20"/>
          <w:color w:val="auto"/>
        </w:rPr>
      </w:pPr>
      <w:r>
        <w:rPr>
          <w:rFonts w:ascii="Arial" w:cs="Arial" w:eastAsia="Arial" w:hAnsi="Arial"/>
          <w:sz w:val="18"/>
          <w:szCs w:val="18"/>
          <w:color w:val="auto"/>
        </w:rPr>
        <w:t>Equity in earnings of unconsolidated joint ventures decreased $1.9 million for the three months ended March 31, 2022 compared to the corresponding period last year, primarily related to a change order which will delay joint venture profits to future periods, partially offset by new joint ventures.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3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Variance</w:t>
            </w: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60" w:type="dxa"/>
            <w:vAlign w:val="bottom"/>
            <w:tcBorders>
              <w:bottom w:val="single" w:sz="8" w:color="CFF0FC"/>
            </w:tcBorders>
            <w:vMerge w:val="continue"/>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2022</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Dollar</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185,077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187,522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(2,445)</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right="180" w:firstLine="637"/>
        <w:spacing w:after="0" w:line="253" w:lineRule="auto"/>
        <w:rPr>
          <w:sz w:val="20"/>
          <w:szCs w:val="20"/>
          <w:color w:val="auto"/>
        </w:rPr>
      </w:pPr>
      <w:r>
        <w:rPr>
          <w:rFonts w:ascii="Arial" w:cs="Arial" w:eastAsia="Arial" w:hAnsi="Arial"/>
          <w:sz w:val="18"/>
          <w:szCs w:val="18"/>
          <w:color w:val="auto"/>
        </w:rPr>
        <w:t>The decrease in SG&amp;A of $2.4 million for the three months ended March 31, 2022 when compared to the corresponding period last year was primarily due to a $4.3 million decrease in intangible asset amortization and a $3.1 million decrease in stock-based compensation costs. These decreases were partially offset by a $4.1 million increase from acquisitions and an increase of $0.9 million from other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income (expense)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4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Variance</w:t>
            </w:r>
          </w:p>
        </w:tc>
        <w:tc>
          <w:tcPr>
            <w:tcW w:w="11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740" w:type="dxa"/>
            <w:vAlign w:val="bottom"/>
            <w:tcBorders>
              <w:bottom w:val="single" w:sz="8" w:color="CFF0FC"/>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March 31, 2022</w:t>
            </w:r>
          </w:p>
        </w:tc>
        <w:tc>
          <w:tcPr>
            <w:tcW w:w="2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Dollar</w:t>
            </w: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474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(3,938)</w:t>
            </w:r>
          </w:p>
        </w:tc>
        <w:tc>
          <w:tcPr>
            <w:tcW w:w="1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(4,541)</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(1,791)</w:t>
            </w:r>
          </w:p>
        </w:tc>
        <w:tc>
          <w:tcPr>
            <w:tcW w:w="9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1,936</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260"/>
              <w:spacing w:after="0"/>
              <w:rPr>
                <w:sz w:val="20"/>
                <w:szCs w:val="20"/>
                <w:color w:val="auto"/>
              </w:rPr>
            </w:pPr>
            <w:r>
              <w:rPr>
                <w:rFonts w:ascii="Arial" w:cs="Arial" w:eastAsia="Arial" w:hAnsi="Arial"/>
                <w:sz w:val="18"/>
                <w:szCs w:val="18"/>
                <w:color w:val="auto"/>
              </w:rPr>
              <w:t>Total other income (expense)</w:t>
            </w: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(3,728)</w:t>
            </w:r>
          </w:p>
        </w:tc>
        <w:tc>
          <w:tcPr>
            <w:tcW w:w="2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(6,234)</w:t>
            </w:r>
          </w:p>
        </w:tc>
        <w:tc>
          <w:tcPr>
            <w:tcW w:w="240" w:type="dxa"/>
            <w:vAlign w:val="bottom"/>
            <w:vMerge w:val="continue"/>
          </w:tcPr>
          <w:p>
            <w:pPr>
              <w:spacing w:after="0"/>
              <w:rPr>
                <w:sz w:val="18"/>
                <w:szCs w:val="18"/>
                <w:color w:val="auto"/>
              </w:rPr>
            </w:pPr>
          </w:p>
        </w:tc>
        <w:tc>
          <w:tcPr>
            <w:tcW w:w="920" w:type="dxa"/>
            <w:vAlign w:val="bottom"/>
          </w:tcPr>
          <w:p>
            <w:pPr>
              <w:jc w:val="right"/>
              <w:ind w:right="73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2,506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right="60" w:firstLine="637"/>
        <w:spacing w:after="0" w:line="253" w:lineRule="auto"/>
        <w:rPr>
          <w:sz w:val="20"/>
          <w:szCs w:val="20"/>
          <w:color w:val="auto"/>
        </w:rPr>
      </w:pPr>
      <w:r>
        <w:rPr>
          <w:rFonts w:ascii="Arial" w:cs="Arial" w:eastAsia="Arial" w:hAnsi="Arial"/>
          <w:sz w:val="18"/>
          <w:szCs w:val="18"/>
          <w:color w:val="auto"/>
        </w:rPr>
        <w:t>Interest income is related to interest earned on cash balances held. Interest expense is primarily due to debt related to our business acquisitions and Convertible Senior Notes. The amounts in other income (expense), net are primarily related to transaction gains and losses on foreign currency transactions and sublease income.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Variance</w:t>
            </w: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60" w:type="dxa"/>
            <w:vAlign w:val="bottom"/>
            <w:tcBorders>
              <w:bottom w:val="single" w:sz="8" w:color="CFF0FC"/>
            </w:tcBorders>
            <w:vMerge w:val="continue"/>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2022</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Dollar</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8,119</w:t>
            </w: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5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5,375</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2,744</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80" w:firstLine="637"/>
        <w:spacing w:after="0" w:line="242" w:lineRule="auto"/>
        <w:rPr>
          <w:sz w:val="20"/>
          <w:szCs w:val="20"/>
          <w:color w:val="auto"/>
        </w:rPr>
      </w:pPr>
      <w:r>
        <w:rPr>
          <w:rFonts w:ascii="Arial" w:cs="Arial" w:eastAsia="Arial" w:hAnsi="Arial"/>
          <w:sz w:val="18"/>
          <w:szCs w:val="18"/>
          <w:color w:val="auto"/>
        </w:rPr>
        <w:t>The Company’s effective tax rate was 25.4% and 27.7% and income tax expense was $8.1 million and $5.4 million for the three months ended March 31, 2022 and March 31, 2021, respectively. The most significant items contributing to the change in the effective tax rate relate to a decrease of withholding tax and a change in the jurisdictional mix of earnings. The difference between the statutory U.S. federal income tax rate of 21.0% and the effective tax rate for the quarter ended March 31, 2022 primarily relates to state income taxes and an increased expense for uncertain tax positions, partially offset by benefits related to untaxed income attributable to noncontrolling interests and federal research tax credits.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Segment Results</w:t>
      </w:r>
    </w:p>
    <w:p>
      <w:pPr>
        <w:spacing w:after="0" w:line="212" w:lineRule="exact"/>
        <w:rPr>
          <w:sz w:val="20"/>
          <w:szCs w:val="20"/>
          <w:color w:val="auto"/>
        </w:rPr>
      </w:pPr>
    </w:p>
    <w:p>
      <w:pPr>
        <w:ind w:right="680" w:firstLine="637"/>
        <w:spacing w:after="0" w:line="255" w:lineRule="auto"/>
        <w:rPr>
          <w:sz w:val="20"/>
          <w:szCs w:val="20"/>
          <w:color w:val="auto"/>
        </w:rPr>
      </w:pPr>
      <w:r>
        <w:rPr>
          <w:rFonts w:ascii="Arial" w:cs="Arial" w:eastAsia="Arial" w:hAnsi="Arial"/>
          <w:sz w:val="18"/>
          <w:szCs w:val="18"/>
          <w:color w:val="auto"/>
        </w:rPr>
        <w:t>We evaluate segment operating performance using segment revenue and segment Adjusted EBITDA attributable to Parsons Corporation. Adjusted EBITDA attributable to Parsons Corporation is Adjusted EBITDA excluding Adjusted EBITDA attributable to</w:t>
      </w:r>
    </w:p>
    <w:p>
      <w:pPr>
        <w:spacing w:after="0" w:line="2"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noncontrolling interests. Presented above, in this Management’s Discussion and Analysis of Financial Condition and Results of Operations, is a discussion of our definition of Adjusted EBITDA, how we use this metric, why we present this metric and the material limitations on the usefulness of this metric. See “Note 18—Segments Information” in the notes to the consolidated financial statements in this Form 10-Q for further discussion regarding our segment Adjusted EBITDA attributable to Parsons Corporation.</w:t>
      </w:r>
    </w:p>
    <w:p>
      <w:pPr>
        <w:spacing w:after="0" w:line="175" w:lineRule="exact"/>
        <w:rPr>
          <w:sz w:val="20"/>
          <w:szCs w:val="20"/>
          <w:color w:val="auto"/>
        </w:rPr>
      </w:pPr>
    </w:p>
    <w:p>
      <w:pPr>
        <w:ind w:right="240" w:firstLine="637"/>
        <w:spacing w:after="0" w:line="271"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w:t>
      </w:r>
    </w:p>
    <w:p>
      <w:pPr>
        <w:spacing w:after="0" w:line="25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2022</w:t>
            </w:r>
          </w:p>
        </w:tc>
        <w:tc>
          <w:tcPr>
            <w:tcW w:w="1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209"/>
        </w:trPr>
        <w:tc>
          <w:tcPr>
            <w:tcW w:w="6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Solutions Adjusted EBITDA attributable to Parsons Corporation</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42,638</w:t>
            </w: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31,982</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Critical Infrastructure Adjusted EBITDA attributable to Parsons Corporation</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28,315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attributable to noncontrolling interests</w:t>
            </w:r>
          </w:p>
        </w:tc>
        <w:tc>
          <w:tcPr>
            <w:tcW w:w="1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3,295</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00" w:type="dxa"/>
            <w:vAlign w:val="bottom"/>
          </w:tcPr>
          <w:p>
            <w:pPr>
              <w:ind w:left="240"/>
              <w:spacing w:after="0"/>
              <w:rPr>
                <w:sz w:val="20"/>
                <w:szCs w:val="20"/>
                <w:color w:val="auto"/>
              </w:rPr>
            </w:pPr>
            <w:r>
              <w:rPr>
                <w:rFonts w:ascii="Arial" w:cs="Arial" w:eastAsia="Arial" w:hAnsi="Arial"/>
                <w:sz w:val="18"/>
                <w:szCs w:val="18"/>
                <w:color w:val="auto"/>
              </w:rPr>
              <w:t>Total 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74,248</w:t>
            </w: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Solutions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99"/>
              </w:rPr>
              <w:t>Variance</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320" w:type="dxa"/>
            <w:vAlign w:val="bottom"/>
            <w:tcBorders>
              <w:bottom w:val="single" w:sz="8" w:color="CFF0FC"/>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March 31, 2022</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Dollar</w:t>
            </w:r>
          </w:p>
        </w:tc>
        <w:tc>
          <w:tcPr>
            <w:tcW w:w="26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491,629</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452,069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39,560</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9"/>
        </w:trPr>
        <w:tc>
          <w:tcPr>
            <w:tcW w:w="6320" w:type="dxa"/>
            <w:vAlign w:val="bottom"/>
          </w:tcPr>
          <w:p>
            <w:pPr>
              <w:spacing w:after="0"/>
              <w:rPr>
                <w:sz w:val="20"/>
                <w:szCs w:val="20"/>
                <w:color w:val="auto"/>
              </w:rPr>
            </w:pPr>
            <w:r>
              <w:rPr>
                <w:rFonts w:ascii="Arial" w:cs="Arial" w:eastAsia="Arial" w:hAnsi="Arial"/>
                <w:sz w:val="18"/>
                <w:szCs w:val="18"/>
                <w:color w:val="auto"/>
              </w:rPr>
              <w:t>Adjusted EBITDA attributable to Parsons Corporation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42,638</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31,982</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10,656</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340" w:firstLine="637"/>
        <w:spacing w:after="0" w:line="301" w:lineRule="auto"/>
        <w:rPr>
          <w:sz w:val="20"/>
          <w:szCs w:val="20"/>
          <w:color w:val="auto"/>
        </w:rPr>
      </w:pPr>
      <w:r>
        <w:rPr>
          <w:rFonts w:ascii="Arial" w:cs="Arial" w:eastAsia="Arial" w:hAnsi="Arial"/>
          <w:sz w:val="17"/>
          <w:szCs w:val="17"/>
          <w:color w:val="auto"/>
        </w:rPr>
        <w:t>Federal Solutions revenue for the three months ended March 31, 2022 compared to the corresponding period last year increased primarily due to increases from business acquisitions of $20.0 million, and increases in business volume from recent contract awards.</w:t>
      </w:r>
    </w:p>
    <w:p>
      <w:pPr>
        <w:spacing w:after="0" w:line="131" w:lineRule="exact"/>
        <w:rPr>
          <w:sz w:val="20"/>
          <w:szCs w:val="20"/>
          <w:color w:val="auto"/>
        </w:rPr>
      </w:pPr>
    </w:p>
    <w:p>
      <w:pPr>
        <w:ind w:right="40" w:firstLine="644"/>
        <w:spacing w:after="0" w:line="253" w:lineRule="auto"/>
        <w:rPr>
          <w:sz w:val="20"/>
          <w:szCs w:val="20"/>
          <w:color w:val="auto"/>
        </w:rPr>
      </w:pPr>
      <w:r>
        <w:rPr>
          <w:rFonts w:ascii="Arial" w:cs="Arial" w:eastAsia="Arial" w:hAnsi="Arial"/>
          <w:sz w:val="18"/>
          <w:szCs w:val="18"/>
          <w:color w:val="auto"/>
        </w:rPr>
        <w:t>Federal Solutions Adjusted EBITDA attributable to Parsons Corporation for the three months ended March 31, 2022 compared to the corresponding period last year increased primarily due to increased business volume from recent contract awards and increases related to acquisitions.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Infrastructure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Variance</w:t>
            </w: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30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March 31, 2022</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Dollar</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457,440</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422,628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34,812</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9"/>
        </w:trPr>
        <w:tc>
          <w:tcPr>
            <w:tcW w:w="6300" w:type="dxa"/>
            <w:vAlign w:val="bottom"/>
          </w:tcPr>
          <w:p>
            <w:pPr>
              <w:spacing w:after="0"/>
              <w:rPr>
                <w:sz w:val="20"/>
                <w:szCs w:val="20"/>
                <w:color w:val="auto"/>
              </w:rPr>
            </w:pPr>
            <w:r>
              <w:rPr>
                <w:rFonts w:ascii="Arial" w:cs="Arial" w:eastAsia="Arial" w:hAnsi="Arial"/>
                <w:sz w:val="18"/>
                <w:szCs w:val="18"/>
                <w:color w:val="auto"/>
              </w:rPr>
              <w:t>Adjusted EBITDA attributable to Parsons Corporation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28,315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31,657</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(3,342)</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260" w:firstLine="637"/>
        <w:spacing w:after="0" w:line="271" w:lineRule="auto"/>
        <w:rPr>
          <w:sz w:val="20"/>
          <w:szCs w:val="20"/>
          <w:color w:val="auto"/>
        </w:rPr>
      </w:pPr>
      <w:r>
        <w:rPr>
          <w:rFonts w:ascii="Arial" w:cs="Arial" w:eastAsia="Arial" w:hAnsi="Arial"/>
          <w:sz w:val="18"/>
          <w:szCs w:val="18"/>
          <w:color w:val="auto"/>
        </w:rPr>
        <w:t>The increase in Critical Infrastructure revenue for the three months ended March 31, 2022 compared to the corresponding periods last year was primarily due to an increase in business volume from recent contract awards and increased hiring activity.</w:t>
      </w:r>
    </w:p>
    <w:p>
      <w:pPr>
        <w:spacing w:after="0" w:line="154" w:lineRule="exact"/>
        <w:rPr>
          <w:sz w:val="20"/>
          <w:szCs w:val="20"/>
          <w:color w:val="auto"/>
        </w:rPr>
      </w:pPr>
    </w:p>
    <w:p>
      <w:pPr>
        <w:ind w:right="240" w:firstLine="637"/>
        <w:spacing w:after="0" w:line="247" w:lineRule="auto"/>
        <w:rPr>
          <w:sz w:val="20"/>
          <w:szCs w:val="20"/>
          <w:color w:val="auto"/>
        </w:rPr>
      </w:pPr>
      <w:r>
        <w:rPr>
          <w:rFonts w:ascii="Arial" w:cs="Arial" w:eastAsia="Arial" w:hAnsi="Arial"/>
          <w:sz w:val="18"/>
          <w:szCs w:val="18"/>
          <w:color w:val="auto"/>
        </w:rPr>
        <w:t>Critical Infrastructure Adjusted EBITDA attributable to Parsons Corporation decreased for the three months ended March 31, 2022 primarily due to a decrease in equity in earnings driven by a change order which will delay joint venture profits to future periods, and an increase in selling, general and administrative expenses. These decreases were partially offset by an increase in business volume from recent contract awards and increased hiring activity.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ind w:right="180" w:firstLine="637"/>
        <w:spacing w:after="0" w:line="271" w:lineRule="auto"/>
        <w:rPr>
          <w:sz w:val="20"/>
          <w:szCs w:val="20"/>
          <w:color w:val="auto"/>
        </w:rPr>
      </w:pPr>
      <w:r>
        <w:rPr>
          <w:rFonts w:ascii="Arial" w:cs="Arial" w:eastAsia="Arial" w:hAnsi="Arial"/>
          <w:sz w:val="18"/>
          <w:szCs w:val="18"/>
          <w:color w:val="auto"/>
        </w:rPr>
        <w:t>We finance our operations and capital expenditures through a combination of internally generated cash from operations, our Senior Notes, Convertible Senior Notes, and periodic borrowings under our Revolving Credit Facility.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5" w:name="page36"/>
    <w:bookmarkEnd w:id="35"/>
    <w:p>
      <w:pPr>
        <w:ind w:right="100" w:firstLine="637"/>
        <w:spacing w:after="0" w:line="247"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growth in our operations, it may be necessary from time to time in the future to borrow under our Credit Agreement to meet cash demands. Our management regularly monitors certain liquidity measures to monitor performance. We calculate our available liquidity as a sum of cash and cash equivalents from our consolidated balance sheet plus the amount available and unutilized on our Credit Agreement.</w:t>
      </w:r>
    </w:p>
    <w:p>
      <w:pPr>
        <w:spacing w:after="0" w:line="174" w:lineRule="exact"/>
        <w:rPr>
          <w:sz w:val="20"/>
          <w:szCs w:val="20"/>
          <w:color w:val="auto"/>
        </w:rPr>
      </w:pPr>
    </w:p>
    <w:p>
      <w:pPr>
        <w:jc w:val="both"/>
        <w:ind w:right="180" w:firstLine="637"/>
        <w:spacing w:after="0" w:line="253" w:lineRule="auto"/>
        <w:rPr>
          <w:sz w:val="20"/>
          <w:szCs w:val="20"/>
          <w:color w:val="auto"/>
        </w:rPr>
      </w:pPr>
      <w:r>
        <w:rPr>
          <w:rFonts w:ascii="Arial" w:cs="Arial" w:eastAsia="Arial" w:hAnsi="Arial"/>
          <w:sz w:val="18"/>
          <w:szCs w:val="18"/>
          <w:color w:val="auto"/>
        </w:rPr>
        <w:t>As of March 31, 2022, we believe we have adequate liquidity and capital resources to fund our operations, support our debt service and support our ongoing acquisition strategy for at least the next twelve months based on the liquidity from cash provided by our operating activities, cash and cash equivalents on-hand and our borrowing capacity under our Revolving Credit Facility.</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Flows</w:t>
      </w:r>
    </w:p>
    <w:p>
      <w:pPr>
        <w:spacing w:after="0" w:line="102" w:lineRule="exact"/>
        <w:rPr>
          <w:sz w:val="20"/>
          <w:szCs w:val="20"/>
          <w:color w:val="auto"/>
        </w:rPr>
      </w:pPr>
    </w:p>
    <w:p>
      <w:pPr>
        <w:ind w:right="20" w:firstLine="637"/>
        <w:spacing w:after="0"/>
        <w:rPr>
          <w:sz w:val="20"/>
          <w:szCs w:val="20"/>
          <w:color w:val="auto"/>
        </w:rPr>
      </w:pPr>
      <w:r>
        <w:rPr>
          <w:rFonts w:ascii="Arial" w:cs="Arial" w:eastAsia="Arial" w:hAnsi="Arial"/>
          <w:sz w:val="18"/>
          <w:szCs w:val="18"/>
          <w:color w:val="auto"/>
        </w:rPr>
        <w:t>Cash received from customers, either from the payment of invoices for work performed or for advances in excess of revenue recognized, is our primary source of cash. We generally do not begin work on contracts until funding is appropriated by the customers. Billing timetables and payment terms on our contracts vary based on a number of factors, including whether the contract type is cost-plus, time-and-materials, or fixed-price. We generally bill and collect cash more frequently under cost-plus and time-and-materials contracts, as we are authorized to bill as the costs are incurred or work is performed. In contrast, we may be limited to bill certain fixed-price contracts only when specified milestones, including deliveries, are achieved. A number of our contracts may provide for performance-based payments, which allow us to bill and collect cash prior to completing the work.</w:t>
      </w:r>
    </w:p>
    <w:p>
      <w:pPr>
        <w:spacing w:after="0" w:line="185" w:lineRule="exact"/>
        <w:rPr>
          <w:sz w:val="20"/>
          <w:szCs w:val="20"/>
          <w:color w:val="auto"/>
        </w:rPr>
      </w:pPr>
    </w:p>
    <w:p>
      <w:pPr>
        <w:ind w:firstLine="637"/>
        <w:spacing w:after="0" w:line="239" w:lineRule="auto"/>
        <w:rPr>
          <w:sz w:val="20"/>
          <w:szCs w:val="20"/>
          <w:color w:val="auto"/>
        </w:rPr>
      </w:pPr>
      <w:r>
        <w:rPr>
          <w:rFonts w:ascii="Arial" w:cs="Arial" w:eastAsia="Arial" w:hAnsi="Arial"/>
          <w:sz w:val="18"/>
          <w:szCs w:val="18"/>
          <w:color w:val="auto"/>
        </w:rPr>
        <w:t>Accounts receivable is the principal component of our working capital and is generally driven by revenue growth. Accounts receivable reflects amounts billed to our clients as of each balance sheet date and receivable amounts that are currently due but unbilled. The total amount of our accounts receivable can vary significantly over time but is generally sensitive to revenue levels. Net days sales outstanding, which we refer to as Net DSO, is calculated by dividing (i) (accounts receivable plus contract assets) less (contract liabilities plus accounts payable) by (ii) average revenue per day (calculated by dividing trailing twelve months revenue by the number of days in that period). We focus on collecting outstanding receivables to reduce Net DSO and working capital. Net DSO was 76 days at March 31, 2022 and 71 days at March 31, 2021. The increase in Net DSO was primarily due to a decrease in accounts payable at March 31, 2022 compared to March 31, 2021. Our working capital (current assets less current liabilities) was $632.1 million at March 31, 2022 and $601.6 million at December 31, 2021.</w:t>
      </w:r>
    </w:p>
    <w:p>
      <w:pPr>
        <w:spacing w:after="0" w:line="183" w:lineRule="exact"/>
        <w:rPr>
          <w:sz w:val="20"/>
          <w:szCs w:val="20"/>
          <w:color w:val="auto"/>
        </w:rPr>
      </w:pPr>
    </w:p>
    <w:p>
      <w:pPr>
        <w:ind w:right="40" w:firstLine="637"/>
        <w:spacing w:after="0" w:line="271" w:lineRule="auto"/>
        <w:rPr>
          <w:sz w:val="20"/>
          <w:szCs w:val="20"/>
          <w:color w:val="auto"/>
        </w:rPr>
      </w:pPr>
      <w:r>
        <w:rPr>
          <w:rFonts w:ascii="Arial" w:cs="Arial" w:eastAsia="Arial" w:hAnsi="Arial"/>
          <w:sz w:val="18"/>
          <w:szCs w:val="18"/>
          <w:color w:val="auto"/>
        </w:rPr>
        <w:t>Our cash, cash equivalents and restricted cash decreased by $57.1 million to $286.8 million at March 31, 2022 from $343.9 million at December 31, 2021.</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sources and uses of cash over the periods presented (in thousands):</w:t>
      </w:r>
    </w:p>
    <w:p>
      <w:pPr>
        <w:spacing w:after="0" w:line="31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5"/>
          </w:tcPr>
          <w:p>
            <w:pPr>
              <w:jc w:val="right"/>
              <w:ind w:right="79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60" w:type="dxa"/>
            <w:vAlign w:val="bottom"/>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 2022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209"/>
        </w:trPr>
        <w:tc>
          <w:tcPr>
            <w:tcW w:w="576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(25,714)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(13,430)</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(11,045)</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(18,402)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(11,224)</w:t>
            </w: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 changes</w:t>
            </w:r>
          </w:p>
        </w:tc>
        <w:tc>
          <w:tcPr>
            <w:tcW w:w="10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10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(57,121)</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02" w:lineRule="exact"/>
        <w:rPr>
          <w:sz w:val="20"/>
          <w:szCs w:val="20"/>
          <w:color w:val="auto"/>
        </w:rPr>
      </w:pPr>
    </w:p>
    <w:p>
      <w:pPr>
        <w:ind w:firstLine="637"/>
        <w:spacing w:after="0" w:line="242" w:lineRule="auto"/>
        <w:rPr>
          <w:sz w:val="20"/>
          <w:szCs w:val="20"/>
          <w:color w:val="auto"/>
        </w:rPr>
      </w:pPr>
      <w:r>
        <w:rPr>
          <w:rFonts w:ascii="Arial" w:cs="Arial" w:eastAsia="Arial" w:hAnsi="Arial"/>
          <w:sz w:val="18"/>
          <w:szCs w:val="18"/>
          <w:color w:val="auto"/>
        </w:rPr>
        <w:t>Net cash used in operating activities consists primarily of net income adjusted for noncash items, such as: equity in earnings (loss) of unconsolidated joint ventures, contributions of treasury stock, depreciation and amortization of property and equipment and intangible assets, and provisions for doubtful accounts. The timing between the conversion of our billed and unbilled receivables into cash from our customers and disbursements to our employees and vendors is the primary driver of changes in our working capital. Our operating cash flows are primarily affected by our ability to invoice and collect from our clients in a timely manner, our ability to manage our vendor payments and the overall profitability of our contracts.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6" w:name="page37"/>
    <w:bookmarkEnd w:id="36"/>
    <w:p>
      <w:pPr>
        <w:ind w:right="100" w:firstLine="637"/>
        <w:spacing w:after="0"/>
        <w:rPr>
          <w:sz w:val="20"/>
          <w:szCs w:val="20"/>
          <w:color w:val="auto"/>
        </w:rPr>
      </w:pPr>
      <w:r>
        <w:rPr>
          <w:rFonts w:ascii="Arial" w:cs="Arial" w:eastAsia="Arial" w:hAnsi="Arial"/>
          <w:sz w:val="18"/>
          <w:szCs w:val="18"/>
          <w:color w:val="auto"/>
        </w:rPr>
        <w:t>Net cash used in operating activities decreased $40.3 million for the three months ended March 31, 2022 compared to the three months ended March 31, 2021. A primary driver of the change was due to legacy cash-settled long-term incentive plans which paid out their last cycle during the first quarter of 2021. The Company paid $26.4 million related to these plans in the first quarter of 2021 compared to no payments during the first quarter of 2022. Additionally, the change in net cash from operating activities is attributable to a $ 23.7 million decrease in cash outflows from our working capital accounts (primarily from accrued expenses, contract liabilities, contract assets and prepaid and other expenses offset by accounts receivable and accounts payable), partially offset by a $1.7 million decrease in net income after adjusting for non-cash items.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02" w:lineRule="exact"/>
        <w:rPr>
          <w:sz w:val="20"/>
          <w:szCs w:val="20"/>
          <w:color w:val="auto"/>
        </w:rPr>
      </w:pPr>
    </w:p>
    <w:p>
      <w:pPr>
        <w:ind w:firstLine="637"/>
        <w:spacing w:after="0" w:line="271" w:lineRule="auto"/>
        <w:rPr>
          <w:sz w:val="20"/>
          <w:szCs w:val="20"/>
          <w:color w:val="auto"/>
        </w:rPr>
      </w:pPr>
      <w:r>
        <w:rPr>
          <w:rFonts w:ascii="Arial" w:cs="Arial" w:eastAsia="Arial" w:hAnsi="Arial"/>
          <w:sz w:val="18"/>
          <w:szCs w:val="18"/>
          <w:color w:val="auto"/>
        </w:rPr>
        <w:t>Net cash used in investing activities consists primarily of cash flows associated with capital expenditures, joint ventures and business acquisitions.</w:t>
      </w:r>
    </w:p>
    <w:p>
      <w:pPr>
        <w:spacing w:after="0" w:line="154" w:lineRule="exact"/>
        <w:rPr>
          <w:sz w:val="20"/>
          <w:szCs w:val="20"/>
          <w:color w:val="auto"/>
        </w:rPr>
      </w:pPr>
    </w:p>
    <w:p>
      <w:pPr>
        <w:ind w:right="100" w:firstLine="637"/>
        <w:spacing w:after="0" w:line="244" w:lineRule="auto"/>
        <w:rPr>
          <w:sz w:val="20"/>
          <w:szCs w:val="20"/>
          <w:color w:val="auto"/>
        </w:rPr>
      </w:pPr>
      <w:r>
        <w:rPr>
          <w:rFonts w:ascii="Arial" w:cs="Arial" w:eastAsia="Arial" w:hAnsi="Arial"/>
          <w:sz w:val="18"/>
          <w:szCs w:val="18"/>
          <w:color w:val="auto"/>
        </w:rPr>
        <w:t>Net cash used in investing activities increased $2.4 million for the three months ended March 31, 2022, when compared to the three months ended March 31, 2021, primarily due to no proceeds from sale of investments in unconsolidated joint ventures during the three months ended March 31 ,2022 compared to $14.3 million of proceeds during the three months ended March 31, 2021. This was partially offset by decreased investments in unconsolidated joint ventures of $12.5 million. The Company had no business acquisitions during the three months ended March 31, 2022 and 2021.</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02" w:lineRule="exact"/>
        <w:rPr>
          <w:sz w:val="20"/>
          <w:szCs w:val="20"/>
          <w:color w:val="auto"/>
        </w:rPr>
      </w:pPr>
    </w:p>
    <w:p>
      <w:pPr>
        <w:ind w:right="460" w:firstLine="637"/>
        <w:spacing w:after="0" w:line="271" w:lineRule="auto"/>
        <w:rPr>
          <w:sz w:val="20"/>
          <w:szCs w:val="20"/>
          <w:color w:val="auto"/>
        </w:rPr>
      </w:pPr>
      <w:r>
        <w:rPr>
          <w:rFonts w:ascii="Arial" w:cs="Arial" w:eastAsia="Arial" w:hAnsi="Arial"/>
          <w:sz w:val="18"/>
          <w:szCs w:val="18"/>
          <w:color w:val="auto"/>
        </w:rPr>
        <w:t>Net cash used in financing activities is primarily associated with proceeds from debt, the repayment thereof, and distributions to noncontrolling interests.</w:t>
      </w:r>
    </w:p>
    <w:p>
      <w:pPr>
        <w:spacing w:after="0" w:line="154" w:lineRule="exact"/>
        <w:rPr>
          <w:sz w:val="20"/>
          <w:szCs w:val="20"/>
          <w:color w:val="auto"/>
        </w:rPr>
      </w:pPr>
    </w:p>
    <w:p>
      <w:pPr>
        <w:ind w:right="120" w:firstLine="637"/>
        <w:spacing w:after="0" w:line="253" w:lineRule="auto"/>
        <w:rPr>
          <w:sz w:val="20"/>
          <w:szCs w:val="20"/>
          <w:color w:val="auto"/>
        </w:rPr>
      </w:pPr>
      <w:r>
        <w:rPr>
          <w:rFonts w:ascii="Arial" w:cs="Arial" w:eastAsia="Arial" w:hAnsi="Arial"/>
          <w:sz w:val="18"/>
          <w:szCs w:val="18"/>
          <w:color w:val="auto"/>
        </w:rPr>
        <w:t>Net cash used in financing activities increased $7.2 million for the three months ended March 31, 2022 compared to the three months ended March 31, 2021. The change in cash flows from financing activities is primarily due to $5.5 million of repurchases of common stock under the stock repurchase program which began in August 2021.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02" w:lineRule="exact"/>
        <w:rPr>
          <w:sz w:val="20"/>
          <w:szCs w:val="20"/>
          <w:color w:val="auto"/>
        </w:rPr>
      </w:pPr>
    </w:p>
    <w:p>
      <w:pPr>
        <w:ind w:right="120" w:firstLine="637"/>
        <w:spacing w:after="0" w:line="253" w:lineRule="auto"/>
        <w:rPr>
          <w:sz w:val="20"/>
          <w:szCs w:val="20"/>
          <w:color w:val="auto"/>
        </w:rPr>
      </w:pPr>
      <w:r>
        <w:rPr>
          <w:rFonts w:ascii="Arial" w:cs="Arial" w:eastAsia="Arial" w:hAnsi="Arial"/>
          <w:sz w:val="18"/>
          <w:szCs w:val="18"/>
          <w:color w:val="auto"/>
        </w:rPr>
        <w:t>We have in place several secondary bank credit lines for issuing letters of credit, principally for foreign contracts, to support performance and completion guarantees. Letters of credit commitments outstanding under these bank lines aggregated to $220.6 million as of March 31, 2022. Letters of credit outstanding under the Credit Agreement total $44.5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2" w:lineRule="exact"/>
        <w:rPr>
          <w:sz w:val="20"/>
          <w:szCs w:val="20"/>
          <w:color w:val="auto"/>
        </w:rPr>
      </w:pPr>
    </w:p>
    <w:p>
      <w:pPr>
        <w:ind w:right="1300" w:firstLine="637"/>
        <w:spacing w:after="0" w:line="271" w:lineRule="auto"/>
        <w:rPr>
          <w:sz w:val="20"/>
          <w:szCs w:val="20"/>
          <w:color w:val="auto"/>
        </w:rPr>
      </w:pPr>
      <w:r>
        <w:rPr>
          <w:rFonts w:ascii="Arial" w:cs="Arial" w:eastAsia="Arial" w:hAnsi="Arial"/>
          <w:sz w:val="18"/>
          <w:szCs w:val="18"/>
          <w:color w:val="auto"/>
        </w:rPr>
        <w:t>See the information set forth in “Note 3—Summary of Significant Accounting Policies—Recently Adopted Accounting Pronouncements” in the notes to our consolidated financial statements.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02" w:lineRule="exact"/>
        <w:rPr>
          <w:sz w:val="20"/>
          <w:szCs w:val="20"/>
          <w:color w:val="auto"/>
        </w:rPr>
      </w:pPr>
    </w:p>
    <w:p>
      <w:pPr>
        <w:ind w:right="260" w:firstLine="637"/>
        <w:spacing w:after="0" w:line="253" w:lineRule="auto"/>
        <w:rPr>
          <w:sz w:val="20"/>
          <w:szCs w:val="20"/>
          <w:color w:val="auto"/>
        </w:rPr>
      </w:pPr>
      <w:r>
        <w:rPr>
          <w:rFonts w:ascii="Arial" w:cs="Arial" w:eastAsia="Arial" w:hAnsi="Arial"/>
          <w:sz w:val="18"/>
          <w:szCs w:val="18"/>
          <w:color w:val="auto"/>
        </w:rPr>
        <w:t>As of March 31, 2022, we have no off-balance sheet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2" w:lineRule="exact"/>
        <w:rPr>
          <w:sz w:val="20"/>
          <w:szCs w:val="20"/>
          <w:color w:val="auto"/>
        </w:rPr>
      </w:pPr>
    </w:p>
    <w:p>
      <w:pPr>
        <w:ind w:firstLine="637"/>
        <w:spacing w:after="0" w:line="248" w:lineRule="auto"/>
        <w:rPr>
          <w:sz w:val="20"/>
          <w:szCs w:val="20"/>
          <w:color w:val="auto"/>
        </w:rPr>
      </w:pPr>
      <w:r>
        <w:rPr>
          <w:rFonts w:ascii="Arial" w:cs="Arial" w:eastAsia="Arial" w:hAnsi="Arial"/>
          <w:sz w:val="18"/>
          <w:szCs w:val="18"/>
          <w:color w:val="auto"/>
        </w:rPr>
        <w:t>We are exposed to interest rate risks related to the Company’s Revolving Credit Facility. As of March 31, 2022, there were no amounts outstanding under the Revolving Credit Facility. Borrowings under the new Credit Facility effective June 2021 bear interest at either a eurocurrency rate plus a margin between 1.0% and 1.625%, or a base rate (as defined in the Credit Agreement) plus a margin of between</w:t>
      </w:r>
    </w:p>
    <w:p>
      <w:pPr>
        <w:spacing w:after="0" w:line="2"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0% and 0.625%, both based on the leverage ratio of the Company at the end of each quarter. Prior to June 2021, interest on borrowings under the Credit Facility were at either the base rate (as defined in the Credit Agreement), plus an applicable margin, or LIBOR plus an applicable margin. The applicable margin for base rate loans was a range of 0.125% to 1.00% and the applicable margin for LIBOR loans was a range of 1.125% to 2.00%, both based on the leverage ratio of the Company at the end of each quarter. The rates on March 31, 2022 and December 31, 2021 were 1.70% and 1.36%, respectively.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2" w:lineRule="exact"/>
        <w:rPr>
          <w:sz w:val="20"/>
          <w:szCs w:val="20"/>
          <w:color w:val="auto"/>
        </w:rPr>
      </w:pPr>
    </w:p>
    <w:p>
      <w:pPr>
        <w:ind w:right="40" w:firstLine="637"/>
        <w:spacing w:after="0" w:line="247" w:lineRule="auto"/>
        <w:rPr>
          <w:sz w:val="20"/>
          <w:szCs w:val="20"/>
          <w:color w:val="auto"/>
        </w:rPr>
      </w:pPr>
      <w:r>
        <w:rPr>
          <w:rFonts w:ascii="Arial" w:cs="Arial" w:eastAsia="Arial" w:hAnsi="Arial"/>
          <w:sz w:val="18"/>
          <w:szCs w:val="18"/>
          <w:color w:val="auto"/>
        </w:rPr>
        <w:t>We are exposed to foreign currency exchange rate risk resulting from our operations outside of the U.S. We limit exposure to foreign currency fluctuations in most of our contracts through provisions that require client payments in currencies corresponding to the currency in which costs are incurred. As a result of this natural hedge, we generally do not need to hedge foreign currency cash flows for contract work performed.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104" w:lineRule="exact"/>
        <w:rPr>
          <w:sz w:val="20"/>
          <w:szCs w:val="20"/>
          <w:color w:val="auto"/>
        </w:rPr>
      </w:pPr>
    </w:p>
    <w:p>
      <w:pPr>
        <w:ind w:right="80" w:firstLine="637"/>
        <w:spacing w:after="0"/>
        <w:rPr>
          <w:sz w:val="20"/>
          <w:szCs w:val="20"/>
          <w:color w:val="auto"/>
        </w:rPr>
      </w:pPr>
      <w:r>
        <w:rPr>
          <w:rFonts w:ascii="Arial" w:cs="Arial" w:eastAsia="Arial" w:hAnsi="Arial"/>
          <w:sz w:val="18"/>
          <w:szCs w:val="18"/>
          <w:color w:val="auto"/>
        </w:rPr>
        <w:t>Our management carried out, as of March 31, 2022, with the participation of our Chief Executive Officer and our Chief Financial Officer, an evaluation of the effectiveness of our disclosure controls and procedures (as defined in Rules 13a-15(e) and 15d-15(e) under the Securities Exchange Act of 1934, as amended (the “Exchange Act”)). Based on that evaluation, our Chief Executive Officer and Chief Financial Officer concluded that, as of March 31, 2022, our disclosure controls and procedures were effective to provide reasonable assurance that material information required to be disclosed by us in reports we file under the Exchange Act is recorded, processed, summarized and reported within the time periods specified in the SEC rules and forms and that information required to be disclosed by us in the reports we file or submit under the Exchange Act is accumulated and communicated to our management, including our Chief Executive Officer and Chief Financial Officer, as appropriate to allow timely decisions regarding required disclosure.</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4" w:lineRule="exact"/>
        <w:rPr>
          <w:sz w:val="20"/>
          <w:szCs w:val="20"/>
          <w:color w:val="auto"/>
        </w:rPr>
      </w:pPr>
    </w:p>
    <w:p>
      <w:pPr>
        <w:ind w:right="20" w:firstLine="637"/>
        <w:spacing w:after="0" w:line="271" w:lineRule="auto"/>
        <w:rPr>
          <w:sz w:val="20"/>
          <w:szCs w:val="20"/>
          <w:color w:val="auto"/>
        </w:rPr>
      </w:pPr>
      <w:r>
        <w:rPr>
          <w:rFonts w:ascii="Arial" w:cs="Arial" w:eastAsia="Arial" w:hAnsi="Arial"/>
          <w:sz w:val="18"/>
          <w:szCs w:val="18"/>
          <w:color w:val="auto"/>
        </w:rPr>
        <w:t>During the first quarter of 2022, there were no changes to our internal control over financial reporting that have materially affected, or are reasonably likely to materially affect, our internal control over financial reporting.</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4" w:lineRule="exact"/>
        <w:rPr>
          <w:sz w:val="20"/>
          <w:szCs w:val="20"/>
          <w:color w:val="auto"/>
        </w:rPr>
      </w:pPr>
    </w:p>
    <w:p>
      <w:pPr>
        <w:ind w:right="480" w:firstLine="637"/>
        <w:spacing w:after="0" w:line="271" w:lineRule="auto"/>
        <w:rPr>
          <w:sz w:val="20"/>
          <w:szCs w:val="20"/>
          <w:color w:val="auto"/>
        </w:rPr>
      </w:pPr>
      <w:r>
        <w:rPr>
          <w:rFonts w:ascii="Arial" w:cs="Arial" w:eastAsia="Arial" w:hAnsi="Arial"/>
          <w:sz w:val="18"/>
          <w:szCs w:val="18"/>
          <w:color w:val="auto"/>
        </w:rPr>
        <w:t>The information required by this Item 1 is included in “Note 12 – Contingencies” included in the Notes to Consolidated Financial Statements appearing under Part I, Item 1 of this Form 10-Q which is incorporated herein by reference.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347" w:lineRule="exact"/>
        <w:rPr>
          <w:sz w:val="20"/>
          <w:szCs w:val="20"/>
          <w:color w:val="auto"/>
        </w:rPr>
      </w:pPr>
    </w:p>
    <w:p>
      <w:pPr>
        <w:ind w:right="260" w:firstLine="637"/>
        <w:spacing w:after="0" w:line="271" w:lineRule="auto"/>
        <w:rPr>
          <w:sz w:val="20"/>
          <w:szCs w:val="20"/>
          <w:color w:val="auto"/>
        </w:rPr>
      </w:pPr>
      <w:r>
        <w:rPr>
          <w:rFonts w:ascii="Arial" w:cs="Arial" w:eastAsia="Arial" w:hAnsi="Arial"/>
          <w:sz w:val="18"/>
          <w:szCs w:val="18"/>
          <w:color w:val="auto"/>
        </w:rPr>
        <w:t>There have been no material changes from our Risk Factors disclosed in the Company’s Form 10-K for the year ended December 31, 2021.</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3340" w:type="dxa"/>
            <w:vAlign w:val="bottom"/>
            <w:gridSpan w:val="3"/>
          </w:tcPr>
          <w:p>
            <w:pPr>
              <w:ind w:left="20"/>
              <w:spacing w:after="0"/>
              <w:rPr>
                <w:sz w:val="20"/>
                <w:szCs w:val="20"/>
                <w:color w:val="auto"/>
              </w:rPr>
            </w:pPr>
            <w:r>
              <w:rPr>
                <w:rFonts w:ascii="Arial" w:cs="Arial" w:eastAsia="Arial" w:hAnsi="Arial"/>
                <w:sz w:val="18"/>
                <w:szCs w:val="18"/>
                <w:b w:val="1"/>
                <w:bCs w:val="1"/>
                <w:color w:val="auto"/>
              </w:rPr>
              <w:t>Other Information.</w:t>
            </w:r>
          </w:p>
        </w:tc>
        <w:tc>
          <w:tcPr>
            <w:tcW w:w="7300" w:type="dxa"/>
            <w:vAlign w:val="bottom"/>
          </w:tcPr>
          <w:p>
            <w:pPr>
              <w:spacing w:after="0"/>
              <w:rPr>
                <w:sz w:val="21"/>
                <w:szCs w:val="21"/>
                <w:color w:val="auto"/>
              </w:rPr>
            </w:pPr>
          </w:p>
        </w:tc>
      </w:tr>
      <w:tr>
        <w:trPr>
          <w:trHeight w:val="303"/>
        </w:trPr>
        <w:tc>
          <w:tcPr>
            <w:tcW w:w="600" w:type="dxa"/>
            <w:vAlign w:val="bottom"/>
          </w:tcPr>
          <w:p>
            <w:pPr>
              <w:spacing w:after="0"/>
              <w:rPr>
                <w:sz w:val="24"/>
                <w:szCs w:val="24"/>
                <w:color w:val="auto"/>
              </w:rPr>
            </w:pPr>
          </w:p>
        </w:tc>
        <w:tc>
          <w:tcPr>
            <w:tcW w:w="3340" w:type="dxa"/>
            <w:vAlign w:val="bottom"/>
            <w:gridSpan w:val="3"/>
          </w:tcPr>
          <w:p>
            <w:pPr>
              <w:ind w:left="40"/>
              <w:spacing w:after="0"/>
              <w:rPr>
                <w:sz w:val="20"/>
                <w:szCs w:val="20"/>
                <w:color w:val="auto"/>
              </w:rPr>
            </w:pPr>
            <w:r>
              <w:rPr>
                <w:rFonts w:ascii="Arial" w:cs="Arial" w:eastAsia="Arial" w:hAnsi="Arial"/>
                <w:sz w:val="18"/>
                <w:szCs w:val="18"/>
                <w:color w:val="auto"/>
              </w:rPr>
              <w:t>None</w:t>
            </w:r>
          </w:p>
        </w:tc>
        <w:tc>
          <w:tcPr>
            <w:tcW w:w="7300" w:type="dxa"/>
            <w:vAlign w:val="bottom"/>
          </w:tcPr>
          <w:p>
            <w:pPr>
              <w:spacing w:after="0"/>
              <w:rPr>
                <w:sz w:val="24"/>
                <w:szCs w:val="24"/>
                <w:color w:val="auto"/>
              </w:rPr>
            </w:pPr>
          </w:p>
        </w:tc>
      </w:tr>
      <w:tr>
        <w:trPr>
          <w:trHeight w:val="885"/>
        </w:trPr>
        <w:tc>
          <w:tcPr>
            <w:tcW w:w="6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3340" w:type="dxa"/>
            <w:vAlign w:val="bottom"/>
            <w:gridSpan w:val="3"/>
          </w:tcPr>
          <w:p>
            <w:pPr>
              <w:ind w:left="20"/>
              <w:spacing w:after="0"/>
              <w:rPr>
                <w:sz w:val="20"/>
                <w:szCs w:val="20"/>
                <w:color w:val="auto"/>
              </w:rPr>
            </w:pPr>
            <w:r>
              <w:rPr>
                <w:rFonts w:ascii="Arial" w:cs="Arial" w:eastAsia="Arial" w:hAnsi="Arial"/>
                <w:sz w:val="18"/>
                <w:szCs w:val="18"/>
                <w:b w:val="1"/>
                <w:bCs w:val="1"/>
                <w:color w:val="auto"/>
              </w:rPr>
              <w:t>Exhibits.</w:t>
            </w:r>
          </w:p>
        </w:tc>
        <w:tc>
          <w:tcPr>
            <w:tcW w:w="7300" w:type="dxa"/>
            <w:vAlign w:val="bottom"/>
          </w:tcPr>
          <w:p>
            <w:pPr>
              <w:spacing w:after="0"/>
              <w:rPr>
                <w:sz w:val="24"/>
                <w:szCs w:val="24"/>
                <w:color w:val="auto"/>
              </w:rPr>
            </w:pPr>
          </w:p>
        </w:tc>
      </w:tr>
      <w:tr>
        <w:trPr>
          <w:trHeight w:val="370"/>
        </w:trPr>
        <w:tc>
          <w:tcPr>
            <w:tcW w:w="3940" w:type="dxa"/>
            <w:vAlign w:val="bottom"/>
            <w:gridSpan w:val="4"/>
          </w:tcPr>
          <w:p>
            <w:pPr>
              <w:jc w:val="center"/>
              <w:ind w:right="3100"/>
              <w:spacing w:after="0"/>
              <w:rPr>
                <w:sz w:val="20"/>
                <w:szCs w:val="20"/>
                <w:color w:val="auto"/>
              </w:rPr>
            </w:pPr>
            <w:r>
              <w:rPr>
                <w:rFonts w:ascii="Arial" w:cs="Arial" w:eastAsia="Arial" w:hAnsi="Arial"/>
                <w:sz w:val="14"/>
                <w:szCs w:val="14"/>
                <w:b w:val="1"/>
                <w:bCs w:val="1"/>
                <w:color w:val="auto"/>
              </w:rPr>
              <w:t>Exhibit</w:t>
            </w:r>
          </w:p>
        </w:tc>
        <w:tc>
          <w:tcPr>
            <w:tcW w:w="7300" w:type="dxa"/>
            <w:vAlign w:val="bottom"/>
          </w:tcPr>
          <w:p>
            <w:pPr>
              <w:spacing w:after="0"/>
              <w:rPr>
                <w:sz w:val="24"/>
                <w:szCs w:val="24"/>
                <w:color w:val="auto"/>
              </w:rPr>
            </w:pPr>
          </w:p>
        </w:tc>
      </w:tr>
      <w:tr>
        <w:trPr>
          <w:trHeight w:val="171"/>
        </w:trPr>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3000" w:type="dxa"/>
            <w:vAlign w:val="bottom"/>
            <w:tcBorders>
              <w:bottom w:val="single" w:sz="8" w:color="auto"/>
            </w:tcBorders>
          </w:tcPr>
          <w:p>
            <w:pPr>
              <w:spacing w:after="0"/>
              <w:rPr>
                <w:sz w:val="14"/>
                <w:szCs w:val="14"/>
                <w:color w:val="auto"/>
              </w:rPr>
            </w:pPr>
          </w:p>
        </w:tc>
        <w:tc>
          <w:tcPr>
            <w:tcW w:w="7300" w:type="dxa"/>
            <w:vAlign w:val="bottom"/>
            <w:tcBorders>
              <w:bottom w:val="single" w:sz="8" w:color="auto"/>
            </w:tcBorders>
          </w:tcPr>
          <w:p>
            <w:pPr>
              <w:ind w:left="1760"/>
              <w:spacing w:after="0"/>
              <w:rPr>
                <w:sz w:val="20"/>
                <w:szCs w:val="20"/>
                <w:color w:val="auto"/>
              </w:rPr>
            </w:pPr>
            <w:r>
              <w:rPr>
                <w:rFonts w:ascii="Arial" w:cs="Arial" w:eastAsia="Arial" w:hAnsi="Arial"/>
                <w:sz w:val="14"/>
                <w:szCs w:val="14"/>
                <w:b w:val="1"/>
                <w:bCs w:val="1"/>
                <w:color w:val="auto"/>
              </w:rPr>
              <w:t>Description</w:t>
            </w:r>
          </w:p>
        </w:tc>
      </w:tr>
    </w:tbl>
    <w:p>
      <w:pPr>
        <w:spacing w:after="0" w:line="10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u w:val="single" w:color="auto"/>
          <w:color w:val="0000EE"/>
        </w:rPr>
        <w:t>Form of Fifth Amendment to the Parsons Employee Stock Ownership Plan 2019 Amendment and Restatement.</w:t>
      </w:r>
    </w:p>
    <w:p>
      <w:pPr>
        <w:spacing w:after="0" w:line="117" w:lineRule="exact"/>
        <w:rPr>
          <w:sz w:val="20"/>
          <w:szCs w:val="20"/>
          <w:color w:val="auto"/>
        </w:rPr>
      </w:pPr>
    </w:p>
    <w:p>
      <w:pPr>
        <w:jc w:val="both"/>
        <w:ind w:left="940" w:hanging="930"/>
        <w:spacing w:after="0" w:line="271" w:lineRule="auto"/>
        <w:tabs>
          <w:tab w:leader="none" w:pos="9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u w:val="single" w:color="auto"/>
          <w:color w:val="0000EE"/>
        </w:rPr>
        <w:t>Certification of Principal Executive Officer Pursuant to Rules 13a-14(a) and 15d-14(a) under the Securities Exchange Act of 1934, as Adopted Pursuant to Section 302 of the Sarbanes-Oxley Act of 2002.</w:t>
      </w:r>
    </w:p>
    <w:p>
      <w:pPr>
        <w:spacing w:after="0" w:line="59" w:lineRule="exact"/>
        <w:rPr>
          <w:sz w:val="20"/>
          <w:szCs w:val="20"/>
          <w:color w:val="auto"/>
        </w:rPr>
      </w:pPr>
    </w:p>
    <w:p>
      <w:pPr>
        <w:ind w:left="940" w:right="60" w:hanging="930"/>
        <w:spacing w:after="0" w:line="271" w:lineRule="auto"/>
        <w:tabs>
          <w:tab w:leader="none" w:pos="9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u w:val="single" w:color="auto"/>
          <w:color w:val="0000EE"/>
        </w:rPr>
        <w:t>Certification of Principal Financial Officer Pursuant to Rules 13a-14(a) and 15d-14(a) under the Securities Exchange Act of 1934, as Adopted Pursuant to Section 302 of the Sarbanes-Oxley Act of 2002.</w:t>
      </w:r>
    </w:p>
    <w:p>
      <w:pPr>
        <w:spacing w:after="0" w:line="59" w:lineRule="exact"/>
        <w:rPr>
          <w:sz w:val="20"/>
          <w:szCs w:val="20"/>
          <w:color w:val="auto"/>
        </w:rPr>
      </w:pPr>
    </w:p>
    <w:p>
      <w:pPr>
        <w:ind w:left="940" w:right="620" w:hanging="930"/>
        <w:spacing w:after="0" w:line="271" w:lineRule="auto"/>
        <w:tabs>
          <w:tab w:leader="none" w:pos="9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0000EE"/>
        </w:rPr>
        <w:t>Certification of Principal Executive Officer Pursuant to 18 U.S.C. Section 1350, as Adopted Pursuant to Section 906 of the Sarbanes-Oxley Act of 2002.</w:t>
      </w:r>
    </w:p>
    <w:p>
      <w:pPr>
        <w:spacing w:after="0" w:line="59" w:lineRule="exact"/>
        <w:rPr>
          <w:sz w:val="20"/>
          <w:szCs w:val="20"/>
          <w:color w:val="auto"/>
        </w:rPr>
      </w:pPr>
    </w:p>
    <w:p>
      <w:pPr>
        <w:ind w:left="940" w:right="680" w:hanging="930"/>
        <w:spacing w:after="0" w:line="271" w:lineRule="auto"/>
        <w:tabs>
          <w:tab w:leader="none" w:pos="9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u w:val="single" w:color="auto"/>
          <w:color w:val="0000EE"/>
        </w:rPr>
        <w:t>Certification of Principal Financial Officer Pursuant to 18 U.S.C. Section 1350, as Adopted Pursuant to Section 906 of the Sarbanes-Oxley Act of 2002.</w:t>
      </w:r>
    </w:p>
    <w:p>
      <w:pPr>
        <w:spacing w:after="0" w:line="59" w:lineRule="exact"/>
        <w:rPr>
          <w:sz w:val="20"/>
          <w:szCs w:val="20"/>
          <w:color w:val="auto"/>
        </w:rPr>
      </w:pPr>
    </w:p>
    <w:p>
      <w:pPr>
        <w:ind w:left="940" w:right="40" w:hanging="932"/>
        <w:spacing w:after="0" w:line="266" w:lineRule="auto"/>
        <w:tabs>
          <w:tab w:leader="none" w:pos="9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following financial statements from the Company’s Quarterly Report on Form 10-Q for the quarter ended March 31, 2022, formatted in Inline XBRL: (i) Consolidated Balance Sheets, (ii) Consolidated Statements of Earnings, (iii) Consolidated Statements of Comprehensive Income (Loss), (iv) Consolidated Statements of Stockholders’ Equity, (v) Consolidated Statements of Cash Flows and (vi) Notes to Consolidated Financial Statements, tagged as blocks of text and including detailed tags.</w:t>
      </w:r>
    </w:p>
    <w:p>
      <w:pPr>
        <w:spacing w:after="0" w:line="65" w:lineRule="exact"/>
        <w:rPr>
          <w:sz w:val="20"/>
          <w:szCs w:val="20"/>
          <w:color w:val="auto"/>
        </w:rPr>
      </w:pPr>
    </w:p>
    <w:p>
      <w:pPr>
        <w:ind w:left="940" w:right="80" w:hanging="932"/>
        <w:spacing w:after="0" w:line="271" w:lineRule="auto"/>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9512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07" w:lineRule="exact"/>
        <w:rPr>
          <w:sz w:val="20"/>
          <w:szCs w:val="20"/>
          <w:color w:val="auto"/>
        </w:rPr>
      </w:pPr>
    </w:p>
    <w:p>
      <w:pPr>
        <w:ind w:left="640" w:hanging="632"/>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firstLine="637"/>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Parsons Corporation</w:t>
      </w:r>
    </w:p>
    <w:p>
      <w:pPr>
        <w:spacing w:after="0" w:line="198" w:lineRule="exact"/>
        <w:rPr>
          <w:sz w:val="20"/>
          <w:szCs w:val="20"/>
          <w:color w:val="auto"/>
        </w:rPr>
      </w:pPr>
    </w:p>
    <w:p>
      <w:pPr>
        <w:spacing w:after="0"/>
        <w:tabs>
          <w:tab w:leader="none" w:pos="5860" w:val="left"/>
          <w:tab w:leader="none" w:pos="8040" w:val="left"/>
        </w:tabs>
        <w:rPr>
          <w:sz w:val="20"/>
          <w:szCs w:val="20"/>
          <w:color w:val="auto"/>
        </w:rPr>
      </w:pPr>
      <w:r>
        <w:rPr>
          <w:rFonts w:ascii="Arial" w:cs="Arial" w:eastAsia="Arial" w:hAnsi="Arial"/>
          <w:sz w:val="18"/>
          <w:szCs w:val="18"/>
          <w:color w:val="auto"/>
        </w:rPr>
        <w:t>Date: May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George L.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8890</wp:posOffset>
            </wp:positionV>
            <wp:extent cx="31629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30" w:lineRule="exact"/>
        <w:rPr>
          <w:sz w:val="20"/>
          <w:szCs w:val="20"/>
          <w:color w:val="auto"/>
        </w:rPr>
      </w:pPr>
    </w:p>
    <w:p>
      <w:pPr>
        <w:jc w:val="center"/>
        <w:ind w:left="6240"/>
        <w:spacing w:after="0"/>
        <w:rPr>
          <w:sz w:val="20"/>
          <w:szCs w:val="20"/>
          <w:color w:val="auto"/>
        </w:rPr>
      </w:pPr>
      <w:r>
        <w:rPr>
          <w:rFonts w:ascii="Arial" w:cs="Arial" w:eastAsia="Arial" w:hAnsi="Arial"/>
          <w:sz w:val="18"/>
          <w:szCs w:val="18"/>
          <w:color w:val="auto"/>
        </w:rPr>
        <w:t>George L. Ball</w:t>
      </w:r>
    </w:p>
    <w:p>
      <w:pPr>
        <w:spacing w:after="0" w:line="14" w:lineRule="exact"/>
        <w:rPr>
          <w:sz w:val="20"/>
          <w:szCs w:val="20"/>
          <w:color w:val="auto"/>
        </w:rPr>
      </w:pPr>
    </w:p>
    <w:p>
      <w:pPr>
        <w:jc w:val="center"/>
        <w:ind w:left="6240"/>
        <w:spacing w:after="0"/>
        <w:rPr>
          <w:sz w:val="20"/>
          <w:szCs w:val="20"/>
          <w:color w:val="auto"/>
        </w:rPr>
      </w:pPr>
      <w:r>
        <w:rPr>
          <w:rFonts w:ascii="Arial" w:cs="Arial" w:eastAsia="Arial" w:hAnsi="Arial"/>
          <w:sz w:val="18"/>
          <w:szCs w:val="18"/>
          <w:color w:val="auto"/>
        </w:rPr>
        <w:t>Chief Financial Officer</w:t>
      </w:r>
    </w:p>
    <w:p>
      <w:pPr>
        <w:spacing w:after="0" w:line="18"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5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320" w:top="553" w:right="59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FIFTH AMENDMENT TO THE</w:t>
      </w:r>
    </w:p>
    <w:p>
      <w:pPr>
        <w:jc w:val="center"/>
        <w:spacing w:after="0" w:line="233" w:lineRule="auto"/>
        <w:rPr>
          <w:sz w:val="20"/>
          <w:szCs w:val="20"/>
          <w:color w:val="auto"/>
        </w:rPr>
      </w:pPr>
      <w:r>
        <w:rPr>
          <w:rFonts w:ascii="Times New Roman" w:cs="Times New Roman" w:eastAsia="Times New Roman" w:hAnsi="Times New Roman"/>
          <w:sz w:val="22"/>
          <w:szCs w:val="22"/>
          <w:b w:val="1"/>
          <w:bCs w:val="1"/>
          <w:color w:val="auto"/>
        </w:rPr>
        <w:t>PARSONS EMPLOYEE STOCK OWNERSHIP PLAN</w:t>
      </w:r>
    </w:p>
    <w:p>
      <w:pPr>
        <w:jc w:val="center"/>
        <w:spacing w:after="0"/>
        <w:rPr>
          <w:sz w:val="20"/>
          <w:szCs w:val="20"/>
          <w:color w:val="auto"/>
        </w:rPr>
      </w:pPr>
      <w:r>
        <w:rPr>
          <w:rFonts w:ascii="Times New Roman" w:cs="Times New Roman" w:eastAsia="Times New Roman" w:hAnsi="Times New Roman"/>
          <w:sz w:val="20"/>
          <w:szCs w:val="20"/>
          <w:b w:val="1"/>
          <w:bCs w:val="1"/>
          <w:color w:val="auto"/>
        </w:rPr>
        <w:t>2019 AMENDMENT AND RESTATEMENT</w:t>
      </w:r>
    </w:p>
    <w:p>
      <w:pPr>
        <w:spacing w:after="0" w:line="189" w:lineRule="exact"/>
        <w:rPr>
          <w:sz w:val="20"/>
          <w:szCs w:val="20"/>
          <w:color w:val="auto"/>
        </w:rPr>
      </w:pPr>
    </w:p>
    <w:p>
      <w:pPr>
        <w:ind w:firstLine="864"/>
        <w:spacing w:after="0" w:line="258" w:lineRule="auto"/>
        <w:rPr>
          <w:sz w:val="20"/>
          <w:szCs w:val="20"/>
          <w:color w:val="auto"/>
        </w:rPr>
      </w:pPr>
      <w:r>
        <w:rPr>
          <w:rFonts w:ascii="Times New Roman" w:cs="Times New Roman" w:eastAsia="Times New Roman" w:hAnsi="Times New Roman"/>
          <w:sz w:val="22"/>
          <w:szCs w:val="22"/>
          <w:color w:val="auto"/>
        </w:rPr>
        <w:t>The Parsons Employee Stock Ownership Plan 2019 Amendment and Restatement (as amended,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is hereby amended as follows, in each case, effective as of the dates indicated below:</w:t>
      </w:r>
    </w:p>
    <w:p>
      <w:pPr>
        <w:spacing w:after="0" w:line="158" w:lineRule="exact"/>
        <w:rPr>
          <w:sz w:val="20"/>
          <w:szCs w:val="20"/>
          <w:color w:val="auto"/>
        </w:rPr>
      </w:pPr>
    </w:p>
    <w:p>
      <w:pPr>
        <w:ind w:left="860" w:hanging="852"/>
        <w:spacing w:after="0" w:line="258" w:lineRule="auto"/>
        <w:tabs>
          <w:tab w:leader="none" w:pos="8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May 16, 2022, Sections 8.2(a)(2), 8.2(b)(2) and 8.2(c)(2) are hereby amended and restated in their entirety to read:</w:t>
      </w:r>
    </w:p>
    <w:p>
      <w:pPr>
        <w:spacing w:after="0" w:line="158" w:lineRule="exact"/>
        <w:rPr>
          <w:rFonts w:ascii="Times New Roman" w:cs="Times New Roman" w:eastAsia="Times New Roman" w:hAnsi="Times New Roman"/>
          <w:sz w:val="22"/>
          <w:szCs w:val="22"/>
          <w:color w:val="auto"/>
        </w:rPr>
      </w:pPr>
    </w:p>
    <w:p>
      <w:pPr>
        <w:ind w:left="1180" w:hanging="308"/>
        <w:spacing w:after="0"/>
        <w:tabs>
          <w:tab w:leader="none" w:pos="118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w:t>
      </w:r>
      <w:r>
        <w:rPr>
          <w:rFonts w:ascii="Times New Roman" w:cs="Times New Roman" w:eastAsia="Times New Roman" w:hAnsi="Times New Roman"/>
          <w:sz w:val="22"/>
          <w:szCs w:val="22"/>
          <w:color w:val="auto"/>
        </w:rPr>
        <w:t>: The Participant’s vested Account consisting of Company Stock shall be distributed in a lump sum.</w:t>
      </w:r>
    </w:p>
    <w:p>
      <w:pPr>
        <w:spacing w:after="0" w:line="206" w:lineRule="exact"/>
        <w:rPr>
          <w:rFonts w:ascii="Times New Roman" w:cs="Times New Roman" w:eastAsia="Times New Roman" w:hAnsi="Times New Roman"/>
          <w:sz w:val="22"/>
          <w:szCs w:val="22"/>
          <w:color w:val="auto"/>
        </w:rPr>
      </w:pPr>
    </w:p>
    <w:p>
      <w:pPr>
        <w:jc w:val="both"/>
        <w:ind w:left="860" w:hanging="852"/>
        <w:spacing w:after="0" w:line="235" w:lineRule="auto"/>
        <w:tabs>
          <w:tab w:leader="none" w:pos="8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May 16, 2022, the amendments to the form of distribution described above shall be implemented with respect to all Participants who make an initial application to receive distributions. Each Participant who previously elected installment distributions and has, prior to May 16, 2022, received payment of at least one installment, but who has not received full payment of their vested Account balance, shall have the opportunity to elect, prior to May 31, 2022, to continue to receive installment payments in accordance with the Participant’s existing payment election. Any such Participant who does not affirmatively elect to continue to receive payments in accordance with their existing installment payment election prior to May 31, 2022, shall receive a lump sum distribution of their vested Account balance on or about June 15,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this instrument of amendment is executed this 28th day of April, 2022.</w:t>
      </w:r>
    </w:p>
    <w:p>
      <w:pPr>
        <w:spacing w:after="0" w:line="1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PARSONS CORPORATION</w:t>
      </w:r>
    </w:p>
    <w:p>
      <w:pPr>
        <w:spacing w:after="0" w:line="1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By:</w:t>
      </w:r>
    </w:p>
    <w:p>
      <w:pPr>
        <w:spacing w:after="0" w:line="16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color w:val="auto"/>
        </w:rPr>
        <w:t>Name:</w:t>
      </w:r>
    </w:p>
    <w:p>
      <w:pPr>
        <w:spacing w:after="0" w:line="20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Title: __________________________________</w:t>
      </w:r>
    </w:p>
    <w:p>
      <w:pPr>
        <w:sectPr>
          <w:pgSz w:w="11900" w:h="16838" w:orient="portrait"/>
          <w:cols w:equalWidth="0" w:num="1">
            <w:col w:w="11240"/>
          </w:cols>
          <w:pgMar w:left="320" w:top="12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 Carey A. Smith, certify that:</w:t>
      </w:r>
    </w:p>
    <w:p>
      <w:pPr>
        <w:spacing w:after="0" w:line="212"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Parsons Corporation;</w:t>
      </w:r>
    </w:p>
    <w:p>
      <w:pPr>
        <w:spacing w:after="0" w:line="211"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20" w:right="60" w:hanging="512"/>
        <w:spacing w:after="0" w:line="253"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7" w:lineRule="exact"/>
        <w:rPr>
          <w:rFonts w:ascii="Arial" w:cs="Arial" w:eastAsia="Arial" w:hAnsi="Arial"/>
          <w:sz w:val="18"/>
          <w:szCs w:val="18"/>
          <w:color w:val="auto"/>
        </w:rPr>
      </w:pPr>
    </w:p>
    <w:p>
      <w:pPr>
        <w:ind w:left="1040" w:right="280" w:hanging="519"/>
        <w:spacing w:after="0" w:line="253"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17" w:lineRule="exact"/>
        <w:rPr>
          <w:rFonts w:ascii="Arial" w:cs="Arial" w:eastAsia="Arial" w:hAnsi="Arial"/>
          <w:sz w:val="18"/>
          <w:szCs w:val="18"/>
          <w:color w:val="auto"/>
        </w:rPr>
      </w:pPr>
    </w:p>
    <w:p>
      <w:pPr>
        <w:ind w:left="1040" w:right="260" w:hanging="519"/>
        <w:spacing w:after="0" w:line="253"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17" w:lineRule="exact"/>
        <w:rPr>
          <w:rFonts w:ascii="Arial" w:cs="Arial" w:eastAsia="Arial" w:hAnsi="Arial"/>
          <w:sz w:val="18"/>
          <w:szCs w:val="18"/>
          <w:color w:val="auto"/>
        </w:rPr>
      </w:pPr>
    </w:p>
    <w:p>
      <w:pPr>
        <w:jc w:val="both"/>
        <w:ind w:left="1040" w:right="200" w:hanging="519"/>
        <w:spacing w:after="0" w:line="253"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7" w:lineRule="exact"/>
        <w:rPr>
          <w:rFonts w:ascii="Arial" w:cs="Arial" w:eastAsia="Arial" w:hAnsi="Arial"/>
          <w:sz w:val="18"/>
          <w:szCs w:val="18"/>
          <w:color w:val="auto"/>
        </w:rPr>
      </w:pPr>
    </w:p>
    <w:p>
      <w:pPr>
        <w:ind w:left="1040" w:right="20" w:hanging="519"/>
        <w:spacing w:after="0" w:line="253"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7"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40" w:right="200" w:hanging="519"/>
        <w:spacing w:after="0" w:line="253"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40" w:right="120" w:hanging="519"/>
        <w:spacing w:after="0" w:line="271"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6" w:lineRule="exact"/>
        <w:rPr>
          <w:sz w:val="20"/>
          <w:szCs w:val="20"/>
          <w:color w:val="auto"/>
        </w:rPr>
      </w:pPr>
    </w:p>
    <w:p>
      <w:pPr>
        <w:spacing w:after="0"/>
        <w:tabs>
          <w:tab w:leader="none" w:pos="6740" w:val="left"/>
          <w:tab w:leader="none" w:pos="8420" w:val="left"/>
        </w:tabs>
        <w:rPr>
          <w:sz w:val="20"/>
          <w:szCs w:val="20"/>
          <w:color w:val="auto"/>
        </w:rPr>
      </w:pPr>
      <w:r>
        <w:rPr>
          <w:rFonts w:ascii="Arial" w:cs="Arial" w:eastAsia="Arial" w:hAnsi="Arial"/>
          <w:sz w:val="18"/>
          <w:szCs w:val="18"/>
          <w:color w:val="auto"/>
        </w:rPr>
        <w:t>Date: May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8890</wp:posOffset>
            </wp:positionV>
            <wp:extent cx="26314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0"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Carey A. Smith</w:t>
      </w:r>
    </w:p>
    <w:p>
      <w:pPr>
        <w:spacing w:after="0" w:line="36"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2"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 George L. Ball, certify that:</w:t>
      </w:r>
    </w:p>
    <w:p>
      <w:pPr>
        <w:spacing w:after="0" w:line="212" w:lineRule="exact"/>
        <w:rPr>
          <w:sz w:val="20"/>
          <w:szCs w:val="20"/>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Parsons Corporation;</w:t>
      </w:r>
    </w:p>
    <w:p>
      <w:pPr>
        <w:spacing w:after="0" w:line="211"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20" w:right="60" w:hanging="512"/>
        <w:spacing w:after="0" w:line="253"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040" w:right="280" w:hanging="519"/>
        <w:spacing w:after="0" w:line="253" w:lineRule="auto"/>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ind w:left="1040" w:right="260" w:hanging="519"/>
        <w:spacing w:after="0" w:line="253" w:lineRule="auto"/>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040" w:right="200" w:hanging="519"/>
        <w:spacing w:after="0" w:line="253" w:lineRule="auto"/>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40" w:right="20" w:hanging="519"/>
        <w:spacing w:after="0" w:line="253" w:lineRule="auto"/>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40" w:right="200" w:hanging="519"/>
        <w:spacing w:after="0" w:line="253" w:lineRule="auto"/>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40" w:right="120" w:hanging="519"/>
        <w:spacing w:after="0" w:line="271" w:lineRule="auto"/>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6" w:lineRule="exact"/>
        <w:rPr>
          <w:sz w:val="20"/>
          <w:szCs w:val="20"/>
          <w:color w:val="auto"/>
        </w:rPr>
      </w:pPr>
    </w:p>
    <w:p>
      <w:pPr>
        <w:spacing w:after="0"/>
        <w:tabs>
          <w:tab w:leader="none" w:pos="6740" w:val="left"/>
          <w:tab w:leader="none" w:pos="8460" w:val="left"/>
        </w:tabs>
        <w:rPr>
          <w:sz w:val="20"/>
          <w:szCs w:val="20"/>
          <w:color w:val="auto"/>
        </w:rPr>
      </w:pPr>
      <w:r>
        <w:rPr>
          <w:rFonts w:ascii="Arial" w:cs="Arial" w:eastAsia="Arial" w:hAnsi="Arial"/>
          <w:sz w:val="18"/>
          <w:szCs w:val="18"/>
          <w:color w:val="auto"/>
        </w:rPr>
        <w:t>Date: May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George L.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8890</wp:posOffset>
            </wp:positionV>
            <wp:extent cx="26314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0"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George L. Ball</w:t>
      </w:r>
    </w:p>
    <w:p>
      <w:pPr>
        <w:spacing w:after="0" w:line="36"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2"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ind w:right="160" w:firstLine="526"/>
        <w:spacing w:after="0" w:line="253" w:lineRule="auto"/>
        <w:rPr>
          <w:sz w:val="20"/>
          <w:szCs w:val="20"/>
          <w:color w:val="auto"/>
        </w:rPr>
      </w:pPr>
      <w:r>
        <w:rPr>
          <w:rFonts w:ascii="Arial" w:cs="Arial" w:eastAsia="Arial" w:hAnsi="Arial"/>
          <w:sz w:val="18"/>
          <w:szCs w:val="18"/>
          <w:color w:val="auto"/>
        </w:rPr>
        <w:t>In connection with the Quarterly Report of Parsons Corporation (the “Company”) on Form 10-Q for the period ending March 31, 2022 as filed with the Securities and Exchange Commission on the date hereof (the “Report”), I, Carey A. Smith, Chief Executive Officer of the Company, certify, pursuant to 18 U.S.C. § 1350, as adopted pursuant to § 906 of the Sarbanes-Oxley Act of 2002, that:</w:t>
      </w:r>
    </w:p>
    <w:p>
      <w:pPr>
        <w:spacing w:after="0" w:line="169" w:lineRule="exact"/>
        <w:rPr>
          <w:sz w:val="20"/>
          <w:szCs w:val="20"/>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40" w:right="20" w:hanging="519"/>
        <w:spacing w:after="0" w:line="271"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p>
      <w:pPr>
        <w:spacing w:after="0"/>
        <w:tabs>
          <w:tab w:leader="none" w:pos="6180" w:val="left"/>
          <w:tab w:leader="none" w:pos="8120" w:val="left"/>
        </w:tabs>
        <w:rPr>
          <w:sz w:val="20"/>
          <w:szCs w:val="20"/>
          <w:color w:val="auto"/>
        </w:rPr>
      </w:pPr>
      <w:r>
        <w:rPr>
          <w:rFonts w:ascii="Arial" w:cs="Arial" w:eastAsia="Arial" w:hAnsi="Arial"/>
          <w:sz w:val="18"/>
          <w:szCs w:val="18"/>
          <w:color w:val="auto"/>
        </w:rPr>
        <w:t>Date: May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8890</wp:posOffset>
            </wp:positionV>
            <wp:extent cx="30086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30" w:lineRule="exact"/>
        <w:rPr>
          <w:sz w:val="20"/>
          <w:szCs w:val="20"/>
          <w:color w:val="auto"/>
        </w:rPr>
      </w:pPr>
    </w:p>
    <w:p>
      <w:pPr>
        <w:jc w:val="center"/>
        <w:ind w:left="6480"/>
        <w:spacing w:after="0"/>
        <w:rPr>
          <w:sz w:val="20"/>
          <w:szCs w:val="20"/>
          <w:color w:val="auto"/>
        </w:rPr>
      </w:pPr>
      <w:r>
        <w:rPr>
          <w:rFonts w:ascii="Arial" w:cs="Arial" w:eastAsia="Arial" w:hAnsi="Arial"/>
          <w:sz w:val="18"/>
          <w:szCs w:val="18"/>
          <w:color w:val="auto"/>
        </w:rPr>
        <w:t>Carey A. Smith</w:t>
      </w:r>
    </w:p>
    <w:p>
      <w:pPr>
        <w:spacing w:after="0" w:line="14" w:lineRule="exact"/>
        <w:rPr>
          <w:sz w:val="20"/>
          <w:szCs w:val="20"/>
          <w:color w:val="auto"/>
        </w:rPr>
      </w:pPr>
    </w:p>
    <w:p>
      <w:pPr>
        <w:jc w:val="center"/>
        <w:ind w:left="64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480" w:firstLine="526"/>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22"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ind w:right="180" w:firstLine="510"/>
        <w:spacing w:after="0" w:line="253" w:lineRule="auto"/>
        <w:rPr>
          <w:sz w:val="20"/>
          <w:szCs w:val="20"/>
          <w:color w:val="auto"/>
        </w:rPr>
      </w:pPr>
      <w:r>
        <w:rPr>
          <w:rFonts w:ascii="Arial" w:cs="Arial" w:eastAsia="Arial" w:hAnsi="Arial"/>
          <w:sz w:val="18"/>
          <w:szCs w:val="18"/>
          <w:color w:val="auto"/>
        </w:rPr>
        <w:t>In connection with the Quarterly Report of Parsons Corporation (the “Company”) on Form 10-Q for the period ending March 31, 2022 as filed with the Securities and Exchange Commission on the date hereof (the “Report”), I, George L. Ball, Chief Financial Officer of the Company, certify, pursuant to 18 U.S.C. § 1350, as adopted pursuant to § 906 of the Sarbanes-Oxley Act of 2002, that:</w:t>
      </w:r>
    </w:p>
    <w:p>
      <w:pPr>
        <w:spacing w:after="0" w:line="169" w:lineRule="exact"/>
        <w:rPr>
          <w:sz w:val="20"/>
          <w:szCs w:val="20"/>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00" w:right="60" w:hanging="493"/>
        <w:spacing w:after="0" w:line="271"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p>
      <w:pPr>
        <w:spacing w:after="0"/>
        <w:tabs>
          <w:tab w:leader="none" w:pos="6180" w:val="left"/>
          <w:tab w:leader="none" w:pos="8160" w:val="left"/>
        </w:tabs>
        <w:rPr>
          <w:sz w:val="20"/>
          <w:szCs w:val="20"/>
          <w:color w:val="auto"/>
        </w:rPr>
      </w:pPr>
      <w:r>
        <w:rPr>
          <w:rFonts w:ascii="Arial" w:cs="Arial" w:eastAsia="Arial" w:hAnsi="Arial"/>
          <w:sz w:val="18"/>
          <w:szCs w:val="18"/>
          <w:color w:val="auto"/>
        </w:rPr>
        <w:t>Date: May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George L.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8890</wp:posOffset>
            </wp:positionV>
            <wp:extent cx="30086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30" w:lineRule="exact"/>
        <w:rPr>
          <w:sz w:val="20"/>
          <w:szCs w:val="20"/>
          <w:color w:val="auto"/>
        </w:rPr>
      </w:pPr>
    </w:p>
    <w:p>
      <w:pPr>
        <w:jc w:val="center"/>
        <w:ind w:left="6480"/>
        <w:spacing w:after="0"/>
        <w:rPr>
          <w:sz w:val="20"/>
          <w:szCs w:val="20"/>
          <w:color w:val="auto"/>
        </w:rPr>
      </w:pPr>
      <w:r>
        <w:rPr>
          <w:rFonts w:ascii="Arial" w:cs="Arial" w:eastAsia="Arial" w:hAnsi="Arial"/>
          <w:sz w:val="18"/>
          <w:szCs w:val="18"/>
          <w:color w:val="auto"/>
        </w:rPr>
        <w:t>George L. Ball</w:t>
      </w:r>
    </w:p>
    <w:p>
      <w:pPr>
        <w:spacing w:after="0" w:line="14" w:lineRule="exact"/>
        <w:rPr>
          <w:sz w:val="20"/>
          <w:szCs w:val="20"/>
          <w:color w:val="auto"/>
        </w:rPr>
      </w:pPr>
    </w:p>
    <w:p>
      <w:pPr>
        <w:jc w:val="center"/>
        <w:ind w:left="64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500" w:firstLine="510"/>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2"/>
    </w:lvl>
  </w:abstractNum>
  <w:abstractNum w:abstractNumId="4">
    <w:nsid w:val="2D1D5AE9"/>
    <w:multiLevelType w:val="hybridMultilevel"/>
    <w:lvl w:ilvl="0">
      <w:lvlJc w:val="left"/>
      <w:lvlText w:val="%1."/>
      <w:numFmt w:val="decimal"/>
      <w:start w:val="3"/>
    </w:lvl>
  </w:abstractNum>
  <w:abstractNum w:abstractNumId="5">
    <w:nsid w:val="6763845E"/>
    <w:multiLevelType w:val="hybridMultilevel"/>
    <w:lvl w:ilvl="0">
      <w:lvlJc w:val="left"/>
      <w:lvlText w:val="%1."/>
      <w:numFmt w:val="decimal"/>
      <w:start w:val="4"/>
    </w:lvl>
  </w:abstractNum>
  <w:abstractNum w:abstractNumId="6">
    <w:nsid w:val="75A2A8D4"/>
    <w:multiLevelType w:val="hybridMultilevel"/>
    <w:lvl w:ilvl="0">
      <w:lvlJc w:val="left"/>
      <w:lvlText w:val="%1."/>
      <w:numFmt w:val="decimal"/>
      <w:start w:val="5"/>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lowerLetter"/>
      <w:start w:val="4"/>
    </w:lvl>
  </w:abstractNum>
  <w:abstractNum w:abstractNumId="9">
    <w:nsid w:val="4353D0CD"/>
    <w:multiLevelType w:val="hybridMultilevel"/>
    <w:lvl w:ilvl="0">
      <w:lvlJc w:val="left"/>
      <w:lvlText w:val="%1."/>
      <w:numFmt w:val="decimal"/>
      <w:start w:val="6"/>
    </w:lvl>
  </w:abstractNum>
  <w:abstractNum w:abstractNumId="10">
    <w:nsid w:val="B03E0C6"/>
    <w:multiLevelType w:val="hybridMultilevel"/>
    <w:lvl w:ilvl="0">
      <w:lvlJc w:val="left"/>
      <w:lvlText w:val="%1."/>
      <w:numFmt w:val="decimal"/>
      <w:start w:val="7"/>
    </w:lvl>
  </w:abstractNum>
  <w:abstractNum w:abstractNumId="11">
    <w:nsid w:val="189A769B"/>
    <w:multiLevelType w:val="hybridMultilevel"/>
    <w:lvl w:ilvl="0">
      <w:lvlJc w:val="left"/>
      <w:lvlText w:val="%1."/>
      <w:numFmt w:val="decimal"/>
      <w:start w:val="8"/>
    </w:lvl>
  </w:abstractNum>
  <w:abstractNum w:abstractNumId="12">
    <w:nsid w:val="54E49EB4"/>
    <w:multiLevelType w:val="hybridMultilevel"/>
    <w:lvl w:ilvl="0">
      <w:lvlJc w:val="left"/>
      <w:lvlText w:val="%1."/>
      <w:numFmt w:val="decimal"/>
      <w:start w:val="9"/>
    </w:lvl>
  </w:abstractNum>
  <w:abstractNum w:abstractNumId="13">
    <w:nsid w:val="71F32454"/>
    <w:multiLevelType w:val="hybridMultilevel"/>
    <w:lvl w:ilvl="0">
      <w:lvlJc w:val="left"/>
      <w:lvlText w:val="%1."/>
      <w:numFmt w:val="decimal"/>
      <w:start w:val="10"/>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1."/>
      <w:numFmt w:val="decimal"/>
      <w:start w:val="11"/>
    </w:lvl>
  </w:abstractNum>
  <w:abstractNum w:abstractNumId="16">
    <w:nsid w:val="2901D82"/>
    <w:multiLevelType w:val="hybridMultilevel"/>
    <w:lvl w:ilvl="0">
      <w:lvlJc w:val="left"/>
      <w:lvlText w:val="%1."/>
      <w:numFmt w:val="decimal"/>
      <w:start w:val="12"/>
    </w:lvl>
  </w:abstractNum>
  <w:abstractNum w:abstractNumId="17">
    <w:nsid w:val="3A95F874"/>
    <w:multiLevelType w:val="hybridMultilevel"/>
    <w:lvl w:ilvl="0">
      <w:lvlJc w:val="left"/>
      <w:lvlText w:val="%1."/>
      <w:numFmt w:val="decimal"/>
      <w:start w:val="13"/>
    </w:lvl>
  </w:abstractNum>
  <w:abstractNum w:abstractNumId="18">
    <w:nsid w:val="8138641"/>
    <w:multiLevelType w:val="hybridMultilevel"/>
    <w:lvl w:ilvl="0">
      <w:lvlJc w:val="left"/>
      <w:lvlText w:val="%1."/>
      <w:numFmt w:val="decimal"/>
      <w:start w:val="14"/>
    </w:lvl>
  </w:abstractNum>
  <w:abstractNum w:abstractNumId="19">
    <w:nsid w:val="1E7FF521"/>
    <w:multiLevelType w:val="hybridMultilevel"/>
    <w:lvl w:ilvl="0">
      <w:lvlJc w:val="left"/>
      <w:lvlText w:val="%1."/>
      <w:numFmt w:val="decimal"/>
      <w:start w:val="15"/>
    </w:lvl>
  </w:abstractNum>
  <w:abstractNum w:abstractNumId="20">
    <w:nsid w:val="7C3DBD3D"/>
    <w:multiLevelType w:val="hybridMultilevel"/>
    <w:lvl w:ilvl="0">
      <w:lvlJc w:val="left"/>
      <w:lvlText w:val="%1."/>
      <w:numFmt w:val="decimal"/>
      <w:start w:val="16"/>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1."/>
      <w:numFmt w:val="decimal"/>
      <w:start w:val="17"/>
    </w:lvl>
  </w:abstractNum>
  <w:abstractNum w:abstractNumId="23">
    <w:nsid w:val="22221A70"/>
    <w:multiLevelType w:val="hybridMultilevel"/>
    <w:lvl w:ilvl="0">
      <w:lvlJc w:val="left"/>
      <w:lvlText w:val="%1."/>
      <w:numFmt w:val="decimal"/>
      <w:start w:val="6"/>
    </w:lvl>
  </w:abstractNum>
  <w:abstractNum w:abstractNumId="24">
    <w:nsid w:val="4516DDE9"/>
    <w:multiLevelType w:val="hybridMultilevel"/>
    <w:lvl w:ilvl="0">
      <w:lvlJc w:val="left"/>
      <w:lvlText w:val="%1."/>
      <w:numFmt w:val="decimal"/>
      <w:start w:val="18"/>
    </w:lvl>
  </w:abstractNum>
  <w:abstractNum w:abstractNumId="25">
    <w:nsid w:val="3006C83E"/>
    <w:multiLevelType w:val="hybridMultilevel"/>
    <w:lvl w:ilvl="0">
      <w:lvlJc w:val="left"/>
      <w:lvlText w:val="(%1)"/>
      <w:numFmt w:val="lowerLetter"/>
      <w:start w:val="1"/>
    </w:lvl>
  </w:abstractNum>
  <w:abstractNum w:abstractNumId="26">
    <w:nsid w:val="614FD4A1"/>
    <w:multiLevelType w:val="hybridMultilevel"/>
    <w:lvl w:ilvl="0">
      <w:lvlJc w:val="left"/>
      <w:lvlText w:val="%1."/>
      <w:numFmt w:val="decimal"/>
      <w:start w:val="19"/>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decimal"/>
      <w:start w:val="101"/>
    </w:lvl>
  </w:abstractNum>
  <w:abstractNum w:abstractNumId="34">
    <w:nsid w:val="5C482A97"/>
    <w:multiLevelType w:val="hybridMultilevel"/>
    <w:lvl w:ilvl="0">
      <w:lvlJc w:val="left"/>
      <w:lvlText w:val="%1"/>
      <w:numFmt w:val="decimal"/>
      <w:start w:val="104"/>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1."/>
      <w:numFmt w:val="decimal"/>
      <w:start w:val="1"/>
    </w:lvl>
    <w:lvl w:ilvl="1">
      <w:lvlJc w:val="left"/>
      <w:lvlText w:val="(%2)"/>
      <w:numFmt w:val="decimal"/>
      <w:start w:val="2"/>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2022-05-04T05:39:59Z</dcterms:created>
  <dcterms:modified xsi:type="dcterms:W3CDTF">2022-05-04T05:39:59Z</dcterms:modified>
</cp:coreProperties>
</file>