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689610</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-89535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80010</wp:posOffset>
            </wp:positionV>
            <wp:extent cx="229743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40" w:firstLine="59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ind w:right="460" w:firstLine="59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00" w:right="800" w:hanging="598"/>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27, 2020, the registrant had 100,724,683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 w:name="page2"/>
    <w:bookmarkEnd w:id="1"/>
    <w:p>
      <w:pPr>
        <w:ind w:left="458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w:t>
      </w:r>
      <w:r>
        <w:rPr>
          <w:sz w:val="20"/>
          <w:szCs w:val="20"/>
          <w:color w:val="auto"/>
        </w:rPr>
        <w:tab/>
      </w:r>
      <w:hyperlink w:anchor="page3">
        <w:r>
          <w:rPr>
            <w:rFonts w:ascii="Arial" w:cs="Arial" w:eastAsia="Arial" w:hAnsi="Arial"/>
            <w:sz w:val="17"/>
            <w:szCs w:val="17"/>
            <w:u w:val="single" w:color="auto"/>
            <w:color w:val="0000EE"/>
          </w:rPr>
          <w:t>FINANCIAL INFORMATION</w:t>
        </w:r>
      </w:hyperlink>
    </w:p>
    <w:p>
      <w:pPr>
        <w:spacing w:after="0" w:line="5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7"/>
            <w:szCs w:val="17"/>
            <w:u w:val="single" w:color="auto"/>
            <w:color w:val="0000EE"/>
          </w:rPr>
          <w:t>Financial Statements (Unaudited)</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Shareholders’ Equity (Deficit)</w:t>
        </w:r>
      </w:hyperlink>
    </w:p>
    <w:p>
      <w:pPr>
        <w:spacing w:after="0" w:line="50" w:lineRule="exact"/>
        <w:rPr>
          <w:sz w:val="20"/>
          <w:szCs w:val="20"/>
          <w:color w:val="auto"/>
        </w:rPr>
      </w:pPr>
    </w:p>
    <w:p>
      <w:pPr>
        <w:ind w:left="1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28">
        <w:r>
          <w:rPr>
            <w:rFonts w:ascii="Arial" w:cs="Arial" w:eastAsia="Arial" w:hAnsi="Arial"/>
            <w:sz w:val="17"/>
            <w:szCs w:val="17"/>
            <w:u w:val="single" w:color="auto"/>
            <w:color w:val="0000EE"/>
          </w:rPr>
          <w:t>Management’s Discussion and Analysis of Financial Condition and Results of Operations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2">
        <w:r>
          <w:rPr>
            <w:rFonts w:ascii="Arial" w:cs="Arial" w:eastAsia="Arial" w:hAnsi="Arial"/>
            <w:sz w:val="17"/>
            <w:szCs w:val="17"/>
            <w:u w:val="single" w:color="auto"/>
            <w:color w:val="0000EE"/>
          </w:rPr>
          <w:t>Quantitative and Qualitative Disclosures About Market Risk</w:t>
        </w:r>
      </w:hyperlink>
    </w:p>
    <w:p>
      <w:pPr>
        <w:spacing w:after="0" w:line="23"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2">
        <w:r>
          <w:rPr>
            <w:rFonts w:ascii="Arial" w:cs="Arial" w:eastAsia="Arial" w:hAnsi="Arial"/>
            <w:sz w:val="17"/>
            <w:szCs w:val="17"/>
            <w:u w:val="single" w:color="auto"/>
            <w:color w:val="0000EE"/>
          </w:rPr>
          <w:t>Controls and Procedures</w:t>
        </w:r>
      </w:hyperlink>
    </w:p>
    <w:p>
      <w:pPr>
        <w:spacing w:after="0" w:line="2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43">
        <w:r>
          <w:rPr>
            <w:rFonts w:ascii="Arial" w:cs="Arial" w:eastAsia="Arial" w:hAnsi="Arial"/>
            <w:sz w:val="17"/>
            <w:szCs w:val="17"/>
            <w:u w:val="single" w:color="auto"/>
            <w:color w:val="0000EE"/>
          </w:rPr>
          <w:t>OTHER INFORMATION</w:t>
        </w:r>
      </w:hyperlink>
    </w:p>
    <w:p>
      <w:pPr>
        <w:spacing w:after="0" w:line="5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43">
        <w:r>
          <w:rPr>
            <w:rFonts w:ascii="Arial" w:cs="Arial" w:eastAsia="Arial" w:hAnsi="Arial"/>
            <w:sz w:val="17"/>
            <w:szCs w:val="17"/>
            <w:u w:val="single" w:color="auto"/>
            <w:color w:val="0000EE"/>
          </w:rPr>
          <w:t>Legal Proceedings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43">
        <w:r>
          <w:rPr>
            <w:rFonts w:ascii="Arial" w:cs="Arial" w:eastAsia="Arial" w:hAnsi="Arial"/>
            <w:sz w:val="17"/>
            <w:szCs w:val="17"/>
            <w:u w:val="single" w:color="auto"/>
            <w:color w:val="0000EE"/>
          </w:rPr>
          <w:t>Risk Factors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3">
        <w:r>
          <w:rPr>
            <w:rFonts w:ascii="Arial" w:cs="Arial" w:eastAsia="Arial" w:hAnsi="Arial"/>
            <w:sz w:val="17"/>
            <w:szCs w:val="17"/>
            <w:u w:val="single" w:color="auto"/>
            <w:color w:val="0000EE"/>
          </w:rPr>
          <w:t>Unregistered Sales of Equity Securities and Use of Proceeds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3">
        <w:r>
          <w:rPr>
            <w:rFonts w:ascii="Arial" w:cs="Arial" w:eastAsia="Arial" w:hAnsi="Arial"/>
            <w:sz w:val="17"/>
            <w:szCs w:val="17"/>
            <w:u w:val="single" w:color="auto"/>
            <w:color w:val="0000EE"/>
          </w:rPr>
          <w:t>Defaults Upon Senior Securities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3">
        <w:r>
          <w:rPr>
            <w:rFonts w:ascii="Arial" w:cs="Arial" w:eastAsia="Arial" w:hAnsi="Arial"/>
            <w:sz w:val="17"/>
            <w:szCs w:val="17"/>
            <w:u w:val="single" w:color="auto"/>
            <w:color w:val="0000EE"/>
          </w:rPr>
          <w:t>Mine Safety Disclosures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3">
        <w:r>
          <w:rPr>
            <w:rFonts w:ascii="Arial" w:cs="Arial" w:eastAsia="Arial" w:hAnsi="Arial"/>
            <w:sz w:val="17"/>
            <w:szCs w:val="17"/>
            <w:u w:val="single" w:color="auto"/>
            <w:color w:val="0000EE"/>
          </w:rPr>
          <w:t>Other Information</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4">
        <w:r>
          <w:rPr>
            <w:rFonts w:ascii="Arial" w:cs="Arial" w:eastAsia="Arial" w:hAnsi="Arial"/>
            <w:sz w:val="17"/>
            <w:szCs w:val="17"/>
            <w:u w:val="single" w:color="auto"/>
            <w:color w:val="0000EE"/>
          </w:rPr>
          <w:t>Exhibits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8890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10020" w:space="720"/>
            <w:col w:w="480"/>
          </w:cols>
          <w:pgMar w:left="320" w:top="10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$31,221 and $51,171 Cash of consolidated joint ventures)</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129,579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182,688</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7,041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12,686</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$257,967 and $166,355 Accounts receivable of consolidated joint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717,358</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671,492</w:t>
            </w:r>
          </w:p>
        </w:tc>
        <w:tc>
          <w:tcPr>
            <w:tcW w:w="100" w:type="dxa"/>
            <w:vAlign w:val="bottom"/>
            <w:shd w:val="clear" w:color="auto" w:fill="CFF0FC"/>
          </w:tcPr>
          <w:p>
            <w:pPr>
              <w:spacing w:after="0"/>
              <w:rPr>
                <w:sz w:val="13"/>
                <w:szCs w:val="13"/>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Contract assets (including $27,010 and $26,458 Contract assets of consolidated joint ventures)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645,556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575,089</w:t>
            </w: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$8,524 and $11,182 Prepaid expenses and other current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assets of consolidated joint ventures)</w:t>
            </w:r>
          </w:p>
        </w:tc>
        <w:tc>
          <w:tcPr>
            <w:tcW w:w="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89,662</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84,454</w:t>
            </w:r>
          </w:p>
        </w:tc>
        <w:tc>
          <w:tcPr>
            <w:tcW w:w="100" w:type="dxa"/>
            <w:vAlign w:val="bottom"/>
            <w:shd w:val="clear" w:color="auto" w:fill="CFF0FC"/>
          </w:tcPr>
          <w:p>
            <w:pPr>
              <w:spacing w:after="0"/>
              <w:rPr>
                <w:sz w:val="13"/>
                <w:szCs w:val="13"/>
                <w:color w:val="auto"/>
              </w:rPr>
            </w:pPr>
          </w:p>
        </w:tc>
      </w:tr>
      <w:tr>
        <w:trPr>
          <w:trHeight w:val="169"/>
        </w:trPr>
        <w:tc>
          <w:tcPr>
            <w:tcW w:w="740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1,589,196</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1,526,409</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Property and equipment, net (including $2,672 and $2,945 Property and equipment of consolidated joint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ventures, net)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124,764</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122,751</w:t>
            </w:r>
          </w:p>
        </w:tc>
        <w:tc>
          <w:tcPr>
            <w:tcW w:w="100" w:type="dxa"/>
            <w:vAlign w:val="bottom"/>
          </w:tcPr>
          <w:p>
            <w:pPr>
              <w:spacing w:after="0"/>
              <w:rPr>
                <w:sz w:val="13"/>
                <w:szCs w:val="13"/>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233,415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1,045,344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1,047,425</w:t>
            </w: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64,905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68,620</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214,936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259,858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129,737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130,401</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57,246</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61,489</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3,451,182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3,450,368</w:t>
            </w:r>
          </w:p>
        </w:tc>
        <w:tc>
          <w:tcPr>
            <w:tcW w:w="100" w:type="dxa"/>
            <w:vAlign w:val="bottom"/>
            <w:shd w:val="clear" w:color="auto" w:fill="CFF0FC"/>
          </w:tcPr>
          <w:p>
            <w:pPr>
              <w:spacing w:after="0"/>
              <w:rPr>
                <w:sz w:val="14"/>
                <w:szCs w:val="14"/>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 (Deficit)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$91,969 and $85,869 Accounts payable of consolidated joint ventures)</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209,858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216,613</w:t>
            </w:r>
          </w:p>
        </w:tc>
        <w:tc>
          <w:tcPr>
            <w:tcW w:w="100" w:type="dxa"/>
            <w:vAlign w:val="bottom"/>
            <w:shd w:val="clear" w:color="auto" w:fill="CFF0FC"/>
          </w:tcPr>
          <w:p>
            <w:pPr>
              <w:spacing w:after="0"/>
              <w:rPr>
                <w:sz w:val="15"/>
                <w:szCs w:val="15"/>
                <w:color w:val="auto"/>
              </w:rPr>
            </w:pPr>
          </w:p>
        </w:tc>
      </w:tr>
      <w:tr>
        <w:trPr>
          <w:trHeight w:val="180"/>
        </w:trPr>
        <w:tc>
          <w:tcPr>
            <w:tcW w:w="740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$112,014 and $74,857 Accrued expenses and 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7400" w:type="dxa"/>
            <w:vAlign w:val="bottom"/>
          </w:tcPr>
          <w:p>
            <w:pPr>
              <w:ind w:left="260"/>
              <w:spacing w:after="0" w:line="157" w:lineRule="exact"/>
              <w:rPr>
                <w:sz w:val="20"/>
                <w:szCs w:val="20"/>
                <w:color w:val="auto"/>
              </w:rPr>
            </w:pPr>
            <w:r>
              <w:rPr>
                <w:rFonts w:ascii="Arial" w:cs="Arial" w:eastAsia="Arial" w:hAnsi="Arial"/>
                <w:sz w:val="14"/>
                <w:szCs w:val="14"/>
                <w:color w:val="auto"/>
              </w:rPr>
              <w:t>current liabilities of consolidated joint ventures)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line="157" w:lineRule="exact"/>
              <w:rPr>
                <w:sz w:val="20"/>
                <w:szCs w:val="20"/>
                <w:color w:val="auto"/>
              </w:rPr>
            </w:pPr>
            <w:r>
              <w:rPr>
                <w:rFonts w:ascii="Arial" w:cs="Arial" w:eastAsia="Arial" w:hAnsi="Arial"/>
                <w:sz w:val="14"/>
                <w:szCs w:val="14"/>
                <w:color w:val="auto"/>
              </w:rPr>
              <w:t>642,357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color w:val="auto"/>
              </w:rPr>
              <w:t>639,863</w:t>
            </w:r>
          </w:p>
        </w:tc>
        <w:tc>
          <w:tcPr>
            <w:tcW w:w="100" w:type="dxa"/>
            <w:vAlign w:val="bottom"/>
          </w:tcPr>
          <w:p>
            <w:pPr>
              <w:spacing w:after="0"/>
              <w:rPr>
                <w:sz w:val="13"/>
                <w:szCs w:val="13"/>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$41,945 and $32,638 Contract liabilities of consolidated joint ventures)</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219,037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230,681</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47,648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49,994</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12,053</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7,231</w:t>
            </w:r>
          </w:p>
        </w:tc>
        <w:tc>
          <w:tcPr>
            <w:tcW w:w="100" w:type="dxa"/>
            <w:vAlign w:val="bottom"/>
            <w:shd w:val="clear" w:color="auto" w:fill="CFF0FC"/>
          </w:tcPr>
          <w:p>
            <w:pPr>
              <w:spacing w:after="0"/>
              <w:rPr>
                <w:sz w:val="15"/>
                <w:szCs w:val="15"/>
                <w:color w:val="auto"/>
              </w:rPr>
            </w:pPr>
          </w:p>
        </w:tc>
      </w:tr>
      <w:tr>
        <w:trPr>
          <w:trHeight w:val="169"/>
        </w:trPr>
        <w:tc>
          <w:tcPr>
            <w:tcW w:w="740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1,130,953</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1,144,382</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22,122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56,928</w:t>
            </w:r>
          </w:p>
        </w:tc>
        <w:tc>
          <w:tcPr>
            <w:tcW w:w="100" w:type="dxa"/>
            <w:vAlign w:val="bottom"/>
            <w:shd w:val="clear" w:color="auto" w:fill="CFF0FC"/>
          </w:tcPr>
          <w:p>
            <w:pPr>
              <w:spacing w:after="0"/>
              <w:rPr>
                <w:sz w:val="14"/>
                <w:szCs w:val="14"/>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249,448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249,353</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201,472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203,624</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9,117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9,621</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131,818</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125,704</w:t>
            </w:r>
          </w:p>
        </w:tc>
        <w:tc>
          <w:tcPr>
            <w:tcW w:w="100" w:type="dxa"/>
            <w:vAlign w:val="bottom"/>
            <w:shd w:val="clear" w:color="auto" w:fill="CFF0FC"/>
          </w:tcPr>
          <w:p>
            <w:pPr>
              <w:spacing w:after="0"/>
              <w:rPr>
                <w:sz w:val="15"/>
                <w:szCs w:val="15"/>
                <w:color w:val="auto"/>
              </w:rPr>
            </w:pPr>
          </w:p>
        </w:tc>
      </w:tr>
      <w:tr>
        <w:trPr>
          <w:trHeight w:val="169"/>
        </w:trPr>
        <w:tc>
          <w:tcPr>
            <w:tcW w:w="740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1,744,930</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1,789,612</w:t>
            </w:r>
          </w:p>
        </w:tc>
        <w:tc>
          <w:tcPr>
            <w:tcW w:w="100" w:type="dxa"/>
            <w:vAlign w:val="bottom"/>
            <w:tcBorders>
              <w:bottom w:val="single" w:sz="8" w:color="CFF0FC"/>
            </w:tcBorders>
          </w:tcPr>
          <w:p>
            <w:pPr>
              <w:spacing w:after="0"/>
              <w:rPr>
                <w:sz w:val="14"/>
                <w:szCs w:val="14"/>
                <w:color w:val="auto"/>
              </w:rPr>
            </w:pPr>
          </w:p>
        </w:tc>
      </w:tr>
      <w:tr>
        <w:trPr>
          <w:trHeight w:val="169"/>
        </w:trPr>
        <w:tc>
          <w:tcPr>
            <w:tcW w:w="7400" w:type="dxa"/>
            <w:vAlign w:val="bottom"/>
            <w:shd w:val="clear" w:color="auto" w:fill="CFF0FC"/>
          </w:tcPr>
          <w:p>
            <w:pPr>
              <w:spacing w:after="0"/>
              <w:rPr>
                <w:sz w:val="20"/>
                <w:szCs w:val="20"/>
                <w:color w:val="auto"/>
              </w:rPr>
            </w:pPr>
            <w:r>
              <w:rPr>
                <w:rFonts w:ascii="Arial" w:cs="Arial" w:eastAsia="Arial" w:hAnsi="Arial"/>
                <w:sz w:val="14"/>
                <w:szCs w:val="14"/>
                <w:color w:val="auto"/>
              </w:rPr>
              <w:t>Contingencies (Note 12)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146,495,690 and 146,440,701 shares issued;</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74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23,929,462 and 21,772,888 public shares outstanding; 76,795,221 and 78,896,806 ESOP shares outstanding</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146,496</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146,441</w:t>
            </w:r>
          </w:p>
        </w:tc>
        <w:tc>
          <w:tcPr>
            <w:tcW w:w="100" w:type="dxa"/>
            <w:vAlign w:val="bottom"/>
            <w:shd w:val="clear" w:color="auto" w:fill="CFF0FC"/>
          </w:tcPr>
          <w:p>
            <w:pPr>
              <w:spacing w:after="0"/>
              <w:rPr>
                <w:sz w:val="13"/>
                <w:szCs w:val="13"/>
                <w:color w:val="auto"/>
              </w:rPr>
            </w:pPr>
          </w:p>
        </w:tc>
      </w:tr>
      <w:tr>
        <w:trPr>
          <w:trHeight w:val="176"/>
        </w:trPr>
        <w:tc>
          <w:tcPr>
            <w:tcW w:w="7400" w:type="dxa"/>
            <w:vAlign w:val="bottom"/>
          </w:tcPr>
          <w:p>
            <w:pPr>
              <w:ind w:left="260"/>
              <w:spacing w:after="0"/>
              <w:rPr>
                <w:sz w:val="20"/>
                <w:szCs w:val="20"/>
                <w:color w:val="auto"/>
              </w:rPr>
            </w:pPr>
            <w:r>
              <w:rPr>
                <w:rFonts w:ascii="Arial" w:cs="Arial" w:eastAsia="Arial" w:hAnsi="Arial"/>
                <w:sz w:val="14"/>
                <w:szCs w:val="14"/>
                <w:color w:val="auto"/>
              </w:rPr>
              <w:t>Treasury stock, 45,771,008 shares at cost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(934,240)</w:t>
            </w:r>
          </w:p>
        </w:tc>
        <w:tc>
          <w:tcPr>
            <w:tcW w:w="12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(934,240)</w:t>
            </w: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2,658,036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2,649,975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(182,753)</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(218,025)</w:t>
            </w:r>
          </w:p>
        </w:tc>
      </w:tr>
      <w:tr>
        <w:trPr>
          <w:trHeight w:val="175"/>
        </w:trPr>
        <w:tc>
          <w:tcPr>
            <w:tcW w:w="74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(19,991)</w:t>
            </w:r>
          </w:p>
        </w:tc>
        <w:tc>
          <w:tcPr>
            <w:tcW w:w="12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(14,261)</w:t>
            </w:r>
          </w:p>
        </w:tc>
      </w:tr>
      <w:tr>
        <w:trPr>
          <w:trHeight w:val="169"/>
        </w:trPr>
        <w:tc>
          <w:tcPr>
            <w:tcW w:w="74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1,667,548</w:t>
            </w: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1,629,890</w:t>
            </w: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38,704</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30,866</w:t>
            </w:r>
          </w:p>
        </w:tc>
        <w:tc>
          <w:tcPr>
            <w:tcW w:w="100" w:type="dxa"/>
            <w:vAlign w:val="bottom"/>
            <w:tcBorders>
              <w:bottom w:val="single" w:sz="8" w:color="CFF0FC"/>
            </w:tcBorders>
          </w:tcPr>
          <w:p>
            <w:pPr>
              <w:spacing w:after="0"/>
              <w:rPr>
                <w:sz w:val="15"/>
                <w:szCs w:val="15"/>
                <w:color w:val="auto"/>
              </w:rPr>
            </w:pPr>
          </w:p>
        </w:tc>
      </w:tr>
      <w:tr>
        <w:trPr>
          <w:trHeight w:val="169"/>
        </w:trPr>
        <w:tc>
          <w:tcPr>
            <w:tcW w:w="7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shareholders' equity</w:t>
            </w: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1,706,252</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1,660,756</w:t>
            </w:r>
          </w:p>
        </w:tc>
        <w:tc>
          <w:tcPr>
            <w:tcW w:w="100" w:type="dxa"/>
            <w:vAlign w:val="bottom"/>
            <w:shd w:val="clear" w:color="auto" w:fill="CFF0FC"/>
          </w:tcPr>
          <w:p>
            <w:pPr>
              <w:spacing w:after="0"/>
              <w:rPr>
                <w:sz w:val="14"/>
                <w:szCs w:val="14"/>
                <w:color w:val="auto"/>
              </w:rPr>
            </w:pPr>
          </w:p>
        </w:tc>
      </w:tr>
      <w:tr>
        <w:trPr>
          <w:trHeight w:val="169"/>
        </w:trPr>
        <w:tc>
          <w:tcPr>
            <w:tcW w:w="7400" w:type="dxa"/>
            <w:vAlign w:val="bottom"/>
          </w:tcPr>
          <w:p>
            <w:pPr>
              <w:ind w:left="260"/>
              <w:spacing w:after="0"/>
              <w:rPr>
                <w:sz w:val="20"/>
                <w:szCs w:val="20"/>
                <w:color w:val="auto"/>
              </w:rPr>
            </w:pPr>
            <w:r>
              <w:rPr>
                <w:rFonts w:ascii="Arial" w:cs="Arial" w:eastAsia="Arial" w:hAnsi="Arial"/>
                <w:sz w:val="14"/>
                <w:szCs w:val="14"/>
                <w:color w:val="auto"/>
              </w:rPr>
              <w:t>Total liabilities, redeemable common stock and shareholders' equity</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3,451,182</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3,450,368</w:t>
            </w:r>
          </w:p>
        </w:tc>
        <w:tc>
          <w:tcPr>
            <w:tcW w:w="10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r>
      <w:tr>
        <w:trPr>
          <w:trHeight w:val="169"/>
        </w:trPr>
        <w:tc>
          <w:tcPr>
            <w:tcW w:w="50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4"/>
                <w:szCs w:val="14"/>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989,742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1,894,147</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749,324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1,518,956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1,498,960</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22,031</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7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187,640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225,359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371,414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402,878</w:t>
            </w:r>
          </w:p>
        </w:tc>
        <w:tc>
          <w:tcPr>
            <w:tcW w:w="12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14,340</w:t>
            </w:r>
          </w:p>
        </w:tc>
        <w:tc>
          <w:tcPr>
            <w:tcW w:w="120" w:type="dxa"/>
            <w:vAlign w:val="bottom"/>
            <w:shd w:val="clear" w:color="auto" w:fill="CFF0FC"/>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(4,159)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(6,376)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(8,181)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(14,668)</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(7,494)</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(12,419)</w:t>
            </w:r>
          </w:p>
        </w:tc>
      </w:tr>
      <w:tr>
        <w:trPr>
          <w:trHeight w:val="20"/>
        </w:trPr>
        <w:tc>
          <w:tcPr>
            <w:tcW w:w="5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(11,891)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(16,975)</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51,610</w:t>
            </w:r>
          </w:p>
        </w:tc>
        <w:tc>
          <w:tcPr>
            <w:tcW w:w="120" w:type="dxa"/>
            <w:vAlign w:val="bottom"/>
            <w:shd w:val="clear" w:color="auto" w:fill="CFF0FC"/>
          </w:tcPr>
          <w:p>
            <w:pPr>
              <w:spacing w:after="0"/>
              <w:rPr>
                <w:sz w:val="18"/>
                <w:szCs w:val="18"/>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53,531</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(7,826)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(9,224)</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(3,531)</w:t>
            </w:r>
          </w:p>
        </w:tc>
      </w:tr>
      <w:tr>
        <w:trPr>
          <w:trHeight w:val="20"/>
        </w:trPr>
        <w:tc>
          <w:tcPr>
            <w:tcW w:w="5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02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23,299</w:t>
            </w:r>
          </w:p>
        </w:tc>
        <w:tc>
          <w:tcPr>
            <w:tcW w:w="1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40,259</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36,272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r>
      <w:tr>
        <w:trPr>
          <w:trHeight w:val="197"/>
        </w:trPr>
        <w:tc>
          <w:tcPr>
            <w:tcW w:w="50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7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FF0FC"/>
          </w:tcPr>
          <w:p>
            <w:pPr>
              <w:spacing w:after="0"/>
              <w:rPr>
                <w:sz w:val="18"/>
                <w:szCs w:val="18"/>
                <w:color w:val="auto"/>
              </w:rPr>
            </w:pPr>
          </w:p>
        </w:tc>
      </w:tr>
      <w:tr>
        <w:trPr>
          <w:trHeight w:val="217"/>
        </w:trPr>
        <w:tc>
          <w:tcPr>
            <w:tcW w:w="9940" w:type="dxa"/>
            <w:vAlign w:val="bottom"/>
            <w:gridSpan w:val="13"/>
          </w:tcPr>
          <w:p>
            <w:pPr>
              <w:jc w:val="center"/>
              <w:ind w:left="1210"/>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8"/>
        </w:trPr>
        <w:tc>
          <w:tcPr>
            <w:tcW w:w="502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199" w:lineRule="auto"/>
        <w:framePr w:w="180" w:h="163" w:wrap="auto" w:vAnchor="page" w:hAnchor="page" w:x="5860" w:y="4230"/>
        <w:rPr>
          <w:rFonts w:ascii="Arial" w:cs="Arial" w:eastAsia="Arial" w:hAnsi="Arial"/>
          <w:sz w:val="17"/>
          <w:szCs w:val="17"/>
          <w:color w:val="auto"/>
        </w:rPr>
      </w:pPr>
      <w:r>
        <w:rPr>
          <w:rFonts w:ascii="Arial" w:cs="Arial" w:eastAsia="Arial" w:hAnsi="Arial"/>
          <w:sz w:val="17"/>
          <w:szCs w:val="17"/>
          <w:color w:val="auto"/>
        </w:rPr>
        <w:t>3</w:t>
      </w: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r>
      <w:tr>
        <w:trPr>
          <w:trHeight w:val="169"/>
        </w:trPr>
        <w:tc>
          <w:tcPr>
            <w:tcW w:w="58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4"/>
                <w:szCs w:val="14"/>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45,496</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53,531</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09"/>
        </w:trPr>
        <w:tc>
          <w:tcPr>
            <w:tcW w:w="5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income including noncontrolling interests, net of</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8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tax</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34,252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42,402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39,762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58,344</w:t>
            </w:r>
          </w:p>
        </w:tc>
        <w:tc>
          <w:tcPr>
            <w:tcW w:w="120" w:type="dxa"/>
            <w:vAlign w:val="bottom"/>
            <w:shd w:val="clear" w:color="auto" w:fill="CFF0FC"/>
          </w:tcPr>
          <w:p>
            <w:pPr>
              <w:spacing w:after="0"/>
              <w:rPr>
                <w:sz w:val="17"/>
                <w:szCs w:val="17"/>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880" w:type="dxa"/>
            <w:vAlign w:val="bottom"/>
          </w:tcPr>
          <w:p>
            <w:pPr>
              <w:spacing w:after="0" w:line="203" w:lineRule="exact"/>
              <w:rPr>
                <w:sz w:val="20"/>
                <w:szCs w:val="20"/>
                <w:color w:val="auto"/>
              </w:rPr>
            </w:pPr>
            <w:r>
              <w:rPr>
                <w:rFonts w:ascii="Arial" w:cs="Arial" w:eastAsia="Arial" w:hAnsi="Arial"/>
                <w:sz w:val="18"/>
                <w:szCs w:val="18"/>
                <w:color w:val="auto"/>
              </w:rPr>
              <w:t>of tax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(7,830)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(9,220)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(3,531)</w:t>
            </w: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8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net of tax</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26,422</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42,516</w:t>
            </w:r>
          </w:p>
        </w:tc>
        <w:tc>
          <w:tcPr>
            <w:tcW w:w="4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30,542</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8"/>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54,813</w:t>
            </w:r>
          </w:p>
        </w:tc>
        <w:tc>
          <w:tcPr>
            <w:tcW w:w="120" w:type="dxa"/>
            <w:vAlign w:val="bottom"/>
            <w:shd w:val="clear" w:color="auto" w:fill="CFF0FC"/>
          </w:tcPr>
          <w:p>
            <w:pPr>
              <w:spacing w:after="0"/>
              <w:rPr>
                <w:sz w:val="17"/>
                <w:szCs w:val="17"/>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3802380</wp:posOffset>
            </wp:positionH>
            <wp:positionV relativeFrom="paragraph">
              <wp:posOffset>8255</wp:posOffset>
            </wp:positionV>
            <wp:extent cx="3257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5"/>
                <w:szCs w:val="15"/>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2"/>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45,496</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53,531</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64,490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61,665</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on disposal of property and equipment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(866)</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(64,924)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(352)</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(9,883)</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(22,031)</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15,023</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6,432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29,468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24,529</w:t>
            </w:r>
          </w:p>
        </w:tc>
        <w:tc>
          <w:tcPr>
            <w:tcW w:w="120" w:type="dxa"/>
            <w:vAlign w:val="bottom"/>
            <w:shd w:val="clear" w:color="auto" w:fill="CFF0FC"/>
          </w:tcPr>
          <w:p>
            <w:pPr>
              <w:spacing w:after="0"/>
              <w:rPr>
                <w:sz w:val="17"/>
                <w:szCs w:val="17"/>
                <w:color w:val="auto"/>
              </w:rPr>
            </w:pPr>
          </w:p>
        </w:tc>
      </w:tr>
      <w:tr>
        <w:trPr>
          <w:trHeight w:val="204"/>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(49,618)</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(97,450)</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(70,739)</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(50,842)</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current assets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(999)</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(4,967)</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(6,228)</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(4,517)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(21,983)</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17,763</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(11,047)</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11,464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(7,223)</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(28,648)</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20,097</w:t>
            </w:r>
          </w:p>
        </w:tc>
        <w:tc>
          <w:tcPr>
            <w:tcW w:w="120" w:type="dxa"/>
            <w:vAlign w:val="bottom"/>
          </w:tcPr>
          <w:p>
            <w:pPr>
              <w:spacing w:after="0"/>
              <w:rPr>
                <w:sz w:val="17"/>
                <w:szCs w:val="17"/>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(31,444)</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(48,495)</w:t>
            </w: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(22,938)</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(25,953)</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1,873</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(287,482)</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(3,844)</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(5,049)</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4,403</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(25,822)</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(312,208)</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(180,600)</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(530,000)</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(1,605)</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(20,787)</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treasury stock</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(819)</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(1,149)</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537,331</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Dividend paid</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(52,093)</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(847)</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291,493</w:t>
            </w:r>
          </w:p>
        </w:tc>
        <w:tc>
          <w:tcPr>
            <w:tcW w:w="120" w:type="dxa"/>
            <w:vAlign w:val="bottom"/>
            <w:shd w:val="clear" w:color="auto" w:fill="CFF0FC"/>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(641)</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(602)</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(58,754)</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(69,812)</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195,374</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End of period</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136,620</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211,383</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2020 and June 30, 2019</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w w:val="98"/>
              </w:rPr>
              <w:t>Redeemable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Parsons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6"/>
              </w:rPr>
              <w:t>Common</w:t>
            </w:r>
          </w:p>
        </w:tc>
        <w:tc>
          <w:tcPr>
            <w:tcW w:w="80" w:type="dxa"/>
            <w:vAlign w:val="bottom"/>
          </w:tcPr>
          <w:p>
            <w:pPr>
              <w:spacing w:after="0"/>
              <w:rPr>
                <w:sz w:val="12"/>
                <w:szCs w:val="12"/>
                <w:color w:val="auto"/>
              </w:rPr>
            </w:pPr>
          </w:p>
        </w:tc>
        <w:tc>
          <w:tcPr>
            <w:tcW w:w="580" w:type="dxa"/>
            <w:vAlign w:val="bottom"/>
          </w:tcPr>
          <w:p>
            <w:pPr>
              <w:jc w:val="right"/>
              <w:ind w:right="30"/>
              <w:spacing w:after="0"/>
              <w:rPr>
                <w:sz w:val="20"/>
                <w:szCs w:val="20"/>
                <w:color w:val="auto"/>
              </w:rPr>
            </w:pPr>
            <w:r>
              <w:rPr>
                <w:rFonts w:ascii="Arial" w:cs="Arial" w:eastAsia="Arial" w:hAnsi="Arial"/>
                <w:sz w:val="11"/>
                <w:szCs w:val="11"/>
                <w:b w:val="1"/>
                <w:bCs w:val="1"/>
                <w:color w:val="auto"/>
                <w:w w:val="96"/>
              </w:rPr>
              <w:t>Common</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Equity</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9"/>
              </w:rPr>
              <w:t>Stock</w:t>
            </w:r>
          </w:p>
        </w:tc>
        <w:tc>
          <w:tcPr>
            <w:tcW w:w="26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Income (Loss)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7"/>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146,441</w:t>
            </w: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 (934,240)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2,652,227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(206,052)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(23,114)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1,635,262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32,117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1,667,379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23,299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23,299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7,826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31,125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2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60"/>
              <w:spacing w:after="0" w:line="157" w:lineRule="exact"/>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3,100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3,100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3,104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line="157" w:lineRule="exact"/>
              <w:rPr>
                <w:sz w:val="20"/>
                <w:szCs w:val="20"/>
                <w:color w:val="auto"/>
              </w:rPr>
            </w:pPr>
            <w:r>
              <w:rPr>
                <w:rFonts w:ascii="Arial" w:cs="Arial" w:eastAsia="Arial" w:hAnsi="Arial"/>
                <w:sz w:val="14"/>
                <w:szCs w:val="14"/>
                <w:color w:val="auto"/>
              </w:rPr>
              <w:t>retirements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55</w:t>
            </w:r>
          </w:p>
        </w:tc>
        <w:tc>
          <w:tcPr>
            <w:tcW w:w="9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1,629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1,684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1,684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146,496</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 (934,240)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2,658,036</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(182,753)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(19,991)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1,667,548</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38,704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1,706,252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2019</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320" w:type="dxa"/>
            <w:vAlign w:val="bottom"/>
            <w:vMerge w:val="continue"/>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1,875,332</w:t>
            </w:r>
          </w:p>
        </w:tc>
        <w:tc>
          <w:tcPr>
            <w:tcW w:w="260" w:type="dxa"/>
            <w:vAlign w:val="bottom"/>
            <w:tcBorders>
              <w:right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 (957,838)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75,771</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(20,401)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(902,468)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31,828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(870,640)</w:t>
            </w:r>
          </w:p>
        </w:tc>
        <w:tc>
          <w:tcPr>
            <w:tcW w:w="0" w:type="dxa"/>
            <w:vAlign w:val="bottom"/>
          </w:tcPr>
          <w:p>
            <w:pPr>
              <w:spacing w:after="0"/>
              <w:rPr>
                <w:sz w:val="1"/>
                <w:szCs w:val="1"/>
                <w:color w:val="auto"/>
              </w:rPr>
            </w:pPr>
          </w:p>
        </w:tc>
      </w:tr>
      <w:tr>
        <w:trPr>
          <w:trHeight w:val="20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40,259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40,259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gain, net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2,240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2,240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2,240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Dividend paid</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(52,093)</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(52,093)</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(52,093)</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Arial" w:cs="Arial" w:eastAsia="Arial" w:hAnsi="Arial"/>
                <w:sz w:val="14"/>
                <w:szCs w:val="14"/>
                <w:color w:val="auto"/>
              </w:rPr>
              <w:t>Conversion of S-Corp to C-Corp</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25,877</w:t>
            </w: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(25,877)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(25,877)</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(25,877)</w:t>
            </w: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IPO proceeds, net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516,034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537,330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20"/>
                <w:szCs w:val="20"/>
                <w:color w:val="auto"/>
              </w:rPr>
            </w:pPr>
            <w:r>
              <w:rPr>
                <w:rFonts w:ascii="Arial" w:cs="Arial" w:eastAsia="Arial" w:hAnsi="Arial"/>
                <w:sz w:val="14"/>
                <w:szCs w:val="14"/>
                <w:color w:val="auto"/>
              </w:rPr>
              <w:t>ESOP shares at redemption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978,986</w:t>
            </w:r>
          </w:p>
        </w:tc>
        <w:tc>
          <w:tcPr>
            <w:tcW w:w="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(516,034)</w:t>
            </w: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(462,952)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(978,986)</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(978,986)</w:t>
            </w:r>
          </w:p>
        </w:tc>
        <w:tc>
          <w:tcPr>
            <w:tcW w:w="0" w:type="dxa"/>
            <w:vAlign w:val="bottom"/>
          </w:tcPr>
          <w:p>
            <w:pPr>
              <w:spacing w:after="0"/>
              <w:rPr>
                <w:sz w:val="1"/>
                <w:szCs w:val="1"/>
                <w:color w:val="auto"/>
              </w:rPr>
            </w:pPr>
          </w:p>
        </w:tc>
      </w:tr>
      <w:tr>
        <w:trPr>
          <w:trHeight w:val="20"/>
        </w:trPr>
        <w:tc>
          <w:tcPr>
            <w:tcW w:w="23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June 30, 2019</w:t>
            </w: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320" w:type="dxa"/>
            <w:vAlign w:val="bottom"/>
            <w:vMerge w:val="continue"/>
            <w:shd w:val="clear" w:color="auto" w:fill="CFF0FC"/>
          </w:tcPr>
          <w:p>
            <w:pPr>
              <w:spacing w:after="0"/>
              <w:rPr>
                <w:sz w:val="16"/>
                <w:szCs w:val="16"/>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2,880,189</w:t>
            </w:r>
          </w:p>
        </w:tc>
        <w:tc>
          <w:tcPr>
            <w:tcW w:w="260" w:type="dxa"/>
            <w:vAlign w:val="bottom"/>
            <w:tcBorders>
              <w:right w:val="single" w:sz="8" w:color="auto"/>
            </w:tcBorders>
            <w:shd w:val="clear" w:color="auto" w:fill="CFF0FC"/>
          </w:tcPr>
          <w:p>
            <w:pPr>
              <w:spacing w:after="0"/>
              <w:rPr>
                <w:sz w:val="16"/>
                <w:szCs w:val="16"/>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104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 (957,844)</w:t>
            </w: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(424,886)</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(18,144)</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(1,379,578)</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37,352</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(1,342,226)</w:t>
            </w:r>
          </w:p>
        </w:tc>
        <w:tc>
          <w:tcPr>
            <w:tcW w:w="0" w:type="dxa"/>
            <w:vAlign w:val="bottom"/>
          </w:tcPr>
          <w:p>
            <w:pPr>
              <w:spacing w:after="0"/>
              <w:rPr>
                <w:sz w:val="1"/>
                <w:szCs w:val="1"/>
                <w:color w:val="auto"/>
              </w:rPr>
            </w:pPr>
          </w:p>
        </w:tc>
      </w:tr>
      <w:tr>
        <w:trPr>
          <w:trHeight w:val="39"/>
        </w:trPr>
        <w:tc>
          <w:tcPr>
            <w:tcW w:w="232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660" w:type="dxa"/>
            <w:vAlign w:val="bottom"/>
            <w:vMerge w:val="continue"/>
            <w:shd w:val="clear" w:color="auto" w:fill="CFF0FC"/>
          </w:tcPr>
          <w:p>
            <w:pPr>
              <w:spacing w:after="0"/>
              <w:rPr>
                <w:sz w:val="3"/>
                <w:szCs w:val="3"/>
                <w:color w:val="auto"/>
              </w:rPr>
            </w:pPr>
          </w:p>
        </w:tc>
        <w:tc>
          <w:tcPr>
            <w:tcW w:w="260" w:type="dxa"/>
            <w:vAlign w:val="bottom"/>
            <w:tcBorders>
              <w:right w:val="single" w:sz="8" w:color="auto"/>
            </w:tcBorders>
            <w:shd w:val="clear" w:color="auto" w:fill="CFF0FC"/>
          </w:tcPr>
          <w:p>
            <w:pPr>
              <w:spacing w:after="0"/>
              <w:rPr>
                <w:sz w:val="3"/>
                <w:szCs w:val="3"/>
                <w:color w:val="auto"/>
              </w:rPr>
            </w:pPr>
          </w:p>
        </w:tc>
        <w:tc>
          <w:tcPr>
            <w:tcW w:w="80" w:type="dxa"/>
            <w:vAlign w:val="bottom"/>
            <w:vMerge w:val="continue"/>
            <w:shd w:val="clear" w:color="auto" w:fill="CFF0FC"/>
          </w:tcPr>
          <w:p>
            <w:pPr>
              <w:spacing w:after="0"/>
              <w:rPr>
                <w:sz w:val="3"/>
                <w:szCs w:val="3"/>
                <w:color w:val="auto"/>
              </w:rPr>
            </w:pPr>
          </w:p>
        </w:tc>
        <w:tc>
          <w:tcPr>
            <w:tcW w:w="580" w:type="dxa"/>
            <w:vAlign w:val="bottom"/>
            <w:vMerge w:val="continue"/>
            <w:shd w:val="clear" w:color="auto" w:fill="CFF0FC"/>
          </w:tcPr>
          <w:p>
            <w:pPr>
              <w:spacing w:after="0"/>
              <w:rPr>
                <w:sz w:val="3"/>
                <w:szCs w:val="3"/>
                <w:color w:val="auto"/>
              </w:rPr>
            </w:pPr>
          </w:p>
        </w:tc>
        <w:tc>
          <w:tcPr>
            <w:tcW w:w="1040" w:type="dxa"/>
            <w:vAlign w:val="bottom"/>
            <w:gridSpan w:val="3"/>
            <w:vMerge w:val="continue"/>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68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740" w:type="dxa"/>
            <w:vAlign w:val="bottom"/>
            <w:gridSpan w:val="2"/>
            <w:vMerge w:val="continue"/>
            <w:shd w:val="clear" w:color="auto" w:fill="CFF0FC"/>
          </w:tcPr>
          <w:p>
            <w:pPr>
              <w:spacing w:after="0"/>
              <w:rPr>
                <w:sz w:val="3"/>
                <w:szCs w:val="3"/>
                <w:color w:val="auto"/>
              </w:rPr>
            </w:pPr>
          </w:p>
        </w:tc>
        <w:tc>
          <w:tcPr>
            <w:tcW w:w="160" w:type="dxa"/>
            <w:vAlign w:val="bottom"/>
            <w:gridSpan w:val="2"/>
            <w:vMerge w:val="continue"/>
            <w:shd w:val="clear" w:color="auto" w:fill="CFF0FC"/>
          </w:tcPr>
          <w:p>
            <w:pPr>
              <w:spacing w:after="0"/>
              <w:rPr>
                <w:sz w:val="3"/>
                <w:szCs w:val="3"/>
                <w:color w:val="auto"/>
              </w:rPr>
            </w:pPr>
          </w:p>
        </w:tc>
        <w:tc>
          <w:tcPr>
            <w:tcW w:w="1020" w:type="dxa"/>
            <w:vAlign w:val="bottom"/>
            <w:gridSpan w:val="2"/>
            <w:vMerge w:val="continue"/>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920" w:type="dxa"/>
            <w:vAlign w:val="bottom"/>
            <w:gridSpan w:val="2"/>
            <w:vMerge w:val="continue"/>
            <w:shd w:val="clear" w:color="auto" w:fill="CFF0FC"/>
          </w:tcPr>
          <w:p>
            <w:pPr>
              <w:spacing w:after="0"/>
              <w:rPr>
                <w:sz w:val="3"/>
                <w:szCs w:val="3"/>
                <w:color w:val="auto"/>
              </w:rPr>
            </w:pPr>
          </w:p>
        </w:tc>
        <w:tc>
          <w:tcPr>
            <w:tcW w:w="140" w:type="dxa"/>
            <w:vAlign w:val="bottom"/>
            <w:vMerge w:val="continue"/>
            <w:shd w:val="clear" w:color="auto" w:fill="CFF0FC"/>
          </w:tcPr>
          <w:p>
            <w:pPr>
              <w:spacing w:after="0"/>
              <w:rPr>
                <w:sz w:val="3"/>
                <w:szCs w:val="3"/>
                <w:color w:val="auto"/>
              </w:rPr>
            </w:pPr>
          </w:p>
        </w:tc>
        <w:tc>
          <w:tcPr>
            <w:tcW w:w="72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820" w:type="dxa"/>
            <w:vAlign w:val="bottom"/>
            <w:gridSpan w:val="2"/>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Shareholders’ Equity (Deficit)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the Six Months Ended June 30, 2020 and June 30, 2019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w:t>
      </w:r>
    </w:p>
    <w:p>
      <w:pPr>
        <w:jc w:val="center"/>
        <w:ind w:right="-3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5"/>
              </w:rPr>
              <w:t>Redeemable</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Common</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Stock</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at December 31, 2019</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38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260"/>
              <w:spacing w:after="0"/>
              <w:rPr>
                <w:sz w:val="20"/>
                <w:szCs w:val="20"/>
                <w:color w:val="auto"/>
              </w:rPr>
            </w:pPr>
            <w:r>
              <w:rPr>
                <w:rFonts w:ascii="Arial" w:cs="Arial" w:eastAsia="Arial" w:hAnsi="Arial"/>
                <w:sz w:val="14"/>
                <w:szCs w:val="14"/>
                <w:color w:val="auto"/>
              </w:rPr>
              <w:t>(loss), net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60"/>
              <w:spacing w:after="0"/>
              <w:rPr>
                <w:sz w:val="20"/>
                <w:szCs w:val="20"/>
                <w:color w:val="auto"/>
              </w:rPr>
            </w:pPr>
            <w:r>
              <w:rPr>
                <w:rFonts w:ascii="Arial" w:cs="Arial" w:eastAsia="Arial" w:hAnsi="Arial"/>
                <w:sz w:val="14"/>
                <w:szCs w:val="14"/>
                <w:color w:val="auto"/>
              </w:rPr>
              <w:t>Adoption of ASU 2016-13</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80" w:type="dxa"/>
            <w:vAlign w:val="bottom"/>
          </w:tcPr>
          <w:p>
            <w:pPr>
              <w:spacing w:after="0"/>
              <w:rPr>
                <w:sz w:val="20"/>
                <w:szCs w:val="20"/>
                <w:color w:val="auto"/>
              </w:rPr>
            </w:pPr>
            <w:r>
              <w:rPr>
                <w:rFonts w:ascii="Arial" w:cs="Arial" w:eastAsia="Arial" w:hAnsi="Arial"/>
                <w:sz w:val="14"/>
                <w:szCs w:val="14"/>
                <w:color w:val="auto"/>
              </w:rPr>
              <w:t>Issuance of equity securities, net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20"/>
                <w:szCs w:val="20"/>
                <w:color w:val="auto"/>
              </w:rPr>
            </w:pPr>
            <w:r>
              <w:rPr>
                <w:rFonts w:ascii="Arial" w:cs="Arial" w:eastAsia="Arial" w:hAnsi="Arial"/>
                <w:sz w:val="14"/>
                <w:szCs w:val="14"/>
                <w:color w:val="auto"/>
              </w:rPr>
              <w:t>of retirement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2018</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380" w:type="dxa"/>
            <w:vAlign w:val="bottom"/>
            <w:vMerge w:val="continue"/>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1,876,309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380" w:type="dxa"/>
            <w:vAlign w:val="bottom"/>
          </w:tcPr>
          <w:p>
            <w:pPr>
              <w:spacing w:after="0"/>
              <w:rPr>
                <w:sz w:val="3"/>
                <w:szCs w:val="3"/>
                <w:color w:val="auto"/>
              </w:rPr>
            </w:pPr>
          </w:p>
        </w:tc>
        <w:tc>
          <w:tcPr>
            <w:tcW w:w="8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38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260"/>
              <w:spacing w:after="0"/>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Arial" w:cs="Arial" w:eastAsia="Arial" w:hAnsi="Arial"/>
                <w:sz w:val="14"/>
                <w:szCs w:val="14"/>
                <w:color w:val="auto"/>
              </w:rPr>
              <w:t>ASC 842 Transition Adjustment</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8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Dividend paid</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Conversion of S-Corp to C-Corp</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Arial" w:cs="Arial" w:eastAsia="Arial" w:hAnsi="Arial"/>
                <w:sz w:val="14"/>
                <w:szCs w:val="14"/>
                <w:color w:val="auto"/>
              </w:rPr>
              <w:t>IPO proceeds, net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Arial" w:cs="Arial" w:eastAsia="Arial" w:hAnsi="Arial"/>
                <w:sz w:val="14"/>
                <w:szCs w:val="14"/>
                <w:color w:val="auto"/>
              </w:rPr>
              <w:t>ESOP shares at redemption value</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978,822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20"/>
                <w:szCs w:val="20"/>
                <w:color w:val="auto"/>
              </w:rPr>
            </w:pPr>
            <w:r>
              <w:rPr>
                <w:rFonts w:ascii="Arial" w:cs="Arial" w:eastAsia="Arial" w:hAnsi="Arial"/>
                <w:sz w:val="14"/>
                <w:szCs w:val="14"/>
                <w:b w:val="1"/>
                <w:bCs w:val="1"/>
                <w:color w:val="auto"/>
              </w:rPr>
              <w:t>Balance at June 30, 2019</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2,880,189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80" w:type="dxa"/>
            <w:vAlign w:val="bottom"/>
          </w:tcPr>
          <w:p>
            <w:pPr>
              <w:spacing w:after="0"/>
              <w:rPr>
                <w:sz w:val="3"/>
                <w:szCs w:val="3"/>
                <w:color w:val="auto"/>
              </w:rPr>
            </w:pPr>
          </w:p>
        </w:tc>
        <w:tc>
          <w:tcPr>
            <w:tcW w:w="8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Common</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Paid-in</w:t>
            </w:r>
          </w:p>
        </w:tc>
        <w:tc>
          <w:tcPr>
            <w:tcW w:w="1020" w:type="dxa"/>
            <w:vAlign w:val="bottom"/>
            <w:gridSpan w:val="4"/>
          </w:tcPr>
          <w:p>
            <w:pPr>
              <w:ind w:left="100"/>
              <w:spacing w:after="0"/>
              <w:rPr>
                <w:sz w:val="20"/>
                <w:szCs w:val="20"/>
                <w:color w:val="auto"/>
              </w:rPr>
            </w:pPr>
            <w:r>
              <w:rPr>
                <w:rFonts w:ascii="Arial" w:cs="Arial" w:eastAsia="Arial" w:hAnsi="Arial"/>
                <w:sz w:val="11"/>
                <w:szCs w:val="11"/>
                <w:b w:val="1"/>
                <w:bCs w:val="1"/>
                <w:color w:val="auto"/>
              </w:rPr>
              <w:t>(Accumulated</w:t>
            </w:r>
          </w:p>
        </w:tc>
        <w:tc>
          <w:tcPr>
            <w:tcW w:w="10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Parsons</w:t>
            </w: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220" w:type="dxa"/>
            <w:vAlign w:val="bottom"/>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2"/>
                <w:szCs w:val="12"/>
                <w:color w:val="auto"/>
              </w:rPr>
            </w:pPr>
          </w:p>
        </w:tc>
      </w:tr>
      <w:tr>
        <w:trPr>
          <w:trHeight w:val="1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146,441</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2,649,975</w:t>
            </w:r>
          </w:p>
        </w:tc>
        <w:tc>
          <w:tcPr>
            <w:tcW w:w="1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(218,025)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(14,261)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1,629,890</w:t>
            </w:r>
          </w:p>
        </w:tc>
        <w:tc>
          <w:tcPr>
            <w:tcW w:w="140" w:type="dxa"/>
            <w:vAlign w:val="bottom"/>
          </w:tcPr>
          <w:p>
            <w:pPr>
              <w:spacing w:after="0"/>
              <w:rPr>
                <w:sz w:val="14"/>
                <w:szCs w:val="14"/>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30,866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1,660,756</w:t>
            </w:r>
          </w:p>
        </w:tc>
        <w:tc>
          <w:tcPr>
            <w:tcW w:w="40" w:type="dxa"/>
            <w:vAlign w:val="bottom"/>
          </w:tcPr>
          <w:p>
            <w:pPr>
              <w:spacing w:after="0"/>
              <w:rPr>
                <w:sz w:val="14"/>
                <w:szCs w:val="14"/>
                <w:color w:val="auto"/>
              </w:rPr>
            </w:pPr>
          </w:p>
        </w:tc>
      </w:tr>
      <w:tr>
        <w:trPr>
          <w:trHeight w:val="413"/>
        </w:trPr>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36,272</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9,224</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45,496</w:t>
            </w:r>
          </w:p>
        </w:tc>
        <w:tc>
          <w:tcPr>
            <w:tcW w:w="4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(5,692)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(5,692)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(5,696)</w:t>
            </w:r>
          </w:p>
        </w:tc>
      </w:tr>
      <w:tr>
        <w:trPr>
          <w:trHeight w:val="229"/>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w:t>
            </w: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75"/>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w:t>
            </w:r>
          </w:p>
        </w:tc>
        <w:tc>
          <w:tcPr>
            <w:tcW w:w="40" w:type="dxa"/>
            <w:vAlign w:val="bottom"/>
          </w:tcPr>
          <w:p>
            <w:pPr>
              <w:spacing w:after="0"/>
              <w:rPr>
                <w:sz w:val="15"/>
                <w:szCs w:val="15"/>
                <w:color w:val="auto"/>
              </w:rPr>
            </w:pPr>
          </w:p>
        </w:tc>
      </w:tr>
      <w:tr>
        <w:trPr>
          <w:trHeight w:val="176"/>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(1,605)</w:t>
            </w:r>
          </w:p>
        </w:tc>
      </w:tr>
      <w:tr>
        <w:trPr>
          <w:trHeight w:val="33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1,684</w:t>
            </w:r>
          </w:p>
        </w:tc>
        <w:tc>
          <w:tcPr>
            <w:tcW w:w="40" w:type="dxa"/>
            <w:vAlign w:val="bottom"/>
          </w:tcPr>
          <w:p>
            <w:pPr>
              <w:spacing w:after="0"/>
              <w:rPr>
                <w:sz w:val="24"/>
                <w:szCs w:val="24"/>
                <w:color w:val="auto"/>
              </w:rPr>
            </w:pPr>
          </w:p>
        </w:tc>
      </w:tr>
      <w:tr>
        <w:trPr>
          <w:trHeight w:val="161"/>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6,432</w:t>
            </w:r>
          </w:p>
        </w:tc>
        <w:tc>
          <w:tcPr>
            <w:tcW w:w="40" w:type="dxa"/>
            <w:vAlign w:val="bottom"/>
          </w:tcPr>
          <w:p>
            <w:pPr>
              <w:spacing w:after="0"/>
              <w:rPr>
                <w:sz w:val="13"/>
                <w:szCs w:val="13"/>
                <w:color w:val="auto"/>
              </w:rPr>
            </w:pPr>
          </w:p>
        </w:tc>
      </w:tr>
      <w:tr>
        <w:trPr>
          <w:trHeight w:val="1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146,496</w:t>
            </w:r>
          </w:p>
        </w:tc>
        <w:tc>
          <w:tcPr>
            <w:tcW w:w="2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2,658,036</w:t>
            </w:r>
          </w:p>
        </w:tc>
        <w:tc>
          <w:tcPr>
            <w:tcW w:w="1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(182,753)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(19,991)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1,667,548</w:t>
            </w:r>
          </w:p>
        </w:tc>
        <w:tc>
          <w:tcPr>
            <w:tcW w:w="140" w:type="dxa"/>
            <w:vAlign w:val="bottom"/>
          </w:tcPr>
          <w:p>
            <w:pPr>
              <w:spacing w:after="0"/>
              <w:rPr>
                <w:sz w:val="14"/>
                <w:szCs w:val="14"/>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38,704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1,706,252</w:t>
            </w:r>
          </w:p>
        </w:tc>
        <w:tc>
          <w:tcPr>
            <w:tcW w:w="40" w:type="dxa"/>
            <w:vAlign w:val="bottom"/>
          </w:tcPr>
          <w:p>
            <w:pPr>
              <w:spacing w:after="0"/>
              <w:rPr>
                <w:sz w:val="14"/>
                <w:szCs w:val="14"/>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(957,025)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12,445</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(22,957)</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(967,537)</w:t>
            </w: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46,461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(921,076)</w:t>
            </w:r>
          </w:p>
        </w:tc>
      </w:tr>
      <w:tr>
        <w:trPr>
          <w:trHeight w:val="468"/>
        </w:trPr>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53,531</w:t>
            </w:r>
          </w:p>
        </w:tc>
        <w:tc>
          <w:tcPr>
            <w:tcW w:w="40" w:type="dxa"/>
            <w:vAlign w:val="bottom"/>
          </w:tcPr>
          <w:p>
            <w:pPr>
              <w:spacing w:after="0"/>
              <w:rPr>
                <w:sz w:val="24"/>
                <w:szCs w:val="24"/>
                <w:color w:val="auto"/>
              </w:rPr>
            </w:pPr>
          </w:p>
        </w:tc>
      </w:tr>
      <w:tr>
        <w:trPr>
          <w:trHeight w:val="338"/>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4,787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4,787</w:t>
            </w:r>
          </w:p>
        </w:tc>
        <w:tc>
          <w:tcPr>
            <w:tcW w:w="40" w:type="dxa"/>
            <w:vAlign w:val="bottom"/>
          </w:tcPr>
          <w:p>
            <w:pPr>
              <w:spacing w:after="0"/>
              <w:rPr>
                <w:sz w:val="24"/>
                <w:szCs w:val="24"/>
                <w:color w:val="auto"/>
              </w:rPr>
            </w:pPr>
          </w:p>
        </w:tc>
      </w:tr>
      <w:tr>
        <w:trPr>
          <w:trHeight w:val="229"/>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52,608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52,608</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8,147</w:t>
            </w:r>
          </w:p>
        </w:tc>
        <w:tc>
          <w:tcPr>
            <w:tcW w:w="40" w:type="dxa"/>
            <w:vAlign w:val="bottom"/>
          </w:tcPr>
          <w:p>
            <w:pPr>
              <w:spacing w:after="0"/>
              <w:rPr>
                <w:sz w:val="19"/>
                <w:szCs w:val="19"/>
                <w:color w:val="auto"/>
              </w:rPr>
            </w:pPr>
          </w:p>
        </w:tc>
      </w:tr>
      <w:tr>
        <w:trPr>
          <w:trHeight w:val="175"/>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(20,787)</w:t>
            </w: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(20,787)</w:t>
            </w:r>
          </w:p>
        </w:tc>
      </w:tr>
      <w:tr>
        <w:trPr>
          <w:trHeight w:val="175"/>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(52,093)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(52,093)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(52,093)</w:t>
            </w:r>
          </w:p>
        </w:tc>
      </w:tr>
      <w:tr>
        <w:trPr>
          <w:trHeight w:val="175"/>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(25,877)</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(25,877)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(25,877)</w:t>
            </w:r>
          </w:p>
        </w:tc>
      </w:tr>
      <w:tr>
        <w:trPr>
          <w:trHeight w:val="176"/>
        </w:trPr>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21,296</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516,034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537,330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537,330</w:t>
            </w:r>
          </w:p>
        </w:tc>
        <w:tc>
          <w:tcPr>
            <w:tcW w:w="40" w:type="dxa"/>
            <w:vAlign w:val="bottom"/>
          </w:tcPr>
          <w:p>
            <w:pPr>
              <w:spacing w:after="0"/>
              <w:rPr>
                <w:sz w:val="15"/>
                <w:szCs w:val="15"/>
                <w:color w:val="auto"/>
              </w:rPr>
            </w:pPr>
          </w:p>
        </w:tc>
      </w:tr>
      <w:tr>
        <w:trPr>
          <w:trHeight w:val="160"/>
        </w:trPr>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(516,034)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(462,788)</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(978,822)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(978,822)</w:t>
            </w:r>
          </w:p>
        </w:tc>
      </w:tr>
      <w:tr>
        <w:trPr>
          <w:trHeight w:val="20"/>
        </w:trPr>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21,296</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 (957,844)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(424,886)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(18,144)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(1,379,578)</w:t>
            </w: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37,352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(1,342,226)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-4139565</wp:posOffset>
            </wp:positionV>
            <wp:extent cx="7132320" cy="4140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40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80"/>
            <w:col w:w="7760"/>
          </w:cols>
          <w:pgMar w:left="320" w:top="121" w:right="359" w:bottom="144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40" w:right="8340" w:hanging="632"/>
        <w:spacing w:after="0" w:line="560"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On May 8, 2019, the Company consummated its initial public offering (“IPO”) whereby the Company sold 18,518,500 shares of common stock for $27.00 per share. The underwriters exercised their option on May 14, 2019 to purchase an additional 2,777,775 shares at the net price of $25.515 which was the IPO share price of $27.00 less the underwriting discount of $1.485 per share. The net proceeds of the IPO and the underwriters’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Dividend</w:t>
      </w:r>
    </w:p>
    <w:p>
      <w:pPr>
        <w:spacing w:after="0" w:line="234" w:lineRule="exact"/>
        <w:rPr>
          <w:sz w:val="20"/>
          <w:szCs w:val="20"/>
          <w:color w:val="auto"/>
        </w:rPr>
      </w:pPr>
    </w:p>
    <w:p>
      <w:pPr>
        <w:ind w:right="220" w:firstLine="637"/>
        <w:spacing w:after="0" w:line="238"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8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360" w:firstLine="63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2019.</w:t>
      </w:r>
    </w:p>
    <w:p>
      <w:pPr>
        <w:spacing w:after="0" w:line="20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This Quarterly Report on Form 10-Q include the accounts of Parsons Corporation and its subsidiaries and affiliates with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jc w:val="both"/>
        <w:ind w:right="20" w:firstLine="637"/>
        <w:spacing w:after="0" w:line="234" w:lineRule="auto"/>
        <w:rPr>
          <w:sz w:val="20"/>
          <w:szCs w:val="20"/>
          <w:color w:val="auto"/>
        </w:rPr>
      </w:pPr>
      <w:r>
        <w:rPr>
          <w:rFonts w:ascii="Arial" w:cs="Arial" w:eastAsia="Arial" w:hAnsi="Arial"/>
          <w:sz w:val="18"/>
          <w:szCs w:val="18"/>
          <w:color w:val="auto"/>
        </w:rPr>
        <w:t>During the second quarter of fiscal 2020, initial purchases of the Company’s common Stock were made under the Parsons Employee Stock Purchase Program (“ESPP”). Under the ESPP, eligible employees who elect to participate are granted the right to purchase shares of the common stock of Parsons at a discount that is limited to 5% of the per-share market value on the day shares are sold to</w:t>
      </w:r>
    </w:p>
    <w:p>
      <w:pPr>
        <w:spacing w:after="0" w:line="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employees. Purchases of common stock under the ESPP are included in “proceeds from issuance of common stock” in cash flows from financing activities in the Consolidated Statements of Cash Flows.</w:t>
      </w:r>
    </w:p>
    <w:p>
      <w:pPr>
        <w:spacing w:after="0" w:line="28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4"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the first quarter of 2020, the Company adopted Accounting Standards Update (“ASU”) 2016-13, “Measurement of Credit Losses on Financial Instruments.” The amendments in ASU 2016-13 replace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Company’s consolidated financial statements.</w:t>
      </w:r>
    </w:p>
    <w:p>
      <w:pPr>
        <w:spacing w:after="0" w:line="205"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was issued as a means to reduce the complexity of accounting for income taxes for those entities that fall within the scope of the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does not expect this standard to have a material impact on its consolidated financial statements.</w:t>
      </w:r>
    </w:p>
    <w:p>
      <w:pPr>
        <w:spacing w:after="0" w:line="18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OGSystems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7, 2019, the Company acquired a 100% ownership interest in OGSystems, a privately-owned company, for $292.4 million</w:t>
      </w:r>
    </w:p>
    <w:p>
      <w:pPr>
        <w:spacing w:after="0" w:line="234" w:lineRule="auto"/>
        <w:rPr>
          <w:sz w:val="20"/>
          <w:szCs w:val="20"/>
          <w:color w:val="auto"/>
        </w:rPr>
      </w:pPr>
      <w:r>
        <w:rPr>
          <w:rFonts w:ascii="Arial" w:cs="Arial" w:eastAsia="Arial" w:hAnsi="Arial"/>
          <w:sz w:val="18"/>
          <w:szCs w:val="18"/>
          <w:color w:val="auto"/>
        </w:rPr>
        <w:t>paid in cash. OGSystems provides geospatial intelligence, big data analytics and threat mitigation for defense and intelligence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customers. The Company borrowed $110 million under the Credit Agreement and $150 million on a short-term loan, as described in “Note</w:t>
      </w:r>
    </w:p>
    <w:p>
      <w:pPr>
        <w:spacing w:after="0" w:line="10" w:lineRule="exact"/>
        <w:rPr>
          <w:sz w:val="20"/>
          <w:szCs w:val="20"/>
          <w:color w:val="auto"/>
        </w:rPr>
      </w:pPr>
    </w:p>
    <w:p>
      <w:pPr>
        <w:jc w:val="both"/>
        <w:ind w:right="220"/>
        <w:spacing w:after="0" w:line="244" w:lineRule="auto"/>
        <w:rPr>
          <w:sz w:val="20"/>
          <w:szCs w:val="20"/>
          <w:color w:val="auto"/>
        </w:rPr>
      </w:pPr>
      <w:r>
        <w:rPr>
          <w:rFonts w:ascii="Arial" w:cs="Arial" w:eastAsia="Arial" w:hAnsi="Arial"/>
          <w:sz w:val="18"/>
          <w:szCs w:val="18"/>
          <w:color w:val="auto"/>
        </w:rPr>
        <w:t>10—</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to partially fund the acquisition. In connection with this acquisition, the Company recognized $5.4 million of acquisition-related expenses in “Indirect, general and administrative expense” in the consolidated statements of income for the year ended December 31, 2019, including legal fees, consulting fees, and other miscellaneous direct expenses associated with the acquisition.</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right="220" w:firstLine="510"/>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Borders>
              <w:bottom w:val="single" w:sz="8" w:color="CFF0FC"/>
            </w:tcBorders>
          </w:tcPr>
          <w:p>
            <w:pPr>
              <w:spacing w:after="0"/>
              <w:rPr>
                <w:sz w:val="15"/>
                <w:szCs w:val="15"/>
                <w:color w:val="auto"/>
              </w:rPr>
            </w:pPr>
          </w:p>
        </w:tc>
        <w:tc>
          <w:tcPr>
            <w:tcW w:w="274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Contract liabilities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r>
      <w:tr>
        <w:trPr>
          <w:trHeight w:val="223"/>
        </w:trPr>
        <w:tc>
          <w:tcPr>
            <w:tcW w:w="640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74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292,380</w:t>
            </w:r>
          </w:p>
        </w:tc>
        <w:tc>
          <w:tcPr>
            <w:tcW w:w="120" w:type="dxa"/>
            <w:vAlign w:val="bottom"/>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7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Amortization expense of $5.9 million and $5.9 million related to these intangible assets was recorded for the three months ended June 30, 2020 and June 30, 2019, respectively, and $11.9 million and $11.9 million for the six months ended June 30, 2020 and June 30, 2019, respectively. The entire value of goodwill of $183.5 million was assigned to the Federal Solutions reporting unit and represents synergies expected to be realized from this business combination. Goodwill of $16 million is deductible for tax purposes.</w:t>
      </w:r>
    </w:p>
    <w:p>
      <w:pPr>
        <w:spacing w:after="0" w:line="205"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The amount of revenue generated by OGSystems and included within consolidated revenues is $ 37.7 million and $46.1 million for the three months June 30, 2020 and June 30, 2019, respectively, and $70.8 million and $75.1 million for the six months ended June 30, 2020 and June 30, 2019, respectively. The Company has determined that the presentation of net income from the date of acquisition 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impracticable due to the integration of general corporate functions upon acquisition.</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26"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Supplemental information of unaudited pro forma operating results assuming the OGSystems acquisition had been consummated as of the beginning of fiscal year 2018 (December 30, 2017) (in thousands)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49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4"/>
                <w:szCs w:val="14"/>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989,742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1,896,102</w:t>
            </w:r>
          </w:p>
        </w:tc>
        <w:tc>
          <w:tcPr>
            <w:tcW w:w="120" w:type="dxa"/>
            <w:vAlign w:val="bottom"/>
            <w:shd w:val="clear" w:color="auto" w:fill="CFF0FC"/>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32,165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40,976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47,628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58,433</w:t>
            </w:r>
          </w:p>
        </w:tc>
        <w:tc>
          <w:tcPr>
            <w:tcW w:w="120" w:type="dxa"/>
            <w:vAlign w:val="bottom"/>
          </w:tcPr>
          <w:p>
            <w:pPr>
              <w:spacing w:after="0"/>
              <w:rPr>
                <w:sz w:val="19"/>
                <w:szCs w:val="19"/>
                <w:color w:val="auto"/>
              </w:rPr>
            </w:pPr>
          </w:p>
        </w:tc>
      </w:tr>
      <w:tr>
        <w:trPr>
          <w:trHeight w:val="418"/>
        </w:trPr>
        <w:tc>
          <w:tcPr>
            <w:tcW w:w="49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49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ind w:left="640"/>
        <w:spacing w:after="0"/>
        <w:rPr>
          <w:sz w:val="20"/>
          <w:szCs w:val="20"/>
          <w:color w:val="auto"/>
        </w:rPr>
      </w:pPr>
      <w:r>
        <w:rPr>
          <w:rFonts w:ascii="Arial" w:cs="Arial" w:eastAsia="Arial" w:hAnsi="Arial"/>
          <w:sz w:val="18"/>
          <w:szCs w:val="18"/>
          <w:b w:val="1"/>
          <w:bCs w:val="1"/>
          <w:color w:val="auto"/>
        </w:rPr>
        <w:t>QRC Technologies</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“Indirect, general and administrative expense” in the consolidated statements of income for the fiscal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and adds critical intellectual property that complements and expands the Company’s available capabilities for the Special Operations and Intelligence Communities.</w:t>
      </w:r>
    </w:p>
    <w:p>
      <w:pPr>
        <w:spacing w:after="0" w:line="207"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09"/>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125,091</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(4,025)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(4,683)</w:t>
            </w:r>
          </w:p>
        </w:tc>
      </w:tr>
      <w:tr>
        <w:trPr>
          <w:trHeight w:val="210"/>
        </w:trPr>
        <w:tc>
          <w:tcPr>
            <w:tcW w:w="91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214,143</w:t>
            </w:r>
          </w:p>
        </w:tc>
        <w:tc>
          <w:tcPr>
            <w:tcW w:w="120" w:type="dxa"/>
            <w:vAlign w:val="bottom"/>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7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7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12" w:lineRule="exact"/>
        <w:rPr>
          <w:sz w:val="20"/>
          <w:szCs w:val="20"/>
          <w:color w:val="auto"/>
        </w:rPr>
      </w:pPr>
    </w:p>
    <w:p>
      <w:pPr>
        <w:jc w:val="both"/>
        <w:ind w:right="300" w:firstLine="644"/>
        <w:spacing w:after="0"/>
        <w:rPr>
          <w:sz w:val="20"/>
          <w:szCs w:val="20"/>
          <w:color w:val="auto"/>
        </w:rPr>
      </w:pPr>
      <w:r>
        <w:rPr>
          <w:rFonts w:ascii="Arial" w:cs="Arial" w:eastAsia="Arial" w:hAnsi="Arial"/>
          <w:sz w:val="18"/>
          <w:szCs w:val="18"/>
          <w:color w:val="auto"/>
        </w:rPr>
        <w:t>Amortization expense of $3.6 million and $7.2 million related to these intangible assets was recorded for the three and six months ended June 30, 2020, respectively. The entire value of goodwill of $125.1 million was assigned to the Federal Solutions reporting unit and represents synergies expected to be realized from this business combination. Goodwill in its entirety is deductible for tax purposes.</w:t>
      </w:r>
    </w:p>
    <w:p>
      <w:pPr>
        <w:spacing w:after="0" w:line="203" w:lineRule="exact"/>
        <w:rPr>
          <w:sz w:val="20"/>
          <w:szCs w:val="20"/>
          <w:color w:val="auto"/>
        </w:rPr>
      </w:pPr>
    </w:p>
    <w:p>
      <w:pPr>
        <w:ind w:right="180" w:firstLine="644"/>
        <w:spacing w:after="0"/>
        <w:rPr>
          <w:sz w:val="20"/>
          <w:szCs w:val="20"/>
          <w:color w:val="auto"/>
        </w:rPr>
      </w:pPr>
      <w:r>
        <w:rPr>
          <w:rFonts w:ascii="Arial" w:cs="Arial" w:eastAsia="Arial" w:hAnsi="Arial"/>
          <w:sz w:val="18"/>
          <w:szCs w:val="18"/>
          <w:color w:val="auto"/>
        </w:rPr>
        <w:t>The amount of revenue generated by QRC and included within consolidated revenues for the three and six months ended June 30, 2020 is $8.1 million and $12.5 million, respectively. The Company has determined that the presentation of net income from the date of acquisition is impracticable due to the integration of general corporate functions upon acquisition.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b w:val="1"/>
          <w:bCs w:val="1"/>
          <w:color w:val="auto"/>
        </w:rPr>
        <w:t>Supplemental Pro Forma Information</w:t>
      </w:r>
    </w:p>
    <w:p>
      <w:pPr>
        <w:spacing w:after="0" w:line="234"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Supplemental information on an unaudited pro forma basis, assuming the QRC Technologies acquisition had been consummated as of the beginning of fiscal year 2018 (December 30, 2017) (in thousands)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502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4"/>
                <w:szCs w:val="14"/>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1,912,142</w:t>
            </w:r>
          </w:p>
        </w:tc>
        <w:tc>
          <w:tcPr>
            <w:tcW w:w="120" w:type="dxa"/>
            <w:vAlign w:val="bottom"/>
            <w:shd w:val="clear" w:color="auto" w:fill="CFF0FC"/>
          </w:tcPr>
          <w:p>
            <w:pPr>
              <w:spacing w:after="0"/>
              <w:rPr>
                <w:sz w:val="18"/>
                <w:szCs w:val="18"/>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40,772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46,971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51,617</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23" w:lineRule="exact"/>
        <w:rPr>
          <w:sz w:val="20"/>
          <w:szCs w:val="20"/>
          <w:color w:val="auto"/>
        </w:rPr>
      </w:pPr>
    </w:p>
    <w:p>
      <w:pPr>
        <w:ind w:left="640" w:right="8260" w:hanging="632"/>
        <w:spacing w:after="0" w:line="372"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spacing w:after="0" w:line="1" w:lineRule="exact"/>
        <w:rPr>
          <w:sz w:val="20"/>
          <w:szCs w:val="20"/>
          <w:color w:val="auto"/>
        </w:rPr>
      </w:pPr>
    </w:p>
    <w:p>
      <w:pPr>
        <w:ind w:right="200" w:firstLine="637"/>
        <w:spacing w:after="0" w:line="274"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304,647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619,676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562,342</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259,381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269,364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511,820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525,070</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408,710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415,731</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818,956</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806,735</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979,459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989,742</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1,950,452</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1,894,147</w:t>
            </w:r>
          </w:p>
        </w:tc>
        <w:tc>
          <w:tcPr>
            <w:tcW w:w="100" w:type="dxa"/>
            <w:vAlign w:val="bottom"/>
          </w:tcPr>
          <w:p>
            <w:pPr>
              <w:spacing w:after="0"/>
              <w:rPr>
                <w:sz w:val="18"/>
                <w:szCs w:val="18"/>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June 30, 2020 and December 31, 2019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645,556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575,089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70,467</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219,037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(11,644)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0"/>
        </w:trPr>
        <w:tc>
          <w:tcPr>
            <w:tcW w:w="4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426,519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344,408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82,111</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right="60" w:hanging="632"/>
        <w:spacing w:after="0" w:line="24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$89.2 million as of June 30, 2020, of which $47.3 million are not expected to be paid in the next 12 months. Total contract retentions included in net contract assets (liabilities) were $85.5 million as of December 31,2019. Contract assets at June 30, 2020 and December 31, 2019 include $103.7 million and $73.0 million, respectively, related to unapproved change orders, claims, and requests for equitable adjustment. For the three and six months ended June 30, 2020 and June 30, 2019, there were no material losses recognized related to the collectability of claims, unapproved change orders, and requests for equitable adjustment.</w:t>
      </w:r>
    </w:p>
    <w:p>
      <w:pPr>
        <w:spacing w:after="0" w:line="201"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During the three months ended June 30, 2020 and June 30, 2019, the Company recognized revenue of $28.4 million and $27.3 million, respectively, and $122.7 million and $113.0 million during the six months ended June 30, 2020 and June 30, 2019, respectively that was included in the corresponding contract liability balance at December 31, 2019 and December 31, 2018, respectively. Certain changes in contract assets and contract liabilities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4400" w:type="dxa"/>
            <w:vAlign w:val="bottom"/>
            <w:tcBorders>
              <w:bottom w:val="single" w:sz="8" w:color="CFF0FC"/>
            </w:tcBorders>
          </w:tcPr>
          <w:p>
            <w:pPr>
              <w:spacing w:after="0"/>
              <w:rPr>
                <w:sz w:val="17"/>
                <w:szCs w:val="17"/>
                <w:color w:val="auto"/>
              </w:rPr>
            </w:pPr>
          </w:p>
        </w:tc>
        <w:tc>
          <w:tcPr>
            <w:tcW w:w="1800" w:type="dxa"/>
            <w:vAlign w:val="bottom"/>
            <w:tcBorders>
              <w:bottom w:val="single" w:sz="8" w:color="CFF0FC"/>
            </w:tcBorders>
          </w:tcPr>
          <w:p>
            <w:pPr>
              <w:spacing w:after="0"/>
              <w:rPr>
                <w:sz w:val="17"/>
                <w:szCs w:val="17"/>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3320" w:type="dxa"/>
            <w:vAlign w:val="bottom"/>
            <w:gridSpan w:val="2"/>
            <w:shd w:val="clear" w:color="auto" w:fill="CFF0FC"/>
          </w:tcPr>
          <w:p>
            <w:pPr>
              <w:jc w:val="right"/>
              <w:ind w:right="134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Change in the estimate of variable consideration</w:t>
            </w:r>
          </w:p>
        </w:tc>
        <w:tc>
          <w:tcPr>
            <w:tcW w:w="18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0" w:type="dxa"/>
            <w:vAlign w:val="bottom"/>
          </w:tcPr>
          <w:p>
            <w:pPr>
              <w:jc w:val="right"/>
              <w:ind w:right="970"/>
              <w:spacing w:after="0"/>
              <w:rPr>
                <w:sz w:val="20"/>
                <w:szCs w:val="20"/>
                <w:color w:val="auto"/>
              </w:rPr>
            </w:pPr>
            <w:r>
              <w:rPr>
                <w:rFonts w:ascii="Arial" w:cs="Arial" w:eastAsia="Arial" w:hAnsi="Arial"/>
                <w:sz w:val="18"/>
                <w:szCs w:val="18"/>
                <w:color w:val="auto"/>
              </w:rPr>
              <w:t>11</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three and six months ended June 30, 2020 and June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30, 2019.</w:t>
      </w:r>
    </w:p>
    <w:p>
      <w:pPr>
        <w:spacing w:after="0" w:line="239" w:lineRule="exact"/>
        <w:rPr>
          <w:sz w:val="20"/>
          <w:szCs w:val="20"/>
          <w:color w:val="auto"/>
        </w:rPr>
      </w:pPr>
    </w:p>
    <w:p>
      <w:pPr>
        <w:ind w:right="220" w:firstLine="741"/>
        <w:spacing w:after="0" w:line="264"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an increase in revenue of $9.0 million for the three and six months ended June 30, 2020, and no amounts for the three and six months ended June 30, 2019.</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June 30, 2020 and December 31, 2019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CFF0FC"/>
            </w:tcBorders>
          </w:tcPr>
          <w:p>
            <w:pPr>
              <w:spacing w:after="0"/>
              <w:rPr>
                <w:sz w:val="17"/>
                <w:szCs w:val="17"/>
                <w:color w:val="auto"/>
              </w:rPr>
            </w:pPr>
          </w:p>
        </w:tc>
        <w:tc>
          <w:tcPr>
            <w:tcW w:w="23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7"/>
                <w:szCs w:val="17"/>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2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487,654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475,528</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235,245</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201,461</w:t>
            </w:r>
          </w:p>
        </w:tc>
        <w:tc>
          <w:tcPr>
            <w:tcW w:w="12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722,899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676,989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(5,541)</w:t>
            </w:r>
          </w:p>
        </w:tc>
        <w:tc>
          <w:tcPr>
            <w:tcW w:w="1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r>
      <w:tr>
        <w:trPr>
          <w:trHeight w:val="20"/>
        </w:trPr>
        <w:tc>
          <w:tcPr>
            <w:tcW w:w="50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671,492</w:t>
            </w:r>
          </w:p>
        </w:tc>
        <w:tc>
          <w:tcPr>
            <w:tcW w:w="120" w:type="dxa"/>
            <w:vAlign w:val="bottom"/>
            <w:shd w:val="clear" w:color="auto" w:fill="CFF0FC"/>
          </w:tcPr>
          <w:p>
            <w:pPr>
              <w:spacing w:after="0"/>
              <w:rPr>
                <w:sz w:val="18"/>
                <w:szCs w:val="18"/>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203" w:lineRule="exact"/>
        <w:rPr>
          <w:sz w:val="20"/>
          <w:szCs w:val="20"/>
          <w:color w:val="auto"/>
        </w:rPr>
      </w:pPr>
    </w:p>
    <w:p>
      <w:pPr>
        <w:ind w:right="20" w:firstLine="644"/>
        <w:spacing w:after="0" w:line="246" w:lineRule="auto"/>
        <w:rPr>
          <w:sz w:val="20"/>
          <w:szCs w:val="20"/>
          <w:color w:val="auto"/>
        </w:rPr>
      </w:pPr>
      <w:r>
        <w:rPr>
          <w:rFonts w:ascii="Arial" w:cs="Arial" w:eastAsia="Arial" w:hAnsi="Arial"/>
          <w:sz w:val="18"/>
          <w:szCs w:val="18"/>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197"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COVID-19 Impacts: We have not seen and do not expect there to be a risk of non-payment from either our government agency or commercial customers. We have experienced payment delays due to administrative limitations from both types of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The Company’s remaining unsatisfied performance obligations (“RUPO”) as of June 30, 2020 represent a measure of the total dollar value of work to be performed on contracts awarded and in-progress. The Company had $5.0 billion in RUPO as of June 30, 2020.</w:t>
      </w:r>
    </w:p>
    <w:p>
      <w:pPr>
        <w:spacing w:after="0" w:line="197" w:lineRule="exact"/>
        <w:rPr>
          <w:sz w:val="20"/>
          <w:szCs w:val="20"/>
          <w:color w:val="auto"/>
        </w:rPr>
      </w:pPr>
    </w:p>
    <w:p>
      <w:pPr>
        <w:ind w:right="120" w:firstLine="637"/>
        <w:spacing w:after="0" w:line="23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5" w:lineRule="exact"/>
        <w:rPr>
          <w:sz w:val="20"/>
          <w:szCs w:val="20"/>
          <w:color w:val="auto"/>
        </w:rPr>
      </w:pPr>
    </w:p>
    <w:p>
      <w:pPr>
        <w:ind w:right="20" w:firstLine="637"/>
        <w:spacing w:after="0" w:line="234"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46"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p>
      <w:pPr>
        <w:ind w:left="640"/>
        <w:spacing w:after="0"/>
        <w:rPr>
          <w:sz w:val="20"/>
          <w:szCs w:val="20"/>
          <w:color w:val="auto"/>
        </w:rPr>
      </w:pPr>
      <w:r>
        <w:rPr>
          <w:rFonts w:ascii="Arial" w:cs="Arial" w:eastAsia="Arial" w:hAnsi="Arial"/>
          <w:sz w:val="18"/>
          <w:szCs w:val="18"/>
          <w:color w:val="auto"/>
        </w:rPr>
        <w:t>The Company expects to satisfy its RUPO as of June 30, 2020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1,298,368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541,804</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259,113</w:t>
            </w:r>
          </w:p>
        </w:tc>
        <w:tc>
          <w:tcPr>
            <w:tcW w:w="120" w:type="dxa"/>
            <w:vAlign w:val="bottom"/>
            <w:shd w:val="clear" w:color="auto" w:fill="CFF0FC"/>
          </w:tcPr>
          <w:p>
            <w:pPr>
              <w:spacing w:after="0"/>
              <w:rPr>
                <w:sz w:val="18"/>
                <w:szCs w:val="18"/>
                <w:color w:val="auto"/>
              </w:rPr>
            </w:pPr>
          </w:p>
        </w:tc>
      </w:tr>
      <w:tr>
        <w:trPr>
          <w:trHeight w:val="216"/>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629,956</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743,576</w:t>
            </w:r>
          </w:p>
        </w:tc>
        <w:tc>
          <w:tcPr>
            <w:tcW w:w="120" w:type="dxa"/>
            <w:vAlign w:val="bottom"/>
            <w:tcBorders>
              <w:bottom w:val="single" w:sz="8" w:color="CFF0FC"/>
            </w:tcBorders>
          </w:tcPr>
          <w:p>
            <w:pPr>
              <w:spacing w:after="0"/>
              <w:rPr>
                <w:sz w:val="18"/>
                <w:szCs w:val="18"/>
                <w:color w:val="auto"/>
              </w:rPr>
            </w:pPr>
          </w:p>
        </w:tc>
      </w:tr>
      <w:tr>
        <w:trPr>
          <w:trHeight w:val="20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2,837,786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1,171,760</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1,002,689</w:t>
            </w:r>
          </w:p>
        </w:tc>
        <w:tc>
          <w:tcPr>
            <w:tcW w:w="12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right="20" w:firstLine="745"/>
        <w:spacing w:after="0" w:line="264"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and six months ended June 30, 2020 and June 30, 2019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4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Borders>
              <w:bottom w:val="single" w:sz="8" w:color="CFF0FC"/>
            </w:tcBorders>
          </w:tcPr>
          <w:p>
            <w:pPr>
              <w:spacing w:after="0"/>
              <w:rPr>
                <w:sz w:val="15"/>
                <w:szCs w:val="15"/>
                <w:color w:val="auto"/>
              </w:rPr>
            </w:pPr>
          </w:p>
        </w:tc>
      </w:tr>
      <w:tr>
        <w:trPr>
          <w:trHeight w:val="21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15,755</w:t>
            </w: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33,026</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(2,015)</w:t>
            </w:r>
          </w:p>
        </w:tc>
      </w:tr>
      <w:tr>
        <w:trPr>
          <w:trHeight w:val="20"/>
        </w:trPr>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Total lease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20,113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39,717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39,713</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637"/>
        <w:spacing w:after="0" w:line="246" w:lineRule="auto"/>
        <w:rPr>
          <w:sz w:val="20"/>
          <w:szCs w:val="20"/>
          <w:color w:val="auto"/>
        </w:rPr>
      </w:pPr>
      <w:r>
        <w:rPr>
          <w:rFonts w:ascii="Arial" w:cs="Arial" w:eastAsia="Arial" w:hAnsi="Arial"/>
          <w:sz w:val="18"/>
          <w:szCs w:val="18"/>
          <w:color w:val="auto"/>
        </w:rPr>
        <w:t>Supplemental cash flow information related to leases for the six months ended June 30, 2020 and June 30, 2019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5"/>
          </w:tcPr>
          <w:p>
            <w:pPr>
              <w:ind w:left="80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30,676</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35,012</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Operating cash flows for financing activities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254,084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75"/>
        </w:trPr>
        <w:tc>
          <w:tcPr>
            <w:tcW w:w="580" w:type="dxa"/>
            <w:vAlign w:val="bottom"/>
          </w:tcPr>
          <w:p>
            <w:pPr>
              <w:spacing w:after="0"/>
              <w:rPr>
                <w:sz w:val="24"/>
                <w:szCs w:val="24"/>
                <w:color w:val="auto"/>
              </w:rPr>
            </w:pPr>
          </w:p>
        </w:tc>
        <w:tc>
          <w:tcPr>
            <w:tcW w:w="6740" w:type="dxa"/>
            <w:vAlign w:val="bottom"/>
          </w:tcPr>
          <w:p>
            <w:pPr>
              <w:ind w:left="49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ind w:right="200" w:firstLine="637"/>
        <w:spacing w:after="0" w:line="246" w:lineRule="auto"/>
        <w:rPr>
          <w:sz w:val="20"/>
          <w:szCs w:val="20"/>
          <w:color w:val="auto"/>
        </w:rPr>
      </w:pPr>
      <w:r>
        <w:rPr>
          <w:rFonts w:ascii="Arial" w:cs="Arial" w:eastAsia="Arial" w:hAnsi="Arial"/>
          <w:sz w:val="18"/>
          <w:szCs w:val="18"/>
          <w:color w:val="auto"/>
        </w:rPr>
        <w:t>Supplemental balance sheet and other information related to leases as of June 30, 2020 and December 31, 2019 are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Right-of-use assets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225,054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233,415</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Current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47,648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49,994</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4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201,472</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203,624</w:t>
            </w:r>
          </w:p>
        </w:tc>
        <w:tc>
          <w:tcPr>
            <w:tcW w:w="180" w:type="dxa"/>
            <w:vAlign w:val="bottom"/>
            <w:shd w:val="clear" w:color="auto" w:fill="CFF0FC"/>
          </w:tcPr>
          <w:p>
            <w:pPr>
              <w:spacing w:after="0"/>
              <w:rPr>
                <w:sz w:val="18"/>
                <w:szCs w:val="18"/>
                <w:color w:val="auto"/>
              </w:rPr>
            </w:pPr>
          </w:p>
        </w:tc>
      </w:tr>
      <w:tr>
        <w:trPr>
          <w:trHeight w:val="249"/>
        </w:trPr>
        <w:tc>
          <w:tcPr>
            <w:tcW w:w="50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249,120</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253,618</w:t>
            </w:r>
          </w:p>
        </w:tc>
        <w:tc>
          <w:tcPr>
            <w:tcW w:w="180" w:type="dxa"/>
            <w:vAlign w:val="bottom"/>
          </w:tcPr>
          <w:p>
            <w:pPr>
              <w:spacing w:after="0"/>
              <w:rPr>
                <w:sz w:val="21"/>
                <w:szCs w:val="21"/>
                <w:color w:val="auto"/>
              </w:rPr>
            </w:pPr>
          </w:p>
        </w:tc>
      </w:tr>
      <w:tr>
        <w:trPr>
          <w:trHeight w:val="197"/>
        </w:trPr>
        <w:tc>
          <w:tcPr>
            <w:tcW w:w="50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4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2,377</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 years</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42" w:lineRule="exact"/>
        <w:rPr>
          <w:sz w:val="20"/>
          <w:szCs w:val="20"/>
          <w:color w:val="auto"/>
        </w:rPr>
      </w:pPr>
    </w:p>
    <w:p>
      <w:pPr>
        <w:ind w:right="100" w:firstLine="637"/>
        <w:spacing w:after="0" w:line="277" w:lineRule="auto"/>
        <w:rPr>
          <w:sz w:val="20"/>
          <w:szCs w:val="20"/>
          <w:color w:val="auto"/>
        </w:rPr>
      </w:pPr>
      <w:r>
        <w:rPr>
          <w:rFonts w:ascii="Arial" w:cs="Arial" w:eastAsia="Arial" w:hAnsi="Arial"/>
          <w:sz w:val="18"/>
          <w:szCs w:val="18"/>
          <w:color w:val="auto"/>
        </w:rPr>
        <w:t>As of June 30, 2020, the Company has additional operating leases, primarily for office spaces, that have not yet commenced of $2.2 million. These operating leases will commence in 2020 with lease terms of six years.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June 30, 2020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80" w:type="dxa"/>
            <w:vAlign w:val="bottom"/>
            <w:tcBorders>
              <w:bottom w:val="single" w:sz="8" w:color="CFF0FC"/>
            </w:tcBorders>
          </w:tcPr>
          <w:p>
            <w:pPr>
              <w:spacing w:after="0"/>
              <w:rPr>
                <w:sz w:val="15"/>
                <w:szCs w:val="15"/>
                <w:color w:val="auto"/>
              </w:rPr>
            </w:pPr>
          </w:p>
        </w:tc>
        <w:tc>
          <w:tcPr>
            <w:tcW w:w="17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CFF0FC"/>
            </w:tcBorders>
          </w:tcPr>
          <w:p>
            <w:pPr>
              <w:spacing w:after="0"/>
              <w:rPr>
                <w:sz w:val="15"/>
                <w:szCs w:val="15"/>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2021</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59,006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36,213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55,006</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275,063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(25,943)</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0"/>
        </w:trPr>
        <w:tc>
          <w:tcPr>
            <w:tcW w:w="468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249,120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6"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The following table summarizes the changes in the carrying value of goodwill by reporting segment at June 30, 2020 and December 31, 2019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Borders>
              <w:bottom w:val="single" w:sz="8" w:color="CFF0FC"/>
            </w:tcBorders>
          </w:tcPr>
          <w:p>
            <w:pPr>
              <w:spacing w:after="0"/>
              <w:rPr>
                <w:sz w:val="15"/>
                <w:szCs w:val="15"/>
                <w:color w:val="auto"/>
              </w:rPr>
            </w:pPr>
          </w:p>
        </w:tc>
        <w:tc>
          <w:tcPr>
            <w:tcW w:w="28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Foreign Exchange</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1,047,425</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bottom w:val="single" w:sz="8" w:color="CFF0FC"/>
            </w:tcBorders>
            <w:vMerge w:val="restart"/>
          </w:tcPr>
          <w:p>
            <w:pPr>
              <w:jc w:val="right"/>
              <w:ind w:right="6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ind w:right="200" w:firstLine="637"/>
        <w:spacing w:after="0" w:line="238"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performed a qualitative triggering analysis and determined there was no triggering event indicating a potential impairment to the carrying value of its goodwill at June 30, 2020 and concluded there has not been an impairment.</w:t>
      </w:r>
    </w:p>
    <w:p>
      <w:pPr>
        <w:spacing w:after="0" w:line="28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5"/>
              <w:spacing w:after="0" w:line="156"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98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360" w:type="dxa"/>
            <w:vAlign w:val="bottom"/>
            <w:tcBorders>
              <w:bottom w:val="single" w:sz="8" w:color="CFF0FC"/>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100" w:type="dxa"/>
            <w:vAlign w:val="bottom"/>
            <w:tcBorders>
              <w:bottom w:val="single" w:sz="8" w:color="CFF0FC"/>
            </w:tcBorders>
          </w:tcPr>
          <w:p>
            <w:pPr>
              <w:spacing w:after="0"/>
              <w:rPr>
                <w:sz w:val="15"/>
                <w:szCs w:val="15"/>
                <w:color w:val="auto"/>
              </w:rPr>
            </w:pPr>
          </w:p>
        </w:tc>
      </w:tr>
      <w:tr>
        <w:trPr>
          <w:trHeight w:val="20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(95,338)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(87,510)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(89,079)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139,450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(67,809)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160,720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(54,850)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(40,749)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(6,817)</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 intangibles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(248,332)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214,936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(203,410)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259,858</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260" w:firstLine="637"/>
        <w:spacing w:after="0"/>
        <w:rPr>
          <w:sz w:val="20"/>
          <w:szCs w:val="20"/>
          <w:color w:val="auto"/>
        </w:rPr>
      </w:pPr>
      <w:r>
        <w:rPr>
          <w:rFonts w:ascii="Arial" w:cs="Arial" w:eastAsia="Arial" w:hAnsi="Arial"/>
          <w:sz w:val="18"/>
          <w:szCs w:val="18"/>
          <w:color w:val="auto"/>
        </w:rPr>
        <w:t>The aggregate amortization expense of intangible assets for the three months ended June 30, 2020 and June 30, 2019 was $22.1 million and $21.4 million, respectively and for the six months ended June 30, 2020 and June 30, 2019 was $44.8 million and $42.3 million, respectively.</w:t>
      </w:r>
    </w:p>
    <w:p>
      <w:pPr>
        <w:spacing w:after="0" w:line="203" w:lineRule="exact"/>
        <w:rPr>
          <w:sz w:val="20"/>
          <w:szCs w:val="20"/>
          <w:color w:val="auto"/>
        </w:rPr>
      </w:pPr>
    </w:p>
    <w:p>
      <w:pPr>
        <w:ind w:right="520" w:firstLine="637"/>
        <w:spacing w:after="0" w:line="24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2020</w:t>
            </w:r>
          </w:p>
        </w:tc>
      </w:tr>
      <w:tr>
        <w:trPr>
          <w:trHeight w:val="215"/>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81,552</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36,095</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23,549</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21,146</w:t>
            </w:r>
          </w:p>
        </w:tc>
        <w:tc>
          <w:tcPr>
            <w:tcW w:w="120" w:type="dxa"/>
            <w:vAlign w:val="bottom"/>
            <w:tcBorders>
              <w:bottom w:val="single" w:sz="8" w:color="CFF0FC"/>
            </w:tcBorders>
          </w:tcPr>
          <w:p>
            <w:pPr>
              <w:spacing w:after="0"/>
              <w:rPr>
                <w:sz w:val="18"/>
                <w:szCs w:val="18"/>
                <w:color w:val="auto"/>
              </w:rPr>
            </w:pP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June 30, 2020 and December 31,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5"/>
        </w:trPr>
        <w:tc>
          <w:tcPr>
            <w:tcW w:w="4300" w:type="dxa"/>
            <w:vAlign w:val="bottom"/>
            <w:tcBorders>
              <w:bottom w:val="single" w:sz="8" w:color="CFF0FC"/>
            </w:tcBorders>
          </w:tcPr>
          <w:p>
            <w:pPr>
              <w:spacing w:after="0"/>
              <w:rPr>
                <w:sz w:val="15"/>
                <w:szCs w:val="15"/>
                <w:color w:val="auto"/>
              </w:rPr>
            </w:pPr>
          </w:p>
        </w:tc>
        <w:tc>
          <w:tcPr>
            <w:tcW w:w="17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CFF0FC"/>
            </w:tcBorders>
          </w:tcPr>
          <w:p>
            <w:pPr>
              <w:spacing w:after="0"/>
              <w:rPr>
                <w:sz w:val="15"/>
                <w:szCs w:val="15"/>
                <w:color w:val="auto"/>
              </w:rPr>
            </w:pPr>
          </w:p>
        </w:tc>
        <w:tc>
          <w:tcPr>
            <w:tcW w:w="16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9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81,065</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91,336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91,720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equipment</w:t>
            </w:r>
          </w:p>
        </w:tc>
        <w:tc>
          <w:tcPr>
            <w:tcW w:w="17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2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363,055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348,711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(238,291)</w:t>
            </w:r>
          </w:p>
        </w:tc>
        <w:tc>
          <w:tcPr>
            <w:tcW w:w="1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(225,960)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7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40" w:type="dxa"/>
            <w:vAlign w:val="bottom"/>
            <w:vMerge w:val="restart"/>
          </w:tcPr>
          <w:p>
            <w:pPr>
              <w:jc w:val="right"/>
              <w:ind w:right="2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 w:name="page18"/>
    <w:bookmarkEnd w:id="17"/>
    <w:p>
      <w:pPr>
        <w:ind w:right="180" w:firstLine="637"/>
        <w:spacing w:after="0" w:line="246" w:lineRule="auto"/>
        <w:rPr>
          <w:sz w:val="20"/>
          <w:szCs w:val="20"/>
          <w:color w:val="auto"/>
        </w:rPr>
      </w:pPr>
      <w:r>
        <w:rPr>
          <w:rFonts w:ascii="Arial" w:cs="Arial" w:eastAsia="Arial" w:hAnsi="Arial"/>
          <w:sz w:val="18"/>
          <w:szCs w:val="18"/>
          <w:color w:val="auto"/>
        </w:rPr>
        <w:t>Depreciation expense for the three months ended June 30, 2020 and June 30, 2019 was $9.8 million and $9.7 million, respectively, and $19.4 million and $19.4 million, respectively, for the six months ended June 30, 2020 and June 30, 2019.</w:t>
      </w:r>
    </w:p>
    <w:p>
      <w:pPr>
        <w:spacing w:after="0" w:line="31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Long-Term:</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40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2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r>
      <w:tr>
        <w:trPr>
          <w:trHeight w:val="20"/>
        </w:trPr>
        <w:tc>
          <w:tcPr>
            <w:tcW w:w="40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w:t>
            </w:r>
          </w:p>
        </w:tc>
        <w:tc>
          <w:tcPr>
            <w:tcW w:w="2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249,448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249,353</w:t>
            </w:r>
          </w:p>
        </w:tc>
        <w:tc>
          <w:tcPr>
            <w:tcW w:w="100" w:type="dxa"/>
            <w:vAlign w:val="bottom"/>
            <w:shd w:val="clear" w:color="auto" w:fill="CFF0FC"/>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637"/>
        <w:spacing w:after="0" w:line="251" w:lineRule="auto"/>
        <w:rPr>
          <w:sz w:val="20"/>
          <w:szCs w:val="20"/>
          <w:color w:val="auto"/>
        </w:rPr>
      </w:pPr>
      <w:r>
        <w:rPr>
          <w:rFonts w:ascii="Arial" w:cs="Arial" w:eastAsia="Arial" w:hAnsi="Arial"/>
          <w:sz w:val="17"/>
          <w:szCs w:val="17"/>
          <w:color w:val="auto"/>
        </w:rPr>
        <w:t>In November 2017, the Company entered into an amended and restated Credit Agreement. The Company incurred $2.0 million of costs in connection with this amendment. Under the agreement, the Company’s revolving credit facility was increased from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June 30, 2020 and December 31, 2019 were 1.42% and 3.02%, respectively. Borrowings under this Credit Agreement are guaranteed by certain of the Company’s operating subsidiaries. Letters of credit commitments outstanding under this agreement aggregated to $44.9 million and $43.7 million at June 30, 2020 and December 31, 2019, respectively, which reduced borrowing limits available to the Company. Interest expense related to the Credit Agreement was $0.3 million and $0.4 million for the three and six months ended June 30, 2020, respectively, and for the</w:t>
      </w:r>
    </w:p>
    <w:p>
      <w:pPr>
        <w:spacing w:after="0" w:line="8"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three and six months ended June 30, 2019 was $1.6 million and $5.0 million, respectively. There were no loan amounts outstanding under the Credit Agreement at June 30, 2020.</w:t>
      </w:r>
    </w:p>
    <w:p>
      <w:pPr>
        <w:spacing w:after="0" w:line="170" w:lineRule="exact"/>
        <w:rPr>
          <w:sz w:val="20"/>
          <w:szCs w:val="20"/>
          <w:color w:val="auto"/>
        </w:rPr>
      </w:pPr>
    </w:p>
    <w:p>
      <w:pPr>
        <w:ind w:right="140" w:firstLine="63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2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2021</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29" w:lineRule="exact"/>
        <w:rPr>
          <w:sz w:val="20"/>
          <w:szCs w:val="20"/>
          <w:color w:val="auto"/>
        </w:rPr>
      </w:pPr>
    </w:p>
    <w:p>
      <w:pPr>
        <w:ind w:right="320" w:firstLine="637"/>
        <w:spacing w:after="0" w:line="238"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both the three and six months ended June 30, 2020 and June 30, 2019 was $3.1 million and $6.2</w:t>
      </w:r>
    </w:p>
    <w:p>
      <w:pPr>
        <w:spacing w:after="0" w:line="1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million, respectively. The amortization of debt issuance costs and interest expense are recorded in “Interest expense” on the consolidated statements of income. The Company made interest payments related to the Senior Notes for both the three and six months ended June 30, 2020 and June 30, 2019 of $0 million and $6.2 million, respectively. Interest payable of $5.6 million and $5.7 million is recorded in “Accrued expenses and other current liabilities” on the consolidated balance sheets at June 30, 2020 and December 31, 2019, respectively, related to the Senior Notes.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 w:name="page19"/>
    <w:bookmarkEnd w:id="18"/>
    <w:p>
      <w:pPr>
        <w:ind w:right="100" w:firstLine="63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June 30, 2020 and December 31, 2019.</w:t>
      </w:r>
    </w:p>
    <w:p>
      <w:pPr>
        <w:spacing w:after="0" w:line="203" w:lineRule="exact"/>
        <w:rPr>
          <w:sz w:val="20"/>
          <w:szCs w:val="20"/>
          <w:color w:val="auto"/>
        </w:rPr>
      </w:pPr>
    </w:p>
    <w:p>
      <w:pPr>
        <w:ind w:right="280" w:firstLine="63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$186.6 million and $197.3 million at June 30, 2020 and December 31, 2019, respectively.</w:t>
      </w:r>
    </w:p>
    <w:p>
      <w:pPr>
        <w:spacing w:after="0" w:line="203" w:lineRule="exact"/>
        <w:rPr>
          <w:sz w:val="20"/>
          <w:szCs w:val="20"/>
          <w:color w:val="auto"/>
        </w:rPr>
      </w:pPr>
    </w:p>
    <w:p>
      <w:pPr>
        <w:jc w:val="both"/>
        <w:ind w:right="60" w:firstLine="637"/>
        <w:spacing w:after="0" w:line="264"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June 30, 2020 approximates $272.2 million. See “Note 16 – Fair Value of Financial Instruments” for the definition of Level 2 of the fair value hierarchy.</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January 2019, the Company borrowed $150.0 million under our Term Loan Agreement to partially finance the OGSystems</w:t>
      </w:r>
    </w:p>
    <w:p>
      <w:pPr>
        <w:jc w:val="both"/>
        <w:ind w:right="40"/>
        <w:spacing w:after="0" w:line="279" w:lineRule="auto"/>
        <w:rPr>
          <w:sz w:val="20"/>
          <w:szCs w:val="20"/>
          <w:color w:val="auto"/>
        </w:rPr>
      </w:pPr>
      <w:r>
        <w:rPr>
          <w:rFonts w:ascii="Arial" w:cs="Arial" w:eastAsia="Arial" w:hAnsi="Arial"/>
          <w:sz w:val="18"/>
          <w:szCs w:val="18"/>
          <w:color w:val="auto"/>
        </w:rPr>
        <w:t>acquisition. On May 10, 2019, the Company used proceeds from its May 8, 2019 IPO to repay the $150.0 million outstanding balance under the Term Loan and this loan is now closed. Interest expense related to the Term Loan was $1.0 million and $2.3 million for the three and six months ended June 30, 2019, respectively. There were no amounts outstanding in fiscal 2020.</w:t>
      </w:r>
    </w:p>
    <w:p>
      <w:pPr>
        <w:spacing w:after="0" w:line="26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firstLine="823"/>
        <w:spacing w:after="0" w:line="238"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to offset 100% of taxable income for tax years beginning before 2021. In addition, the CARES Act allows NOLs incurred in 2018, 2019, and 2020 to be carried back to each of the five preceding tax years to generate a refund of previously paid income taxes. The CARES Act contains modifications on the limitation of business interest for tax years beginning in 2019 and 2020. The modifications to Section 163(j) increase the allowable business interest deduction from 30% of adjusted taxable income to 50% of adjusted taxable income. The CARES Act also accelerates the refund of alternative minimum tax (“AMT”) credits that were previously accumulated. The Company does not expect that the modifications on the limitation of business interest or AMT credits would have any impact to the Company. Under the NOL carryback provision, the Company expects to carry back some of its NOLs relating to certain amounts associated with acquisitions which may be subject to certain shareholders’ claims.</w:t>
      </w:r>
    </w:p>
    <w:p>
      <w:pPr>
        <w:spacing w:after="0" w:line="202" w:lineRule="exact"/>
        <w:rPr>
          <w:sz w:val="20"/>
          <w:szCs w:val="20"/>
          <w:color w:val="auto"/>
        </w:rPr>
      </w:pPr>
    </w:p>
    <w:p>
      <w:pPr>
        <w:ind w:right="60" w:firstLine="644"/>
        <w:spacing w:after="0" w:line="238" w:lineRule="auto"/>
        <w:rPr>
          <w:sz w:val="20"/>
          <w:szCs w:val="20"/>
          <w:color w:val="auto"/>
        </w:rPr>
      </w:pPr>
      <w:r>
        <w:rPr>
          <w:rFonts w:ascii="Arial" w:cs="Arial" w:eastAsia="Arial" w:hAnsi="Arial"/>
          <w:sz w:val="18"/>
          <w:szCs w:val="18"/>
          <w:color w:val="auto"/>
        </w:rPr>
        <w:t>On July 9, 2020, the U.S. Treasury Department issued final tax regulations related to the foreign-derived intangible income and global intangible low-taxed income (GILTI) provisions. Also, on July 20, 2020 the U.S. Treasury Department released final tax regulations permitting a taxpayer to elect to exclude from its GILTI inclusion items of income subject to a high effective rate of foreign tax. The Company is currently assessing the impact of the new legislation to its consolidated financial statements but does not expect a material change of its income tax expense due to the new regulations.</w:t>
      </w:r>
    </w:p>
    <w:p>
      <w:pPr>
        <w:spacing w:after="0" w:line="202" w:lineRule="exact"/>
        <w:rPr>
          <w:sz w:val="20"/>
          <w:szCs w:val="20"/>
          <w:color w:val="auto"/>
        </w:rPr>
      </w:pPr>
    </w:p>
    <w:p>
      <w:pPr>
        <w:ind w:right="180" w:firstLine="674"/>
        <w:spacing w:after="0" w:line="238" w:lineRule="auto"/>
        <w:rPr>
          <w:sz w:val="20"/>
          <w:szCs w:val="20"/>
          <w:color w:val="auto"/>
        </w:rPr>
      </w:pPr>
      <w:r>
        <w:rPr>
          <w:rFonts w:ascii="Arial" w:cs="Arial" w:eastAsia="Arial" w:hAnsi="Arial"/>
          <w:sz w:val="18"/>
          <w:szCs w:val="18"/>
          <w:color w:val="auto"/>
        </w:rPr>
        <w:t>Prior to the Company’s IPO, the Company had elected to be taxed under the provisions of Subchapter “S” of the Internal Revenue Code for federal tax purposes. As a result, income had not been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 not recognized, or where</w:t>
      </w:r>
    </w:p>
    <w:p>
      <w:pPr>
        <w:spacing w:after="0" w:line="1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states imposed a tax on “S” Corporations. The provision for income tax in the historical periods prior to the IPO consists of these state taxes and taxes from certain foreign jurisdictions where the Company is subject to tax.</w:t>
      </w:r>
    </w:p>
    <w:p>
      <w:pPr>
        <w:spacing w:after="0" w:line="184" w:lineRule="exact"/>
        <w:rPr>
          <w:sz w:val="20"/>
          <w:szCs w:val="20"/>
          <w:color w:val="auto"/>
        </w:rPr>
      </w:pPr>
    </w:p>
    <w:p>
      <w:pPr>
        <w:ind w:right="60" w:firstLine="674"/>
        <w:spacing w:after="0" w:line="238" w:lineRule="auto"/>
        <w:rPr>
          <w:sz w:val="20"/>
          <w:szCs w:val="20"/>
          <w:color w:val="auto"/>
        </w:rPr>
      </w:pPr>
      <w:r>
        <w:rPr>
          <w:rFonts w:ascii="Arial" w:cs="Arial" w:eastAsia="Arial" w:hAnsi="Arial"/>
          <w:sz w:val="18"/>
          <w:szCs w:val="18"/>
          <w:color w:val="auto"/>
        </w:rPr>
        <w:t>In connection with the Company’s IPO on May 8, 2019, the “S” Corporation status was terminated, and the Company is now treated as a “C” Corporation under the Code. The termination of the “S” Corporation election has had a material impact on the Company’s results of operations, financial condition, and cash flows as reflected in the June 30, 2020 consolidated financial statements. The effective tax rate has increased, and net income has decreased as compared to the Company’s “S” Corporation tax years, since the Company is now subject to both U.S. federal and state corporate income taxes on its earnings.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9" w:name="page20"/>
    <w:bookmarkEnd w:id="19"/>
    <w:p>
      <w:pPr>
        <w:ind w:firstLine="674"/>
        <w:spacing w:after="0" w:line="237" w:lineRule="auto"/>
        <w:rPr>
          <w:sz w:val="20"/>
          <w:szCs w:val="20"/>
          <w:color w:val="auto"/>
        </w:rPr>
      </w:pPr>
      <w:r>
        <w:rPr>
          <w:rFonts w:ascii="Arial" w:cs="Arial" w:eastAsia="Arial" w:hAnsi="Arial"/>
          <w:sz w:val="18"/>
          <w:szCs w:val="18"/>
          <w:color w:val="auto"/>
        </w:rPr>
        <w:t>The Company’s effective tax rate was 27.64% and 400.68% for the three months ended June 30, 2020 and 2019, respectively. The change in the effective tax rate was due primarily to nonrecurring tax items included in the second quarter 2019 income taxes associated with a $56 million tax benefit from the remeasurement of deferred taxes associated with the Company’s change in “S” Corporation to “C” Corporation status. The Company’s effective tax rate for the six months ended June 30, 2020 and 2019 was 27.17% and (2,686.95)%. The change in the effective tax rate was due primarily to the nonrecurring tax items included in 2019 for the remeasurement of deferred taxes associated with the change in tax status. The difference between the effective tax rate and the statutory U.S. Federal income tax rate of 21.0% for the quarter ended June 30, 2020 primarily relates to state income taxes.</w:t>
      </w:r>
    </w:p>
    <w:p>
      <w:pPr>
        <w:spacing w:after="0" w:line="203" w:lineRule="exact"/>
        <w:rPr>
          <w:sz w:val="20"/>
          <w:szCs w:val="20"/>
          <w:color w:val="auto"/>
        </w:rPr>
      </w:pPr>
    </w:p>
    <w:p>
      <w:pPr>
        <w:ind w:firstLine="674"/>
        <w:spacing w:after="0" w:line="237" w:lineRule="auto"/>
        <w:rPr>
          <w:sz w:val="20"/>
          <w:szCs w:val="20"/>
          <w:color w:val="auto"/>
        </w:rPr>
      </w:pPr>
      <w:r>
        <w:rPr>
          <w:rFonts w:ascii="Arial" w:cs="Arial" w:eastAsia="Arial" w:hAnsi="Arial"/>
          <w:sz w:val="18"/>
          <w:szCs w:val="18"/>
          <w:color w:val="auto"/>
        </w:rPr>
        <w:t>As of June 30, 2020, the Company’s deferred tax assets included a valuation allowance of $17.2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related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05" w:lineRule="exact"/>
        <w:rPr>
          <w:sz w:val="20"/>
          <w:szCs w:val="20"/>
          <w:color w:val="auto"/>
        </w:rPr>
      </w:pPr>
    </w:p>
    <w:p>
      <w:pPr>
        <w:ind w:right="20" w:firstLine="674"/>
        <w:spacing w:after="0" w:line="237" w:lineRule="auto"/>
        <w:rPr>
          <w:sz w:val="20"/>
          <w:szCs w:val="20"/>
          <w:color w:val="auto"/>
        </w:rPr>
      </w:pPr>
      <w:r>
        <w:rPr>
          <w:rFonts w:ascii="Arial" w:cs="Arial" w:eastAsia="Arial" w:hAnsi="Arial"/>
          <w:sz w:val="18"/>
          <w:szCs w:val="18"/>
          <w:color w:val="auto"/>
        </w:rPr>
        <w:t>As of June 30, 2020 and December 31, 2019, the liability for income taxes associated with uncertain tax positions was $ 14.6 million and $15.5 million, respectively. It is reasonably possible that the Company may realize a decrease in our uncertain tax positions of approximately $1.7 million during the next twelve months as a result of concluding various tax audits and closing tax years. 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30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ind w:right="60" w:firstLine="644"/>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firstLine="698"/>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205"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right="100"/>
        <w:spacing w:after="0"/>
        <w:rPr>
          <w:sz w:val="20"/>
          <w:szCs w:val="20"/>
          <w:color w:val="auto"/>
        </w:rPr>
      </w:pPr>
      <w:r>
        <w:rPr>
          <w:rFonts w:ascii="Arial" w:cs="Arial" w:eastAsia="Arial" w:hAnsi="Arial"/>
          <w:sz w:val="18"/>
          <w:szCs w:val="18"/>
          <w:color w:val="auto"/>
        </w:rPr>
        <w:t>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203"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202" w:lineRule="exact"/>
        <w:rPr>
          <w:sz w:val="20"/>
          <w:szCs w:val="20"/>
          <w:color w:val="auto"/>
        </w:rPr>
      </w:pPr>
    </w:p>
    <w:p>
      <w:pPr>
        <w:ind w:right="80" w:firstLine="63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208"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6" w:lineRule="exact"/>
        <w:rPr>
          <w:sz w:val="20"/>
          <w:szCs w:val="20"/>
          <w:color w:val="auto"/>
        </w:rPr>
      </w:pPr>
    </w:p>
    <w:p>
      <w:pPr>
        <w:ind w:right="320" w:firstLine="637"/>
        <w:spacing w:after="0" w:line="255"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June 30, 2020 and December 31, 2019, total shares of the</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Company’s common stock were 100,724,683 and 100,669,694, respectively, of which 76,795,221 and 78,896,806, respectively, were held by the ESOP.</w:t>
      </w:r>
    </w:p>
    <w:p>
      <w:pPr>
        <w:spacing w:after="0" w:line="184" w:lineRule="exact"/>
        <w:rPr>
          <w:sz w:val="20"/>
          <w:szCs w:val="20"/>
          <w:color w:val="auto"/>
        </w:rPr>
      </w:pPr>
    </w:p>
    <w:p>
      <w:pPr>
        <w:ind w:right="420" w:firstLine="644"/>
        <w:spacing w:after="0" w:line="238"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202" w:lineRule="exact"/>
        <w:rPr>
          <w:sz w:val="20"/>
          <w:szCs w:val="20"/>
          <w:color w:val="auto"/>
        </w:rPr>
      </w:pPr>
    </w:p>
    <w:p>
      <w:pPr>
        <w:ind w:right="20" w:firstLine="644"/>
        <w:spacing w:after="0" w:line="254" w:lineRule="auto"/>
        <w:rPr>
          <w:sz w:val="20"/>
          <w:szCs w:val="20"/>
          <w:color w:val="auto"/>
        </w:rPr>
      </w:pPr>
      <w:r>
        <w:rPr>
          <w:rFonts w:ascii="Arial" w:cs="Arial" w:eastAsia="Arial" w:hAnsi="Arial"/>
          <w:sz w:val="18"/>
          <w:szCs w:val="18"/>
          <w:color w:val="auto"/>
        </w:rPr>
        <w:t>Total ESOP contribution expense was $14.6 million and $12.3 million for the three months ended June 30, 2020 and June 30, 2019, respectively, and $ 29.5 million and $24.5 million for the six months ended June 30, 2020 and June 30, 2019, respectively. The expense is recorded in “Direct costs of contracts” and “Indirect, general and administrative expense” in the consolidated statements of income. The fiscal 2020 ESOP contribution has not yet been made. The amount is currently included in accrued liabilities.</w:t>
      </w:r>
    </w:p>
    <w:p>
      <w:pPr>
        <w:spacing w:after="0" w:line="217" w:lineRule="exact"/>
        <w:rPr>
          <w:sz w:val="20"/>
          <w:szCs w:val="20"/>
          <w:color w:val="auto"/>
        </w:rPr>
      </w:pPr>
    </w:p>
    <w:p>
      <w:pPr>
        <w:ind w:right="80" w:firstLine="752"/>
        <w:spacing w:after="0" w:line="256" w:lineRule="auto"/>
        <w:rPr>
          <w:sz w:val="20"/>
          <w:szCs w:val="20"/>
          <w:color w:val="auto"/>
        </w:rPr>
      </w:pPr>
      <w:r>
        <w:rPr>
          <w:rFonts w:ascii="Arial" w:cs="Arial" w:eastAsia="Arial" w:hAnsi="Arial"/>
          <w:sz w:val="17"/>
          <w:szCs w:val="17"/>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to receive any portion of the Stock Dividend.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5" w:lineRule="exact"/>
        <w:rPr>
          <w:sz w:val="20"/>
          <w:szCs w:val="20"/>
          <w:color w:val="auto"/>
        </w:rPr>
      </w:pPr>
    </w:p>
    <w:p>
      <w:pPr>
        <w:ind w:right="300" w:firstLine="637"/>
        <w:spacing w:after="0" w:line="238"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205"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224" w:lineRule="exact"/>
        <w:rPr>
          <w:sz w:val="20"/>
          <w:szCs w:val="20"/>
          <w:color w:val="auto"/>
        </w:rPr>
      </w:pPr>
    </w:p>
    <w:p>
      <w:pPr>
        <w:ind w:right="240" w:firstLine="637"/>
        <w:spacing w:after="0" w:line="261"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$65.7 million and $55.0 million at June 30, 2020 and December 31, 2019, respectively.</w:t>
      </w:r>
    </w:p>
    <w:p>
      <w:pPr>
        <w:spacing w:after="0" w:line="184" w:lineRule="exact"/>
        <w:rPr>
          <w:sz w:val="20"/>
          <w:szCs w:val="20"/>
          <w:color w:val="auto"/>
        </w:rPr>
      </w:pPr>
    </w:p>
    <w:p>
      <w:pPr>
        <w:jc w:val="both"/>
        <w:ind w:right="320" w:firstLine="63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324,721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255,167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326,668</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258,027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246,019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246,019</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80,649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117,889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218,167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224,108</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101,935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199,085</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213,987</w:t>
            </w:r>
          </w:p>
        </w:tc>
        <w:tc>
          <w:tcPr>
            <w:tcW w:w="100" w:type="dxa"/>
            <w:vAlign w:val="bottom"/>
            <w:tcBorders>
              <w:bottom w:val="single" w:sz="8" w:color="CFF0FC"/>
            </w:tcBorders>
          </w:tcPr>
          <w:p>
            <w:pPr>
              <w:spacing w:after="0"/>
              <w:rPr>
                <w:sz w:val="18"/>
                <w:szCs w:val="18"/>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shd w:val="clear" w:color="auto" w:fill="CFF0FC"/>
          </w:tcPr>
          <w:p>
            <w:pPr>
              <w:spacing w:after="0"/>
              <w:rPr>
                <w:sz w:val="18"/>
                <w:szCs w:val="18"/>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7,826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320" w:firstLine="63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205" w:lineRule="exact"/>
        <w:rPr>
          <w:sz w:val="20"/>
          <w:szCs w:val="20"/>
          <w:color w:val="auto"/>
        </w:rPr>
      </w:pPr>
    </w:p>
    <w:p>
      <w:pPr>
        <w:ind w:right="340" w:firstLine="63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1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7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CFF0FC"/>
            </w:tcBorders>
          </w:tcPr>
          <w:p>
            <w:pPr>
              <w:spacing w:after="0"/>
              <w:rPr>
                <w:sz w:val="15"/>
                <w:szCs w:val="15"/>
                <w:color w:val="auto"/>
              </w:rPr>
            </w:pPr>
          </w:p>
        </w:tc>
        <w:tc>
          <w:tcPr>
            <w:tcW w:w="176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F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775,365</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801,335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541,528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564,160</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1,316,893</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1,365,495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720,964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655,495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486,464</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507,131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1,207,428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1,162,626</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109,465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5"/>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64,905</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238,188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521,218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691,447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750,684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223,686</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497,227</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650,691</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714,007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23,991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40,756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3,769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9,883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637"/>
        <w:spacing w:after="0" w:line="273" w:lineRule="auto"/>
        <w:rPr>
          <w:sz w:val="20"/>
          <w:szCs w:val="20"/>
          <w:color w:val="auto"/>
        </w:rPr>
      </w:pPr>
      <w:r>
        <w:rPr>
          <w:rFonts w:ascii="Arial" w:cs="Arial" w:eastAsia="Arial" w:hAnsi="Arial"/>
          <w:sz w:val="17"/>
          <w:szCs w:val="17"/>
          <w:color w:val="auto"/>
        </w:rPr>
        <w:t>The Company received net distributions from its unconsolidated joint ventures for the three months ended June 30, 2020 and June 30, 2019 of $5.6 million and $6.3 million, respectively, and for the six months ended June 30, 2020 and June 30, 2019 of $12.1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$14.4 million , respectively.</w:t>
      </w:r>
    </w:p>
    <w:p>
      <w:pPr>
        <w:spacing w:after="0" w:line="311"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Revenues related to services the Company provided to unconsolidated joint ventures for the three months ended June 30, 2020 and June 30, 2019 were $42.4 million and $50.7 million, respectively, and for the six months ended June 30, 2020 and June 30, 2019 were $82.8 million and $84.3 million respectively. For the three months ended June 30, 2020 and June 30, 2019, the Company incurred $34.6 million and $39.0 million, respectively, and for the six months ended June 30, 2020 and June 30, 2019, $66.1 million and $66.2 million, respectively, of reimbursable costs. Amounts included in the consolidated balance sheets related to services the Company provided to unconsolidated joint ventures are as follows (in thousands):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20" w:type="dxa"/>
            <w:vAlign w:val="bottom"/>
            <w:tcBorders>
              <w:bottom w:val="single" w:sz="8" w:color="CFF0FC"/>
            </w:tcBorders>
          </w:tcPr>
          <w:p>
            <w:pPr>
              <w:spacing w:after="0"/>
              <w:rPr>
                <w:sz w:val="15"/>
                <w:szCs w:val="15"/>
                <w:color w:val="auto"/>
              </w:rPr>
            </w:pPr>
          </w:p>
        </w:tc>
        <w:tc>
          <w:tcPr>
            <w:tcW w:w="25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FF0FC"/>
            </w:tcBorders>
          </w:tcPr>
          <w:p>
            <w:pPr>
              <w:spacing w:after="0"/>
              <w:rPr>
                <w:sz w:val="15"/>
                <w:szCs w:val="15"/>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 assets</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2020 and December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880" w:right="460" w:hanging="238"/>
        <w:spacing w:after="0" w:line="26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52" w:lineRule="exact"/>
        <w:rPr>
          <w:rFonts w:ascii="Arial" w:cs="Arial" w:eastAsia="Arial" w:hAnsi="Arial"/>
          <w:sz w:val="18"/>
          <w:szCs w:val="18"/>
          <w:color w:val="auto"/>
        </w:rPr>
      </w:pPr>
    </w:p>
    <w:p>
      <w:pPr>
        <w:ind w:left="880" w:hanging="23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7" w:lineRule="exact"/>
        <w:rPr>
          <w:rFonts w:ascii="Arial" w:cs="Arial" w:eastAsia="Arial" w:hAnsi="Arial"/>
          <w:sz w:val="18"/>
          <w:szCs w:val="18"/>
          <w:color w:val="auto"/>
        </w:rPr>
      </w:pPr>
    </w:p>
    <w:p>
      <w:pPr>
        <w:ind w:left="880" w:right="300" w:hanging="238"/>
        <w:spacing w:after="0" w:line="26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8"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18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5"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2019 for a more complete discussion of the various items within the consolidated financial statements measured at fair value and the methods used to determine fair value.</w:t>
      </w:r>
    </w:p>
    <w:p>
      <w:pPr>
        <w:spacing w:after="0" w:line="73"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100" w:firstLine="637"/>
        <w:spacing w:after="0" w:line="234" w:lineRule="auto"/>
        <w:rPr>
          <w:sz w:val="20"/>
          <w:szCs w:val="20"/>
          <w:color w:val="auto"/>
        </w:rPr>
      </w:pPr>
      <w:r>
        <w:rPr>
          <w:rFonts w:ascii="Arial" w:cs="Arial" w:eastAsia="Arial" w:hAnsi="Arial"/>
          <w:sz w:val="18"/>
          <w:szCs w:val="18"/>
          <w:color w:val="auto"/>
        </w:rPr>
        <w:t>The following table reconciles the denominator used to compute basic earnings per share (“EPS”) to the denominator used to compute diluted EPS for the three and six months ended June 30, 2020 and June 30, 2019. Basic EPS is computed using the weighted average number of shares outstanding during the period and income available to shareholders. Diluted EPS is computed similar to basic EPS, except the weighted average number of shares outstanding is increased to include the dilutive effects of equity-based awards. For the three and six months ended June 30, 2020, there were 4,939 shares and 4,066 shares, respectively, excluded from the number of shares</w:t>
      </w:r>
    </w:p>
    <w:p>
      <w:pPr>
        <w:spacing w:after="0" w:line="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used in calculating diluted EPS as their inclusion would be antidilutive</w:t>
      </w:r>
      <w:r>
        <w:rPr>
          <w:rFonts w:ascii="Arial" w:cs="Arial" w:eastAsia="Arial" w:hAnsi="Arial"/>
          <w:sz w:val="21"/>
          <w:szCs w:val="21"/>
          <w:color w:val="auto"/>
        </w:rPr>
        <w:t>.</w:t>
      </w:r>
      <w:r>
        <w:rPr>
          <w:rFonts w:ascii="Arial" w:cs="Arial" w:eastAsia="Arial" w:hAnsi="Arial"/>
          <w:sz w:val="18"/>
          <w:szCs w:val="18"/>
          <w:color w:val="auto"/>
        </w:rPr>
        <w:t xml:space="preserve"> There were no dilutive securities outstanding for the three and six months ended June 30, 2019.</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08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100,694,938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92,336,119</w:t>
            </w: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100,682,315</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85,248,801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common share equivalents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290,649</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266,369</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100,985,587</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92,336,119</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100,948,684</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85,248,801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540" w:firstLine="637"/>
        <w:spacing w:after="0" w:line="246"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24" w:name="page25"/>
    <w:bookmarkEnd w:id="24"/>
    <w:p>
      <w:pPr>
        <w:ind w:right="500"/>
        <w:spacing w:after="0" w:line="246" w:lineRule="auto"/>
        <w:rPr>
          <w:sz w:val="20"/>
          <w:szCs w:val="20"/>
          <w:color w:val="auto"/>
        </w:rPr>
      </w:pPr>
      <w:r>
        <w:rPr>
          <w:rFonts w:ascii="Arial" w:cs="Arial" w:eastAsia="Arial" w:hAnsi="Arial"/>
          <w:sz w:val="18"/>
          <w:szCs w:val="18"/>
          <w:color w:val="auto"/>
        </w:rPr>
        <w:t>supporting national security missions in cybersecurity, missile defense, and military facility modernization, logistics support, hazardous material remediation and engineering services.</w:t>
      </w:r>
    </w:p>
    <w:p>
      <w:pPr>
        <w:spacing w:after="0" w:line="197"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205"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374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4"/>
                <w:szCs w:val="14"/>
                <w:color w:val="auto"/>
              </w:rPr>
            </w:pPr>
          </w:p>
        </w:tc>
      </w:tr>
      <w:tr>
        <w:trPr>
          <w:trHeight w:val="21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478,497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901,309</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497,249</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511,245</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990,671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992,838</w:t>
            </w:r>
          </w:p>
        </w:tc>
        <w:tc>
          <w:tcPr>
            <w:tcW w:w="120" w:type="dxa"/>
            <w:vAlign w:val="bottom"/>
            <w:tcBorders>
              <w:bottom w:val="single" w:sz="8" w:color="CFF0FC"/>
            </w:tcBorders>
          </w:tcPr>
          <w:p>
            <w:pPr>
              <w:spacing w:after="0"/>
              <w:rPr>
                <w:sz w:val="18"/>
                <w:szCs w:val="18"/>
                <w:color w:val="auto"/>
              </w:rPr>
            </w:pPr>
          </w:p>
        </w:tc>
      </w:tr>
      <w:tr>
        <w:trPr>
          <w:trHeight w:val="20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989,742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1,894,147</w:t>
            </w:r>
          </w:p>
        </w:tc>
        <w:tc>
          <w:tcPr>
            <w:tcW w:w="120" w:type="dxa"/>
            <w:vAlign w:val="bottom"/>
            <w:shd w:val="clear" w:color="auto" w:fill="CFF0FC"/>
          </w:tcPr>
          <w:p>
            <w:pPr>
              <w:spacing w:after="0"/>
              <w:rPr>
                <w:sz w:val="18"/>
                <w:szCs w:val="18"/>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40" w:firstLine="63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20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FF0FC"/>
            </w:tcBorders>
          </w:tcPr>
          <w:p>
            <w:pPr>
              <w:spacing w:after="0"/>
              <w:rPr>
                <w:sz w:val="18"/>
                <w:szCs w:val="18"/>
                <w:color w:val="auto"/>
              </w:rPr>
            </w:pPr>
          </w:p>
        </w:tc>
      </w:tr>
      <w:tr>
        <w:trPr>
          <w:trHeight w:val="21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35,700</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79,317</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76,299</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35,519</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68,201</w:t>
            </w:r>
          </w:p>
        </w:tc>
        <w:tc>
          <w:tcPr>
            <w:tcW w:w="120" w:type="dxa"/>
            <w:vAlign w:val="bottom"/>
            <w:tcBorders>
              <w:bottom w:val="single" w:sz="8" w:color="CFF0FC"/>
            </w:tcBorders>
          </w:tcPr>
          <w:p>
            <w:pPr>
              <w:spacing w:after="0"/>
              <w:rPr>
                <w:sz w:val="18"/>
                <w:szCs w:val="18"/>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83,219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142,193</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144,500</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(32,081)</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(31,074)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(64,490)</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(61,665)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(3,963)</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(7,757)</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(13,966)</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(11,891)</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(16,975)</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51,610</w:t>
            </w:r>
          </w:p>
        </w:tc>
        <w:tc>
          <w:tcPr>
            <w:tcW w:w="120" w:type="dxa"/>
            <w:vAlign w:val="bottom"/>
            <w:shd w:val="clear" w:color="auto" w:fill="CFF0FC"/>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(12,854)</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(43,311)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(5,133)</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(47,161)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Transaction-related costs (a)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(9,526)</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(17,070)</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 (b)</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(3,875)</w:t>
            </w:r>
          </w:p>
        </w:tc>
      </w:tr>
      <w:tr>
        <w:trPr>
          <w:trHeight w:val="210"/>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45,496</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53,531</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18"/>
                <w:szCs w:val="18"/>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36,272</w:t>
            </w:r>
          </w:p>
        </w:tc>
        <w:tc>
          <w:tcPr>
            <w:tcW w:w="20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8"/>
                <w:szCs w:val="18"/>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9" w:lineRule="exact"/>
        <w:rPr>
          <w:sz w:val="20"/>
          <w:szCs w:val="20"/>
          <w:color w:val="auto"/>
        </w:rPr>
      </w:pPr>
    </w:p>
    <w:p>
      <w:pPr>
        <w:ind w:left="640" w:right="320" w:hanging="632"/>
        <w:spacing w:after="0" w:line="23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the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40" w:hanging="632"/>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5740" w:type="dxa"/>
            <w:vAlign w:val="bottom"/>
          </w:tcPr>
          <w:p>
            <w:pPr>
              <w:spacing w:after="0"/>
              <w:rPr>
                <w:sz w:val="14"/>
                <w:szCs w:val="14"/>
                <w:color w:val="auto"/>
              </w:rPr>
            </w:pP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800,044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819,255</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1,597,990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1,550,285</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343,548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335,576</w:t>
            </w:r>
          </w:p>
        </w:tc>
        <w:tc>
          <w:tcPr>
            <w:tcW w:w="120" w:type="dxa"/>
            <w:vAlign w:val="bottom"/>
          </w:tcPr>
          <w:p>
            <w:pPr>
              <w:spacing w:after="0"/>
              <w:rPr>
                <w:sz w:val="18"/>
                <w:szCs w:val="18"/>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20" w:type="dxa"/>
            <w:vAlign w:val="bottom"/>
            <w:shd w:val="clear" w:color="auto" w:fill="CFF0FC"/>
          </w:tcPr>
          <w:p>
            <w:pPr>
              <w:spacing w:after="0"/>
              <w:rPr>
                <w:sz w:val="18"/>
                <w:szCs w:val="18"/>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979,459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989,742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1,950,452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1,894,147</w:t>
            </w:r>
          </w:p>
        </w:tc>
        <w:tc>
          <w:tcPr>
            <w:tcW w:w="1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271780</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119,985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20" w:firstLine="637"/>
        <w:spacing w:after="0" w:line="246" w:lineRule="auto"/>
        <w:rPr>
          <w:sz w:val="20"/>
          <w:szCs w:val="20"/>
          <w:color w:val="auto"/>
        </w:rPr>
      </w:pPr>
      <w:r>
        <w:rPr>
          <w:rFonts w:ascii="Arial" w:cs="Arial" w:eastAsia="Arial" w:hAnsi="Arial"/>
          <w:sz w:val="18"/>
          <w:szCs w:val="18"/>
          <w:color w:val="auto"/>
        </w:rPr>
        <w:t>North America includes revenue in the United States for the three months ended June 30, 2020 and June 30, 2019 of $737.4 million and $744.3 million, respectively, and for the six months ended June 30, 2020 and June 30, 2019 $1.5 billion and $1.4 billion,</w:t>
      </w:r>
    </w:p>
    <w:p>
      <w:pPr>
        <w:spacing w:after="0" w:line="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respectively. North America property and equipment, net includes $112.6 million and $109.9 million of property and equipment, net in the United States at June 30, 2020 and December 31, 2019, respectively.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2019</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Space &amp; Geospatial Solutions</w:t>
            </w:r>
          </w:p>
        </w:tc>
        <w:tc>
          <w:tcPr>
            <w:tcW w:w="1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65,768</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111,525</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Pr>
          <w:p>
            <w:pPr>
              <w:ind w:left="480"/>
              <w:spacing w:after="0"/>
              <w:rPr>
                <w:sz w:val="20"/>
                <w:szCs w:val="20"/>
                <w:color w:val="auto"/>
              </w:rPr>
            </w:pPr>
            <w:r>
              <w:rPr>
                <w:rFonts w:ascii="Arial" w:cs="Arial" w:eastAsia="Arial" w:hAnsi="Arial"/>
                <w:sz w:val="18"/>
                <w:szCs w:val="18"/>
                <w:color w:val="auto"/>
              </w:rPr>
              <w:t>Cyber &amp; Intelligence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102,993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80,489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201,875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153,038</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Engineered Systems</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166,483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167,276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312,894</w:t>
            </w:r>
          </w:p>
        </w:tc>
        <w:tc>
          <w:tcPr>
            <w:tcW w:w="120" w:type="dxa"/>
            <w:vAlign w:val="bottom"/>
            <w:shd w:val="clear" w:color="auto" w:fill="CFF0FC"/>
          </w:tcPr>
          <w:p>
            <w:pPr>
              <w:spacing w:after="0"/>
              <w:rPr>
                <w:sz w:val="18"/>
                <w:szCs w:val="18"/>
                <w:color w:val="auto"/>
              </w:rPr>
            </w:pPr>
          </w:p>
        </w:tc>
      </w:tr>
      <w:tr>
        <w:trPr>
          <w:trHeight w:val="216"/>
        </w:trPr>
        <w:tc>
          <w:tcPr>
            <w:tcW w:w="4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Missile Defense &amp; C5ISR</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164,964</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309,336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323,852</w:t>
            </w:r>
          </w:p>
        </w:tc>
        <w:tc>
          <w:tcPr>
            <w:tcW w:w="120" w:type="dxa"/>
            <w:vAlign w:val="bottom"/>
            <w:tcBorders>
              <w:bottom w:val="single" w:sz="8" w:color="CFF0FC"/>
            </w:tcBorders>
          </w:tcPr>
          <w:p>
            <w:pPr>
              <w:spacing w:after="0"/>
              <w:rPr>
                <w:sz w:val="18"/>
                <w:szCs w:val="18"/>
                <w:color w:val="auto"/>
              </w:rPr>
            </w:pPr>
          </w:p>
        </w:tc>
      </w:tr>
      <w:tr>
        <w:trPr>
          <w:trHeight w:val="21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478,497</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901,309</w:t>
            </w:r>
          </w:p>
        </w:tc>
        <w:tc>
          <w:tcPr>
            <w:tcW w:w="120" w:type="dxa"/>
            <w:vAlign w:val="bottom"/>
            <w:shd w:val="clear" w:color="auto" w:fill="CFF0FC"/>
          </w:tcPr>
          <w:p>
            <w:pPr>
              <w:spacing w:after="0"/>
              <w:rPr>
                <w:sz w:val="18"/>
                <w:szCs w:val="18"/>
                <w:color w:val="auto"/>
              </w:rPr>
            </w:pPr>
          </w:p>
        </w:tc>
      </w:tr>
      <w:tr>
        <w:trPr>
          <w:trHeight w:val="209"/>
        </w:trPr>
        <w:tc>
          <w:tcPr>
            <w:tcW w:w="400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398,890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401,842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790,411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775,822</w:t>
            </w:r>
          </w:p>
        </w:tc>
        <w:tc>
          <w:tcPr>
            <w:tcW w:w="120" w:type="dxa"/>
            <w:vAlign w:val="bottom"/>
          </w:tcPr>
          <w:p>
            <w:pPr>
              <w:spacing w:after="0"/>
              <w:rPr>
                <w:sz w:val="18"/>
                <w:szCs w:val="18"/>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98,359</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109,403</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200,260</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217,016</w:t>
            </w:r>
          </w:p>
        </w:tc>
        <w:tc>
          <w:tcPr>
            <w:tcW w:w="120" w:type="dxa"/>
            <w:vAlign w:val="bottom"/>
            <w:shd w:val="clear" w:color="auto" w:fill="CFF0FC"/>
          </w:tcPr>
          <w:p>
            <w:pPr>
              <w:spacing w:after="0"/>
              <w:rPr>
                <w:sz w:val="18"/>
                <w:szCs w:val="18"/>
                <w:color w:val="auto"/>
              </w:rPr>
            </w:pPr>
          </w:p>
        </w:tc>
      </w:tr>
      <w:tr>
        <w:trPr>
          <w:trHeight w:val="209"/>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497,249</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511,245</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990,671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992,838</w:t>
            </w:r>
          </w:p>
        </w:tc>
        <w:tc>
          <w:tcPr>
            <w:tcW w:w="120" w:type="dxa"/>
            <w:vAlign w:val="bottom"/>
            <w:tcBorders>
              <w:bottom w:val="single" w:sz="8" w:color="CFF0FC"/>
            </w:tcBorders>
          </w:tcPr>
          <w:p>
            <w:pPr>
              <w:spacing w:after="0"/>
              <w:rPr>
                <w:sz w:val="18"/>
                <w:szCs w:val="18"/>
                <w:color w:val="auto"/>
              </w:rPr>
            </w:pP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979,459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989,742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1,950,452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1,894,147</w:t>
            </w:r>
          </w:p>
        </w:tc>
        <w:tc>
          <w:tcPr>
            <w:tcW w:w="120" w:type="dxa"/>
            <w:vAlign w:val="bottom"/>
            <w:shd w:val="clear" w:color="auto" w:fill="CFF0FC"/>
          </w:tcPr>
          <w:p>
            <w:pPr>
              <w:spacing w:after="0"/>
              <w:rPr>
                <w:sz w:val="18"/>
                <w:szCs w:val="18"/>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00" w:firstLine="374"/>
        <w:spacing w:after="0" w:line="246" w:lineRule="auto"/>
        <w:rPr>
          <w:sz w:val="20"/>
          <w:szCs w:val="20"/>
          <w:color w:val="auto"/>
        </w:rPr>
      </w:pPr>
      <w:r>
        <w:rPr>
          <w:rFonts w:ascii="Arial" w:cs="Arial" w:eastAsia="Arial" w:hAnsi="Arial"/>
          <w:sz w:val="18"/>
          <w:szCs w:val="18"/>
          <w:color w:val="auto"/>
        </w:rPr>
        <w:t>Effective January 1, 2020, the Company made changes to its business lines as described below. The prior year information in the table above has been reclassified to conform to the business line changes.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Federal Solutions Business Line Changes</w:t>
      </w:r>
    </w:p>
    <w:p>
      <w:pPr>
        <w:spacing w:after="0" w:line="234" w:lineRule="exact"/>
        <w:rPr>
          <w:sz w:val="20"/>
          <w:szCs w:val="20"/>
          <w:color w:val="auto"/>
        </w:rPr>
      </w:pPr>
    </w:p>
    <w:p>
      <w:pPr>
        <w:ind w:right="80" w:firstLine="374"/>
        <w:spacing w:after="0" w:line="238" w:lineRule="auto"/>
        <w:rPr>
          <w:sz w:val="20"/>
          <w:szCs w:val="20"/>
          <w:color w:val="auto"/>
        </w:rPr>
      </w:pPr>
      <w:r>
        <w:rPr>
          <w:rFonts w:ascii="Arial" w:cs="Arial" w:eastAsia="Arial" w:hAnsi="Arial"/>
          <w:sz w:val="18"/>
          <w:szCs w:val="18"/>
          <w:color w:val="auto"/>
        </w:rPr>
        <w:t>As a result of the acquisitions of Polaris Alpha, OGSystems and QRC, we realigned the five business lines within our Federal Solutions segment into four business lines. We consolidated all space and geospatial programs from the former Geospatial Solutions, Defense and Cyber &amp; Intelligence markets into a new Space &amp; Geospatial Solutions business line to increase focus on the critical, evolving space market. This new business line better aligns capabilities and customers to drive growth and performance execution through improved agile, end-to-end solutions and dedicated customer focus.</w:t>
      </w:r>
    </w:p>
    <w:p>
      <w:pPr>
        <w:spacing w:after="0" w:line="202" w:lineRule="exact"/>
        <w:rPr>
          <w:sz w:val="20"/>
          <w:szCs w:val="20"/>
          <w:color w:val="auto"/>
        </w:rPr>
      </w:pPr>
    </w:p>
    <w:p>
      <w:pPr>
        <w:ind w:right="160" w:firstLine="374"/>
        <w:spacing w:after="0" w:line="246" w:lineRule="auto"/>
        <w:rPr>
          <w:sz w:val="20"/>
          <w:szCs w:val="20"/>
          <w:color w:val="auto"/>
        </w:rPr>
      </w:pPr>
      <w:r>
        <w:rPr>
          <w:rFonts w:ascii="Arial" w:cs="Arial" w:eastAsia="Arial" w:hAnsi="Arial"/>
          <w:sz w:val="18"/>
          <w:szCs w:val="18"/>
          <w:color w:val="auto"/>
        </w:rPr>
        <w:t>Further, we re-named our Defense business line to Missile Defense &amp; C5ISR. We moved our Missions Solutions business line into our Missile Defense &amp; C5ISR, Engineered Systems and Cyber &amp; Intelligence business lines, for better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ind w:right="100"/>
        <w:spacing w:after="0" w:line="246" w:lineRule="auto"/>
        <w:rPr>
          <w:sz w:val="20"/>
          <w:szCs w:val="20"/>
          <w:color w:val="auto"/>
        </w:rPr>
      </w:pPr>
      <w:r>
        <w:rPr>
          <w:rFonts w:ascii="Arial" w:cs="Arial" w:eastAsia="Arial" w:hAnsi="Arial"/>
          <w:sz w:val="18"/>
          <w:szCs w:val="18"/>
          <w:color w:val="auto"/>
        </w:rPr>
        <w:t>customer and capability alignment. These changes were the next logical step in our acquisition integration process, to optimize performance delivery and growth.</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Infrastructure Business Line Changes</w:t>
      </w:r>
    </w:p>
    <w:p>
      <w:pPr>
        <w:spacing w:after="0" w:line="234"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re-aligned our Critical Infrastructure segment from three markets to two markets. Industrial is now a part of Mobility Solutions and we moved all Middle East business into Mobility Solutions as well. We believe this will drive improved synergies among like-markets and increased collaboration in areas such as program and engineering management, civil and structural and water/wastewater treatment. We also moved Aviation to Connected Communities and consolidated the civil portion of rail and transit with the systems portion of rail and transit into a consolidated sub-market within Connected Communities to focus on growth in these critical market segments. In each, we are pursuing systems, software and hardware product advanced technology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firstLine="637"/>
        <w:spacing w:after="0" w:line="245"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2019.</w:t>
      </w:r>
    </w:p>
    <w:p>
      <w:pPr>
        <w:spacing w:after="0" w:line="181"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2019. We undertake no obligation to revise publicly any forward-looking statements. Actual results may differ materially from those contained in any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26" w:lineRule="exact"/>
        <w:rPr>
          <w:sz w:val="20"/>
          <w:szCs w:val="20"/>
          <w:color w:val="auto"/>
        </w:rPr>
      </w:pPr>
    </w:p>
    <w:p>
      <w:pPr>
        <w:ind w:right="360" w:firstLine="644"/>
        <w:spacing w:after="0" w:line="23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97" w:lineRule="exact"/>
        <w:rPr>
          <w:sz w:val="20"/>
          <w:szCs w:val="20"/>
          <w:color w:val="auto"/>
        </w:rPr>
      </w:pPr>
    </w:p>
    <w:p>
      <w:pPr>
        <w:ind w:right="120" w:firstLine="644"/>
        <w:spacing w:after="0" w:line="238" w:lineRule="auto"/>
        <w:rPr>
          <w:sz w:val="20"/>
          <w:szCs w:val="20"/>
          <w:color w:val="auto"/>
        </w:rPr>
      </w:pPr>
      <w:r>
        <w:rPr>
          <w:rFonts w:ascii="Arial" w:cs="Arial" w:eastAsia="Arial" w:hAnsi="Arial"/>
          <w:sz w:val="18"/>
          <w:szCs w:val="18"/>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97"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is receiving limited benefits associated with the CARES Act related to its work on certain US national security projects; however, the curtailment of work under these projects and the CARES Act benefits are not likely to have a material impact on our financial condition or results of operations.</w:t>
      </w:r>
    </w:p>
    <w:p>
      <w:pPr>
        <w:spacing w:after="0" w:line="95" w:lineRule="exact"/>
        <w:rPr>
          <w:sz w:val="20"/>
          <w:szCs w:val="20"/>
          <w:color w:val="auto"/>
        </w:rPr>
      </w:pPr>
    </w:p>
    <w:p>
      <w:pPr>
        <w:ind w:right="260" w:firstLine="644"/>
        <w:spacing w:after="0" w:line="274"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67" w:lineRule="exact"/>
        <w:rPr>
          <w:sz w:val="20"/>
          <w:szCs w:val="20"/>
          <w:color w:val="auto"/>
        </w:rPr>
      </w:pPr>
    </w:p>
    <w:p>
      <w:pPr>
        <w:ind w:right="820" w:firstLine="644"/>
        <w:spacing w:after="0" w:line="24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89" w:lineRule="exact"/>
        <w:rPr>
          <w:sz w:val="20"/>
          <w:szCs w:val="20"/>
          <w:color w:val="auto"/>
        </w:rPr>
      </w:pPr>
    </w:p>
    <w:p>
      <w:pPr>
        <w:ind w:right="280" w:firstLine="644"/>
        <w:spacing w:after="0" w:line="24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380365</wp:posOffset>
            </wp:positionV>
            <wp:extent cx="6155055" cy="3360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15505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a leading disruptive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0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260" w:firstLine="63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142875</wp:posOffset>
            </wp:positionV>
            <wp:extent cx="20059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560" w:type="dxa"/>
            <w:vAlign w:val="bottom"/>
            <w:tcBorders>
              <w:bottom w:val="single" w:sz="8" w:color="CFF0FC"/>
            </w:tcBorders>
          </w:tcPr>
          <w:p>
            <w:pPr>
              <w:spacing w:after="0"/>
              <w:rPr>
                <w:sz w:val="15"/>
                <w:szCs w:val="15"/>
                <w:color w:val="auto"/>
              </w:rPr>
            </w:pPr>
          </w:p>
        </w:tc>
        <w:tc>
          <w:tcPr>
            <w:tcW w:w="33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3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1,971,186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2,199,210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Backlog (1)</w:t>
            </w:r>
          </w:p>
        </w:tc>
        <w:tc>
          <w:tcPr>
            <w:tcW w:w="3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7,718,690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8,500,954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3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3360" w:type="dxa"/>
            <w:vAlign w:val="bottom"/>
            <w:vMerge w:val="restart"/>
          </w:tcPr>
          <w:p>
            <w:pPr>
              <w:jc w:val="right"/>
              <w:ind w:right="161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640" w:right="20" w:hanging="63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 between our backlog of $7.7 billion and our remaining unsatisfied performance obligations, or RUPO, of $5.0 billion, each as of June 30, 2020, is due to (i) unissued delivery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338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r>
      <w:tr>
        <w:trPr>
          <w:trHeight w:val="20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433,140</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422,829</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1,048,830</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1,231,369</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7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571,951</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555,313</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922,356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967,841</w:t>
            </w:r>
          </w:p>
        </w:tc>
        <w:tc>
          <w:tcPr>
            <w:tcW w:w="100" w:type="dxa"/>
            <w:vAlign w:val="bottom"/>
            <w:tcBorders>
              <w:bottom w:val="single" w:sz="8" w:color="CFF0FC"/>
            </w:tcBorders>
          </w:tcPr>
          <w:p>
            <w:pPr>
              <w:spacing w:after="0"/>
              <w:rPr>
                <w:sz w:val="18"/>
                <w:szCs w:val="18"/>
                <w:color w:val="auto"/>
              </w:rPr>
            </w:pP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1,005,091</w:t>
            </w: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978,142</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1,971,186</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2,199,210</w:t>
            </w:r>
          </w:p>
        </w:tc>
        <w:tc>
          <w:tcPr>
            <w:tcW w:w="100" w:type="dxa"/>
            <w:vAlign w:val="bottom"/>
            <w:shd w:val="clear" w:color="auto" w:fill="CFF0FC"/>
          </w:tcPr>
          <w:p>
            <w:pPr>
              <w:spacing w:after="0"/>
              <w:rPr>
                <w:sz w:val="18"/>
                <w:szCs w:val="18"/>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six months ended June 30, 2020 when compared to the corresponding period last year was impacted by two significant contracts awarded in the first quarter of 2019. The awards in Critical Infrastructure for the three and six months ended June 30, 2020, were impacted by potential awards being pushed out to a future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60" w:hanging="238"/>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880" w:right="60" w:hanging="238"/>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151765</wp:posOffset>
            </wp:positionV>
            <wp:extent cx="2005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1,308,663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1,003,167</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3,654,203</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4,031,137</w:t>
            </w:r>
          </w:p>
        </w:tc>
        <w:tc>
          <w:tcPr>
            <w:tcW w:w="100" w:type="dxa"/>
            <w:vAlign w:val="bottom"/>
            <w:tcBorders>
              <w:bottom w:val="single" w:sz="8" w:color="CFF0FC"/>
            </w:tcBorders>
          </w:tcPr>
          <w:p>
            <w:pPr>
              <w:spacing w:after="0"/>
              <w:rPr>
                <w:sz w:val="18"/>
                <w:szCs w:val="18"/>
                <w:color w:val="auto"/>
              </w:rPr>
            </w:pP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4,962,866</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5,034,304</w:t>
            </w:r>
          </w:p>
        </w:tc>
        <w:tc>
          <w:tcPr>
            <w:tcW w:w="100" w:type="dxa"/>
            <w:vAlign w:val="bottom"/>
            <w:shd w:val="clear" w:color="auto" w:fill="CFF0FC"/>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2,719,037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3,428,364</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 (1)</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38,286</w:t>
            </w:r>
          </w:p>
        </w:tc>
        <w:tc>
          <w:tcPr>
            <w:tcW w:w="100" w:type="dxa"/>
            <w:vAlign w:val="bottom"/>
            <w:tcBorders>
              <w:bottom w:val="single" w:sz="8" w:color="CFF0FC"/>
            </w:tcBorders>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2,755,824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3,466,650</w:t>
            </w:r>
          </w:p>
        </w:tc>
        <w:tc>
          <w:tcPr>
            <w:tcW w:w="100" w:type="dxa"/>
            <w:vAlign w:val="bottom"/>
            <w:shd w:val="clear" w:color="auto" w:fill="CFF0FC"/>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Backlog (2)</w:t>
            </w: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7,718,690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8,500,954</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jc w:val="both"/>
        <w:ind w:left="1000" w:right="100" w:hanging="62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presented in the first quarter of 2019, funded backlog for the Critical Infrastructure segment was overstated by $38.3 million with a corresponding understatement in unfunded backlog. There was no impact on total Critical Infrastructure backlog or total backlog for Parsons Corporation.</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30" w:name="page31"/>
    <w:bookmarkEnd w:id="30"/>
    <w:p>
      <w:pPr>
        <w:ind w:left="1000" w:right="120" w:hanging="62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$7.7 billion and our RUPO of $5.0 billion, each as of June 30, 2020, is due to (i) unissued task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20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expect to recognize $2.8 billion of our funded backlog at June 30, 2020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2019.</w:t>
      </w:r>
    </w:p>
    <w:p>
      <w:pPr>
        <w:spacing w:after="0" w:line="205" w:lineRule="exact"/>
        <w:rPr>
          <w:sz w:val="20"/>
          <w:szCs w:val="20"/>
          <w:color w:val="auto"/>
        </w:rPr>
      </w:pPr>
    </w:p>
    <w:p>
      <w:pPr>
        <w:ind w:right="600" w:firstLine="637"/>
        <w:spacing w:after="0" w:line="24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0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255"/>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060" w:type="dxa"/>
            <w:vAlign w:val="bottom"/>
          </w:tcPr>
          <w:p>
            <w:pPr>
              <w:ind w:left="4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20" w:type="dxa"/>
            <w:vAlign w:val="bottom"/>
          </w:tcPr>
          <w:p>
            <w:pPr>
              <w:jc w:val="right"/>
              <w:ind w:right="277"/>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right="60" w:firstLine="63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120" w:firstLine="63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QRC Technologies</w:t>
      </w:r>
    </w:p>
    <w:p>
      <w:pPr>
        <w:spacing w:after="0" w:line="122"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On July 31, 2019, the Company acquired QRC Technologies for $214.1 million. QRC Technologies provides design and development of open-architecture radio-frequency products. The acquisition was funded by cash on-hand and borrowings under our Revolving Credit Facility. The financial results of QRC Technologies have been included in our consolidated results of operations from July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31, 2019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40" w:firstLine="637"/>
        <w:spacing w:after="0" w:line="252" w:lineRule="auto"/>
        <w:rPr>
          <w:sz w:val="20"/>
          <w:szCs w:val="20"/>
          <w:color w:val="auto"/>
        </w:rPr>
      </w:pPr>
      <w:r>
        <w:rPr>
          <w:rFonts w:ascii="Arial" w:cs="Arial" w:eastAsia="Arial" w:hAnsi="Arial"/>
          <w:sz w:val="17"/>
          <w:szCs w:val="17"/>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26" w:lineRule="exact"/>
        <w:rPr>
          <w:sz w:val="20"/>
          <w:szCs w:val="20"/>
          <w:color w:val="auto"/>
        </w:rPr>
      </w:pPr>
    </w:p>
    <w:p>
      <w:pPr>
        <w:ind w:right="180" w:firstLine="679"/>
        <w:spacing w:after="0"/>
        <w:rPr>
          <w:sz w:val="20"/>
          <w:szCs w:val="20"/>
          <w:color w:val="auto"/>
        </w:rPr>
      </w:pPr>
      <w:r>
        <w:rPr>
          <w:rFonts w:ascii="Arial" w:cs="Arial" w:eastAsia="Arial" w:hAnsi="Arial"/>
          <w:sz w:val="18"/>
          <w:szCs w:val="18"/>
          <w:color w:val="auto"/>
        </w:rPr>
        <w:t>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2" w:name="page33"/>
    <w:bookmarkEnd w:id="32"/>
    <w:p>
      <w:pPr>
        <w:ind w:right="40"/>
        <w:spacing w:after="0" w:line="238" w:lineRule="auto"/>
        <w:rPr>
          <w:sz w:val="20"/>
          <w:szCs w:val="20"/>
          <w:color w:val="auto"/>
        </w:rPr>
      </w:pPr>
      <w:r>
        <w:rPr>
          <w:rFonts w:ascii="Arial" w:cs="Arial" w:eastAsia="Arial" w:hAnsi="Arial"/>
          <w:sz w:val="18"/>
          <w:szCs w:val="18"/>
          <w:color w:val="auto"/>
        </w:rPr>
        <w:t>state income tax had been provided in the Company’s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the Company is subject to tax.</w:t>
      </w:r>
    </w:p>
    <w:p>
      <w:pPr>
        <w:spacing w:after="0" w:line="205" w:lineRule="exact"/>
        <w:rPr>
          <w:sz w:val="20"/>
          <w:szCs w:val="20"/>
          <w:color w:val="auto"/>
        </w:rPr>
      </w:pPr>
    </w:p>
    <w:p>
      <w:pPr>
        <w:ind w:right="40" w:firstLine="679"/>
        <w:spacing w:after="0" w:line="238" w:lineRule="auto"/>
        <w:rPr>
          <w:sz w:val="20"/>
          <w:szCs w:val="20"/>
          <w:color w:val="auto"/>
        </w:rPr>
      </w:pPr>
      <w:r>
        <w:rPr>
          <w:rFonts w:ascii="Arial" w:cs="Arial" w:eastAsia="Arial" w:hAnsi="Arial"/>
          <w:sz w:val="18"/>
          <w:szCs w:val="18"/>
          <w:color w:val="auto"/>
        </w:rPr>
        <w:t>In connection with the IPO, the Company’s “S” Corporation status terminated, and the Company is now treated as a “C” Corporation under Subchapter C of the Internal Revenue Code. The revocation of the Company’s “S” Corporation election had a material impact on the Company’s results of operations, financial condition and cash flows. The effective tax rate has increased, and net income has decreased as compared to the Company’s “S” Corporation tax years, since the Company is now subject to both U.S. federal and state corporate income taxes on its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205" w:lineRule="exact"/>
        <w:rPr>
          <w:sz w:val="20"/>
          <w:szCs w:val="20"/>
          <w:color w:val="auto"/>
        </w:rPr>
      </w:pPr>
    </w:p>
    <w:p>
      <w:pPr>
        <w:ind w:right="180" w:firstLine="637"/>
        <w:spacing w:after="0"/>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description of our policies on revenue recognition.</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3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2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69"/>
        </w:trPr>
        <w:tc>
          <w:tcPr>
            <w:tcW w:w="51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June 30, 2020</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31.8%</w:t>
            </w: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30.8%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31.8%</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29.7%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Time-and-materials</w:t>
            </w:r>
          </w:p>
        </w:tc>
        <w:tc>
          <w:tcPr>
            <w:tcW w:w="1080" w:type="dxa"/>
            <w:vAlign w:val="bottom"/>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27.7%</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42.6%</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33" w:name="page34"/>
    <w:bookmarkEnd w:id="33"/>
    <w:p>
      <w:pPr>
        <w:ind w:right="200" w:firstLine="637"/>
        <w:spacing w:after="0"/>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June 30, 2020 and June 30, 2019 of $42.4 million and $50.7 million, respectively, and for the six months ended June 30, 2020 and June 30, 2019 of $82.8 million and $84.3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2020 and June 30, 2019 was $14.6 million and $12.3 million, respectively, and for the six months ended June 30, 2020 and June 30, 2019 was $29.5 million and $24.5 million, respectively and is recorded in “Direct cost of contracts” and “Indirect, general and administrative expenses.” We expect operating expenses to increase due to our anticipated growth and the incremental costs associated with being a public company.</w:t>
      </w:r>
    </w:p>
    <w:p>
      <w:pPr>
        <w:spacing w:after="0" w:line="205" w:lineRule="exact"/>
        <w:rPr>
          <w:sz w:val="20"/>
          <w:szCs w:val="20"/>
          <w:color w:val="auto"/>
        </w:rPr>
      </w:pPr>
    </w:p>
    <w:p>
      <w:pPr>
        <w:ind w:right="60" w:firstLine="63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97" w:lineRule="exact"/>
        <w:rPr>
          <w:sz w:val="20"/>
          <w:szCs w:val="20"/>
          <w:color w:val="auto"/>
        </w:rPr>
      </w:pPr>
    </w:p>
    <w:p>
      <w:pPr>
        <w:ind w:right="760" w:firstLine="637"/>
        <w:spacing w:after="0" w:line="246" w:lineRule="auto"/>
        <w:rPr>
          <w:sz w:val="20"/>
          <w:szCs w:val="20"/>
          <w:color w:val="auto"/>
        </w:rPr>
      </w:pPr>
      <w:r>
        <w:rPr>
          <w:rFonts w:ascii="Arial" w:cs="Arial" w:eastAsia="Arial" w:hAnsi="Arial"/>
          <w:sz w:val="18"/>
          <w:szCs w:val="18"/>
          <w:color w:val="auto"/>
        </w:rPr>
        <w:t>Indirect, general and administrative expenses (“IG&amp;A”)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Other income and expenses primarily consist of interest income, interest expense, other income, net and interest and other expense associated with claims on long-term contracts.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and Credit Agreement.</w:t>
      </w:r>
    </w:p>
    <w:p>
      <w:pPr>
        <w:spacing w:after="0" w:line="212" w:lineRule="exact"/>
        <w:rPr>
          <w:sz w:val="20"/>
          <w:szCs w:val="20"/>
          <w:color w:val="auto"/>
        </w:rPr>
      </w:pPr>
    </w:p>
    <w:p>
      <w:pPr>
        <w:ind w:right="640" w:firstLine="63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right="480" w:firstLine="63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six months ended June 30, 2020 and June 30, 2019.</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Borders>
              <w:bottom w:val="single" w:sz="8" w:color="CFF0FC"/>
            </w:tcBorders>
            <w:vMerge w:val="continue"/>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91,161</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151,657</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148,229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Margin (2)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jc w:val="center"/>
        <w:ind w:left="5520" w:right="740" w:hanging="5148"/>
        <w:spacing w:after="0" w:line="496" w:lineRule="auto"/>
        <w:tabs>
          <w:tab w:leader="none" w:pos="10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4" w:name="page35"/>
    <w:bookmarkEnd w:id="34"/>
    <w:p>
      <w:pPr>
        <w:ind w:left="1000" w:hanging="62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00" w:hanging="62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466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7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6,151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13,966</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 (benefit)</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(53,496)</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(51,610)</w:t>
            </w: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61,665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47,161</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7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91,161</w:t>
            </w:r>
          </w:p>
        </w:tc>
        <w:tc>
          <w:tcPr>
            <w:tcW w:w="120" w:type="dxa"/>
            <w:vAlign w:val="bottom"/>
          </w:tcPr>
          <w:p>
            <w:pPr>
              <w:spacing w:after="0"/>
              <w:rPr>
                <w:sz w:val="18"/>
                <w:szCs w:val="18"/>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76,205</w:t>
            </w:r>
          </w:p>
        </w:tc>
        <w:tc>
          <w:tcPr>
            <w:tcW w:w="140" w:type="dxa"/>
            <w:vAlign w:val="bottom"/>
          </w:tcPr>
          <w:p>
            <w:pPr>
              <w:spacing w:after="0"/>
              <w:rPr>
                <w:sz w:val="18"/>
                <w:szCs w:val="18"/>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151,657</w:t>
            </w:r>
          </w:p>
        </w:tc>
        <w:tc>
          <w:tcPr>
            <w:tcW w:w="2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148,229</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8" w:lineRule="exact"/>
        <w:rPr>
          <w:sz w:val="20"/>
          <w:szCs w:val="20"/>
          <w:color w:val="auto"/>
        </w:rPr>
      </w:pPr>
    </w:p>
    <w:p>
      <w:pPr>
        <w:ind w:left="640" w:right="640" w:hanging="632"/>
        <w:spacing w:after="0" w:line="23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60" w:hanging="632"/>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2" w:lineRule="exact"/>
        <w:rPr>
          <w:sz w:val="20"/>
          <w:szCs w:val="20"/>
          <w:color w:val="auto"/>
        </w:rPr>
      </w:pPr>
    </w:p>
    <w:p>
      <w:pPr>
        <w:ind w:firstLine="637"/>
        <w:spacing w:after="0" w:line="235"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5" w:right="399" w:bottom="1440" w:gutter="0" w:footer="0" w:header="0"/>
        </w:sectPr>
      </w:pPr>
    </w:p>
    <w:bookmarkStart w:id="35" w:name="page36"/>
    <w:bookmarkEnd w:id="35"/>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460" w:type="dxa"/>
            <w:vAlign w:val="bottom"/>
          </w:tcPr>
          <w:p>
            <w:pPr>
              <w:spacing w:after="0"/>
              <w:rPr>
                <w:sz w:val="13"/>
                <w:szCs w:val="13"/>
                <w:color w:val="auto"/>
              </w:rPr>
            </w:pPr>
          </w:p>
        </w:tc>
        <w:tc>
          <w:tcPr>
            <w:tcW w:w="94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460" w:type="dxa"/>
            <w:vAlign w:val="bottom"/>
          </w:tcPr>
          <w:p>
            <w:pPr>
              <w:spacing w:after="0"/>
              <w:rPr>
                <w:sz w:val="15"/>
                <w:szCs w:val="15"/>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w:t>
            </w: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$ 47,700</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$ 35,700</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$12,000</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33.6%</w:t>
            </w:r>
          </w:p>
        </w:tc>
        <w:tc>
          <w:tcPr>
            <w:tcW w:w="240" w:type="dxa"/>
            <w:vAlign w:val="bottom"/>
            <w:shd w:val="clear" w:color="auto" w:fill="CFF0FC"/>
          </w:tcPr>
          <w:p>
            <w:pPr>
              <w:jc w:val="right"/>
              <w:ind w:right="56"/>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79,317</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76,299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3,018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4.0%</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Critical Infrastructure Adjusted EBITDA</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460" w:type="dxa"/>
            <w:vAlign w:val="bottom"/>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35,519</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40,525</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(5,006)</w:t>
            </w:r>
          </w:p>
        </w:tc>
        <w:tc>
          <w:tcPr>
            <w:tcW w:w="9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-12.4%</w:t>
            </w: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62,876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68,201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(5,325)</w:t>
            </w:r>
          </w:p>
        </w:tc>
        <w:tc>
          <w:tcPr>
            <w:tcW w:w="8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-7.8%</w:t>
            </w:r>
          </w:p>
        </w:tc>
      </w:tr>
      <w:tr>
        <w:trPr>
          <w:trHeight w:val="215"/>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34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noncontrolling interests</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7,942</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(20)</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7,962</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9,464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3,729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5,735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153.8%</w:t>
            </w:r>
          </w:p>
        </w:tc>
      </w:tr>
      <w:tr>
        <w:trPr>
          <w:trHeight w:val="20"/>
        </w:trPr>
        <w:tc>
          <w:tcPr>
            <w:tcW w:w="3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8"/>
                <w:szCs w:val="18"/>
                <w:color w:val="auto"/>
              </w:rPr>
              <w:t>Total Adjusted EBITDA</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$ 91,161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$ 76,205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14,956</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151,657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148,229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3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80" w:firstLine="637"/>
        <w:spacing w:after="0" w:line="246" w:lineRule="auto"/>
        <w:rPr>
          <w:sz w:val="20"/>
          <w:szCs w:val="20"/>
          <w:color w:val="auto"/>
        </w:rPr>
      </w:pPr>
      <w:r>
        <w:rPr>
          <w:rFonts w:ascii="Arial" w:cs="Arial" w:eastAsia="Arial" w:hAnsi="Arial"/>
          <w:sz w:val="18"/>
          <w:szCs w:val="18"/>
          <w:color w:val="auto"/>
        </w:rPr>
        <w:t>The following table sets forth our results of operations for the three and six months ended June 30, 2020 and June 30, 2019 as a percentage of revenue.</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2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CFF0FC"/>
            </w:tcBorders>
          </w:tcPr>
          <w:p>
            <w:pPr>
              <w:spacing w:after="0"/>
              <w:rPr>
                <w:sz w:val="14"/>
                <w:szCs w:val="14"/>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76.5%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Indirect, general and administrative expenses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0"/>
        </w:trPr>
        <w:tc>
          <w:tcPr>
            <w:tcW w:w="49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49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long-term contract</w:t>
            </w:r>
          </w:p>
        </w:tc>
        <w:tc>
          <w:tcPr>
            <w:tcW w:w="13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0.0%</w:t>
            </w:r>
          </w:p>
        </w:tc>
      </w:tr>
      <w:tr>
        <w:trPr>
          <w:trHeight w:val="20"/>
        </w:trPr>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940" w:type="dxa"/>
            <w:vAlign w:val="bottom"/>
          </w:tcPr>
          <w:p>
            <w:pPr>
              <w:ind w:left="240"/>
              <w:spacing w:after="0"/>
              <w:rPr>
                <w:sz w:val="20"/>
                <w:szCs w:val="20"/>
                <w:color w:val="auto"/>
              </w:rPr>
            </w:pPr>
            <w:r>
              <w:rPr>
                <w:rFonts w:ascii="Arial" w:cs="Arial" w:eastAsia="Arial" w:hAnsi="Arial"/>
                <w:sz w:val="18"/>
                <w:szCs w:val="18"/>
                <w:color w:val="auto"/>
              </w:rPr>
              <w:t>Total other income (expense)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49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before income tax expense</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49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49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0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300" w:type="dxa"/>
            <w:vAlign w:val="bottom"/>
          </w:tcPr>
          <w:p>
            <w:pPr>
              <w:spacing w:after="0"/>
              <w:rPr>
                <w:sz w:val="13"/>
                <w:szCs w:val="13"/>
                <w:color w:val="auto"/>
              </w:rPr>
            </w:pPr>
          </w:p>
        </w:tc>
        <w:tc>
          <w:tcPr>
            <w:tcW w:w="80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$ 979,459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$ 989,742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 (10,283)</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 $ 1,950,452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$ 1,894,147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$ 56,305</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42" w:lineRule="exact"/>
        <w:rPr>
          <w:sz w:val="20"/>
          <w:szCs w:val="20"/>
          <w:color w:val="auto"/>
        </w:rPr>
      </w:pPr>
    </w:p>
    <w:p>
      <w:pPr>
        <w:ind w:right="100" w:firstLine="644"/>
        <w:spacing w:after="0" w:line="238" w:lineRule="auto"/>
        <w:rPr>
          <w:sz w:val="20"/>
          <w:szCs w:val="20"/>
          <w:color w:val="auto"/>
        </w:rPr>
      </w:pPr>
      <w:r>
        <w:rPr>
          <w:rFonts w:ascii="Arial" w:cs="Arial" w:eastAsia="Arial" w:hAnsi="Arial"/>
          <w:sz w:val="18"/>
          <w:szCs w:val="18"/>
          <w:color w:val="auto"/>
        </w:rPr>
        <w:t>Revenue decreased $ 10.3 million for the three months ended June 30, 2020 when compared to the corresponding period last year, primarily due to a decrease in revenue in our Critical Infrastructure segment of $14.0 million offset by an increase in our Federal Solutions segment of $3.7 million. Revenue increased $56.3 million for the six months ended June 30, 2020 when compared to the corresponding period last year, primarily due to an increase in revenue in our Federal Solutions segment of $58.5 million offset by a decrease in our Critical Infrastructure segment of $2.2 million. See “Segment Results” below for a further discussion.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20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300" w:type="dxa"/>
            <w:vAlign w:val="bottom"/>
          </w:tcPr>
          <w:p>
            <w:pPr>
              <w:spacing w:after="0"/>
              <w:rPr>
                <w:sz w:val="13"/>
                <w:szCs w:val="13"/>
                <w:color w:val="auto"/>
              </w:rPr>
            </w:pPr>
          </w:p>
        </w:tc>
        <w:tc>
          <w:tcPr>
            <w:tcW w:w="80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tcPr>
          <w:p>
            <w:pPr>
              <w:ind w:left="160"/>
              <w:spacing w:after="0" w:line="156"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$ 749,324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$ 784,723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 (35,399)</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-4.5% $ 1,518,956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$ 1,498,960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$ 19,996</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58" w:lineRule="exact"/>
        <w:rPr>
          <w:sz w:val="20"/>
          <w:szCs w:val="20"/>
          <w:color w:val="auto"/>
        </w:rPr>
      </w:pPr>
    </w:p>
    <w:p>
      <w:pPr>
        <w:ind w:right="160" w:firstLine="637"/>
        <w:spacing w:after="0" w:line="238" w:lineRule="auto"/>
        <w:rPr>
          <w:sz w:val="20"/>
          <w:szCs w:val="20"/>
          <w:color w:val="auto"/>
        </w:rPr>
      </w:pPr>
      <w:r>
        <w:rPr>
          <w:rFonts w:ascii="Arial" w:cs="Arial" w:eastAsia="Arial" w:hAnsi="Arial"/>
          <w:sz w:val="18"/>
          <w:szCs w:val="18"/>
          <w:color w:val="auto"/>
        </w:rPr>
        <w:t>Direct cost of contracts decreased $ 35.4 million for the three months ended June 30, 2020 when compared to the corresponding period last year, primarily due to a decrease of $26.8 million in our Critical Infrastructure segment and a decrease of $8.6 million in our Federal Solutions segment. The decrease in our Critical Infrastructure segment was primarily due to programs with high levels of pass-through costs reaching substantial completion. The decrease in our Federal Solutions segment was primarily due to a decrease in business volume driven by a reduction in pass-through costs.</w:t>
      </w:r>
    </w:p>
    <w:p>
      <w:pPr>
        <w:spacing w:after="0" w:line="202" w:lineRule="exact"/>
        <w:rPr>
          <w:sz w:val="20"/>
          <w:szCs w:val="20"/>
          <w:color w:val="auto"/>
        </w:rPr>
      </w:pPr>
    </w:p>
    <w:p>
      <w:pPr>
        <w:ind w:right="100" w:firstLine="637"/>
        <w:spacing w:after="0" w:line="257" w:lineRule="auto"/>
        <w:rPr>
          <w:sz w:val="20"/>
          <w:szCs w:val="20"/>
          <w:color w:val="auto"/>
        </w:rPr>
      </w:pPr>
      <w:r>
        <w:rPr>
          <w:rFonts w:ascii="Arial" w:cs="Arial" w:eastAsia="Arial" w:hAnsi="Arial"/>
          <w:sz w:val="17"/>
          <w:szCs w:val="17"/>
          <w:color w:val="auto"/>
        </w:rPr>
        <w:t>Direct cost of contracts increased $20.0 million for the six months ended June 30, 2020 when compared to the corresponding period last year, primarily due to an increase of $41.0 million in our Federal Solutions segment offset by a decrease of $21.0 million in our Critical Infrastructure segment. The increase in our Federal Solutions segment was primarily from increased pass-through costs. The decrease in our Critical Infrastructure segment was primarily due to programs with high levels of pass-through costs reaching substantial completion.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740" w:type="dxa"/>
            <w:vAlign w:val="bottom"/>
          </w:tcPr>
          <w:p>
            <w:pPr>
              <w:spacing w:after="0"/>
              <w:rPr>
                <w:sz w:val="13"/>
                <w:szCs w:val="13"/>
                <w:color w:val="auto"/>
              </w:rPr>
            </w:pPr>
          </w:p>
        </w:tc>
        <w:tc>
          <w:tcPr>
            <w:tcW w:w="96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5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Percent</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 unconsolidated joint</w:t>
            </w: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7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ventures</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3,769</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$ 11,634</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 (7,865)</w:t>
            </w:r>
          </w:p>
        </w:tc>
        <w:tc>
          <w:tcPr>
            <w:tcW w:w="11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-67.6% $</w:t>
            </w:r>
          </w:p>
        </w:tc>
        <w:tc>
          <w:tcPr>
            <w:tcW w:w="6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9,883</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$ 22,031</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w w:val="97"/>
              </w:rPr>
              <w:t>$ (12,148)</w:t>
            </w:r>
          </w:p>
        </w:tc>
        <w:tc>
          <w:tcPr>
            <w:tcW w:w="9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-55.1%</w:t>
            </w:r>
          </w:p>
        </w:tc>
      </w:tr>
    </w:tbl>
    <w:p>
      <w:pPr>
        <w:spacing w:after="0" w:line="242"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Equity in earnings of unconsolidated joint ventures decreased $7.9 million and $12.1 million for the three and six months ended June 30, 2020, respectively, when compared to the corresponding periods last year primarily related to reduced margins in certain joint ventures as well as a reduction in activity on a significant joint venture that is substantially complete.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17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580" w:type="dxa"/>
            <w:vAlign w:val="bottom"/>
          </w:tcPr>
          <w:p>
            <w:pPr>
              <w:spacing w:after="0"/>
              <w:rPr>
                <w:sz w:val="13"/>
                <w:szCs w:val="13"/>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8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9"/>
              </w:rPr>
              <w:t>June 30,</w:t>
            </w: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5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Indirect, general and administrative</w:t>
            </w: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5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expenses</w:t>
            </w:r>
          </w:p>
        </w:tc>
        <w:tc>
          <w:tcPr>
            <w:tcW w:w="7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7"/>
              </w:rPr>
              <w:t>$ 187,640</w:t>
            </w:r>
          </w:p>
        </w:tc>
        <w:tc>
          <w:tcPr>
            <w:tcW w:w="10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$ 225,359</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w w:val="97"/>
              </w:rPr>
              <w:t>$ (37,719)</w:t>
            </w:r>
          </w:p>
        </w:tc>
        <w:tc>
          <w:tcPr>
            <w:tcW w:w="17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-16.7% $ 371,414</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7"/>
              </w:rPr>
              <w:t>$ 402,878</w:t>
            </w:r>
          </w:p>
        </w:tc>
        <w:tc>
          <w:tcPr>
            <w:tcW w:w="1140" w:type="dxa"/>
            <w:vAlign w:val="bottom"/>
            <w:gridSpan w:val="3"/>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 (31,464)</w:t>
            </w: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-7.8%</w:t>
            </w:r>
          </w:p>
        </w:tc>
      </w:tr>
    </w:tbl>
    <w:p>
      <w:pPr>
        <w:spacing w:after="0" w:line="24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Indirect, general and administrative expenses (“IG&amp;A”) for the three months ended June 30, 2020 and June 30, 2019 include $12.9 million and $ 43.3 million, respectively, and for the six months ended June 30, 2020 and June 30, 2019 include $5.1 million and $47.2 million, respectively, of compensation cost related to equity-based awards.</w:t>
      </w:r>
    </w:p>
    <w:p>
      <w:pPr>
        <w:spacing w:after="0" w:line="203"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Equity awards issued prior to the Company’s IPO settle in cash and are remeasured to an updated fair value at each reporting period until the award is settled. Compensation cost is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2019 for a further discussion of how a share of the Company’s common stock was valued prior to the IPO. Subsequent to the IPO, the share price of the Company’s common stock is based on quoted prices on the New York Stock Exchange.</w:t>
      </w:r>
    </w:p>
    <w:p>
      <w:pPr>
        <w:spacing w:after="0" w:line="205"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Excluding the compensation costs discussed above, IG&amp;A for the three months ended June 30, 2020 and June 30, 2019 was $174.8 million and $182.0 million, respectively and for the six months ended June 30, 2020 and June 30, 2019 was $366.3 million and $355.7 million,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right="220" w:firstLine="637"/>
        <w:spacing w:after="0" w:line="238" w:lineRule="auto"/>
        <w:rPr>
          <w:sz w:val="20"/>
          <w:szCs w:val="20"/>
          <w:color w:val="auto"/>
        </w:rPr>
      </w:pPr>
      <w:r>
        <w:rPr>
          <w:rFonts w:ascii="Arial" w:cs="Arial" w:eastAsia="Arial" w:hAnsi="Arial"/>
          <w:sz w:val="18"/>
          <w:szCs w:val="18"/>
          <w:color w:val="auto"/>
        </w:rPr>
        <w:t>The decrease in IG&amp;A of $7.2 million, exclusive of equity compensation cost, for the three months ended June 30, 2020 when compared to the corresponding period last year was primarily due to a $8.6 million reduction in transaction-related, restructuring and other non-recurring costs, $4.3 million due to a tax law change, and $4.3 million from various overhead adjustments which occurred in second quarter 2019, but did not recur in the second quarter 2020. These decreases were offset by additional expenses of $8.5 million associated with business acquisitions and $1.5 million related to strategic growth initiatives and public company operating costs.</w:t>
      </w:r>
    </w:p>
    <w:p>
      <w:pPr>
        <w:spacing w:after="0" w:line="202"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The increase in IG&amp;A of $10.6 million, exclusive of equity compensation cost, for the six months ended June 30, 2020 when compared to the corresponding period last year was primarily due to additional expenses of $ 16.7 million associated with business acquisitions, $3.7 million due to a tax law change, and $5.0 million related to strategic growth initiatives and public company operating costs. These increases were partially offset by a $14.8 million reduction in transaction-related, restructuring and other non-recurring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7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w:t>
            </w: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(14,668)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6,487</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r>
      <w:tr>
        <w:trPr>
          <w:trHeight w:val="216"/>
        </w:trPr>
        <w:tc>
          <w:tcPr>
            <w:tcW w:w="2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(1,284)</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-83.0%</w:t>
            </w: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740" w:type="dxa"/>
            <w:vAlign w:val="bottom"/>
          </w:tcPr>
          <w:p>
            <w:pPr>
              <w:ind w:left="260"/>
              <w:spacing w:after="0"/>
              <w:rPr>
                <w:sz w:val="20"/>
                <w:szCs w:val="20"/>
                <w:color w:val="auto"/>
              </w:rPr>
            </w:pPr>
            <w:r>
              <w:rPr>
                <w:rFonts w:ascii="Arial" w:cs="Arial" w:eastAsia="Arial" w:hAnsi="Arial"/>
                <w:sz w:val="18"/>
                <w:szCs w:val="18"/>
                <w:color w:val="auto"/>
              </w:rPr>
              <w:t>Total other income (expense)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(3,248)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(4,645)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(7,494)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(12,419)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4,925</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The amounts in other income (expense), net are primarily related to transaction gains and losses on foreign currency transactions and sublease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9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$ 11,891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 (53,496)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$ 65,387</w:t>
            </w:r>
          </w:p>
        </w:tc>
        <w:tc>
          <w:tcPr>
            <w:tcW w:w="20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-122.2% $ 16,975</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 (51,610)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$ 68,585</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-132.9%</w:t>
            </w:r>
          </w:p>
        </w:tc>
      </w:tr>
    </w:tbl>
    <w:p>
      <w:pPr>
        <w:spacing w:after="0" w:line="200" w:lineRule="exact"/>
        <w:rPr>
          <w:sz w:val="20"/>
          <w:szCs w:val="20"/>
          <w:color w:val="auto"/>
        </w:rPr>
      </w:pPr>
    </w:p>
    <w:p>
      <w:pPr>
        <w:spacing w:after="0" w:line="258" w:lineRule="exact"/>
        <w:rPr>
          <w:sz w:val="20"/>
          <w:szCs w:val="20"/>
          <w:color w:val="auto"/>
        </w:rPr>
      </w:pPr>
    </w:p>
    <w:p>
      <w:pPr>
        <w:ind w:right="20" w:firstLine="637"/>
        <w:spacing w:after="0" w:line="236" w:lineRule="auto"/>
        <w:rPr>
          <w:sz w:val="20"/>
          <w:szCs w:val="20"/>
          <w:color w:val="auto"/>
        </w:rPr>
      </w:pPr>
      <w:r>
        <w:rPr>
          <w:rFonts w:ascii="Arial" w:cs="Arial" w:eastAsia="Arial" w:hAnsi="Arial"/>
          <w:sz w:val="18"/>
          <w:szCs w:val="18"/>
          <w:color w:val="auto"/>
        </w:rPr>
        <w:t>As described in “Note 11 – Income Taxes,” in the notes to our consolidated financial statements included elsewhere in this Quarterly Report on Form 10-Q, in connection with the Company’s IPO on May 8, 2019, the Company converted from an “S” Corporation to a “C” Corporation. On a pro forma basis, if the Company had been taxed as a “C” Corporation for the three months and six months ended June 30, 2019, the pro forma effective tax rate would have been 8.36% and 190.71%, respectively, and the pro forma income tax expense would have been $(1.1) million and $3.7 million, respectively. The Company’s effective tax rate was 27.64% and 27.17% and income tax expense was $11.9 million and $17.0 million for the three months and six months ended June 30, 2020, respectively. The most significant items contributing to the change in the effective tax rate relate to a nonrecurring item included in the second quarter 2019 associated with equity compensation and a change in jurisdictional earnings. The difference between the statutory U.S. federal income tax rate of 21.0% and the effective tax rate for the quarter ended June 30, 2020 primarily relates to state income taxes.</w:t>
      </w:r>
    </w:p>
    <w:p>
      <w:pPr>
        <w:spacing w:after="0" w:line="207"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At the quarter ended June 30, 2019, the Company had recorded $56 million for the estimated effect of the change in tax status, relating to the recognition of net deferred tax assets for temporary differences in existence on the date of conversion to a “C” Corporation. This estimated amount is subject to additional revision upon filing of the 2019 tax returns.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680" w:firstLine="637"/>
        <w:spacing w:after="0" w:line="246"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8"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201" w:lineRule="exact"/>
        <w:rPr>
          <w:sz w:val="20"/>
          <w:szCs w:val="20"/>
          <w:color w:val="auto"/>
        </w:rPr>
      </w:pPr>
    </w:p>
    <w:p>
      <w:pPr>
        <w:ind w:right="240" w:firstLine="63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9"/>
          </w:tcPr>
          <w:p>
            <w:pPr>
              <w:jc w:val="center"/>
              <w:ind w:right="79"/>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20"/>
                <w:szCs w:val="20"/>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Pr>
          <w:p>
            <w:pPr>
              <w:spacing w:after="0"/>
              <w:rPr>
                <w:sz w:val="20"/>
                <w:szCs w:val="20"/>
                <w:color w:val="auto"/>
              </w:rPr>
            </w:pPr>
          </w:p>
        </w:tc>
        <w:tc>
          <w:tcPr>
            <w:tcW w:w="1260" w:type="dxa"/>
            <w:vAlign w:val="bottom"/>
            <w:gridSpan w:val="7"/>
          </w:tcPr>
          <w:p>
            <w:pPr>
              <w:ind w:left="40"/>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6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47,700</w:t>
            </w:r>
          </w:p>
        </w:tc>
        <w:tc>
          <w:tcPr>
            <w:tcW w:w="360" w:type="dxa"/>
            <w:vAlign w:val="bottom"/>
            <w:gridSpan w:val="2"/>
            <w:shd w:val="clear" w:color="auto" w:fill="CFF0FC"/>
          </w:tcPr>
          <w:p>
            <w:pPr>
              <w:jc w:val="center"/>
              <w:ind w:left="50"/>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35,700</w:t>
            </w:r>
          </w:p>
        </w:tc>
        <w:tc>
          <w:tcPr>
            <w:tcW w:w="180" w:type="dxa"/>
            <w:vAlign w:val="bottom"/>
            <w:shd w:val="clear" w:color="auto" w:fill="CFF0FC"/>
          </w:tcPr>
          <w:p>
            <w:pPr>
              <w:spacing w:after="0"/>
              <w:rPr>
                <w:sz w:val="17"/>
                <w:szCs w:val="17"/>
                <w:color w:val="auto"/>
              </w:rPr>
            </w:pPr>
          </w:p>
        </w:tc>
        <w:tc>
          <w:tcPr>
            <w:tcW w:w="240" w:type="dxa"/>
            <w:vAlign w:val="bottom"/>
            <w:gridSpan w:val="3"/>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79,317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76,299</w:t>
            </w:r>
          </w:p>
        </w:tc>
        <w:tc>
          <w:tcPr>
            <w:tcW w:w="100" w:type="dxa"/>
            <w:vAlign w:val="bottom"/>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160" w:type="dxa"/>
            <w:vAlign w:val="bottom"/>
            <w:gridSpan w:val="7"/>
          </w:tcPr>
          <w:p>
            <w:pPr>
              <w:spacing w:after="0"/>
              <w:rPr>
                <w:sz w:val="20"/>
                <w:szCs w:val="20"/>
                <w:color w:val="auto"/>
              </w:rPr>
            </w:pPr>
            <w:r>
              <w:rPr>
                <w:rFonts w:ascii="Arial" w:cs="Arial" w:eastAsia="Arial" w:hAnsi="Arial"/>
                <w:sz w:val="18"/>
                <w:szCs w:val="18"/>
                <w:color w:val="auto"/>
              </w:rPr>
              <w:t>Critical Infrastructure Adjusted EBITDA attributable to Parsons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040" w:type="dxa"/>
            <w:vAlign w:val="bottom"/>
          </w:tcPr>
          <w:p>
            <w:pPr>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35,519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40,525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62,876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68,201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3,729</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91,161</w:t>
            </w:r>
          </w:p>
        </w:tc>
        <w:tc>
          <w:tcPr>
            <w:tcW w:w="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76,205</w:t>
            </w:r>
          </w:p>
        </w:tc>
        <w:tc>
          <w:tcPr>
            <w:tcW w:w="180" w:type="dxa"/>
            <w:vAlign w:val="bottom"/>
          </w:tcPr>
          <w:p>
            <w:pPr>
              <w:spacing w:after="0"/>
              <w:rPr>
                <w:sz w:val="18"/>
                <w:szCs w:val="18"/>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Variance</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9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Dollar</w:t>
            </w:r>
          </w:p>
        </w:tc>
        <w:tc>
          <w:tcPr>
            <w:tcW w:w="26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482,210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478,497</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959,781</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901,309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58,472</w:t>
            </w:r>
          </w:p>
        </w:tc>
        <w:tc>
          <w:tcPr>
            <w:tcW w:w="260" w:type="dxa"/>
            <w:vAlign w:val="bottom"/>
            <w:tcBorders>
              <w:right w:val="single" w:sz="8" w:color="CFF0FC"/>
            </w:tcBorders>
            <w:shd w:val="clear" w:color="auto" w:fill="CFF0FC"/>
          </w:tcPr>
          <w:p>
            <w:pPr>
              <w:spacing w:after="0"/>
              <w:rPr>
                <w:sz w:val="18"/>
                <w:szCs w:val="18"/>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8"/>
                <w:szCs w:val="18"/>
                <w:color w:val="auto"/>
              </w:rPr>
              <w:t>Adjusted EBITDA attributable to Parsons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47,700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35,700</w:t>
            </w: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$12,000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8"/>
                <w:szCs w:val="18"/>
                <w:color w:val="auto"/>
              </w:rPr>
              <w:t>33.6%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79,317</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76,299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2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increase in Federal Solutions revenue for the three and six months ended June 30, 2020 compared to the corresponding periods last year was primarily due to an increase in business volume from new and existing contracts and an increase in incentive fees. These increases were partially offset by a delay in revenue from certain programs where work is delayed as a result of COVID-19.</w:t>
      </w:r>
    </w:p>
    <w:p>
      <w:pPr>
        <w:spacing w:after="0" w:line="203" w:lineRule="exact"/>
        <w:rPr>
          <w:sz w:val="20"/>
          <w:szCs w:val="20"/>
          <w:color w:val="auto"/>
        </w:rPr>
      </w:pPr>
    </w:p>
    <w:p>
      <w:pPr>
        <w:ind w:right="220" w:firstLine="644"/>
        <w:spacing w:after="0"/>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June 30, 2020 compared to the corresponding period last year was primarily due to generally higher profit margins driven by an increase in incentive fee recognition and a decrease in volume on contracts with pass-through costs.</w:t>
      </w:r>
    </w:p>
    <w:p>
      <w:pPr>
        <w:spacing w:after="0" w:line="203" w:lineRule="exact"/>
        <w:rPr>
          <w:sz w:val="20"/>
          <w:szCs w:val="20"/>
          <w:color w:val="auto"/>
        </w:rPr>
      </w:pPr>
    </w:p>
    <w:p>
      <w:pPr>
        <w:ind w:right="40" w:firstLine="644"/>
        <w:spacing w:after="0" w:line="237" w:lineRule="auto"/>
        <w:rPr>
          <w:sz w:val="20"/>
          <w:szCs w:val="20"/>
          <w:color w:val="auto"/>
        </w:rPr>
      </w:pPr>
      <w:r>
        <w:rPr>
          <w:rFonts w:ascii="Arial" w:cs="Arial" w:eastAsia="Arial" w:hAnsi="Arial"/>
          <w:sz w:val="18"/>
          <w:szCs w:val="18"/>
          <w:color w:val="auto"/>
        </w:rPr>
        <w:t>The increase in Federal Solutions Adjusted EBITDA attributable to Parsons Corporation for the six months ended June 30, 2020 compared to the corresponding period last year was primarily due to generally higher profit margins driven by an increase in incentive fees and an increase in business volume from new awards and business acquisitions. Offsetting the increase in Adjusted EBITDA attributable to Parsons Corporation was an increase in volume on contracts with pass-through costs and an increase in IG&amp;A from business acquisitions and corporate allocated costs. IG&amp;A, in the first quarter of 2019, included various positive overhead adjustments that did not recur in the first quarter of 2020.</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1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720" w:type="dxa"/>
            <w:vAlign w:val="bottom"/>
          </w:tcPr>
          <w:p>
            <w:pPr>
              <w:jc w:val="right"/>
              <w:ind w:right="59"/>
              <w:spacing w:after="0" w:line="156"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9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6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Dollar</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497,249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511,245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(13,996)</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990,671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992,838</w:t>
            </w:r>
          </w:p>
        </w:tc>
        <w:tc>
          <w:tcPr>
            <w:tcW w:w="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$(2,167)</w:t>
            </w: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Adjusted EBITDA attributable to Parsons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35,519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62,876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68,201</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$(5,325)</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r>
      <w:tr>
        <w:trPr>
          <w:trHeight w:val="661"/>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ind w:right="340" w:firstLine="637"/>
        <w:spacing w:after="0"/>
        <w:rPr>
          <w:sz w:val="20"/>
          <w:szCs w:val="20"/>
          <w:color w:val="auto"/>
        </w:rPr>
      </w:pPr>
      <w:r>
        <w:rPr>
          <w:rFonts w:ascii="Arial" w:cs="Arial" w:eastAsia="Arial" w:hAnsi="Arial"/>
          <w:sz w:val="18"/>
          <w:szCs w:val="18"/>
          <w:color w:val="auto"/>
        </w:rPr>
        <w:t>The decrease in Critical Infrastructure revenue for the three and six months ended June 30, 2020 compared to the corresponding periods last year was primarily due to a delay in revenue from certain programs where work is delayed as a result of COVID-19, partially offset by an increase in business volume under new and existing contracts.</w:t>
      </w:r>
    </w:p>
    <w:p>
      <w:pPr>
        <w:spacing w:after="0" w:line="203" w:lineRule="exact"/>
        <w:rPr>
          <w:sz w:val="20"/>
          <w:szCs w:val="20"/>
          <w:color w:val="auto"/>
        </w:rPr>
      </w:pPr>
    </w:p>
    <w:p>
      <w:pPr>
        <w:ind w:right="160" w:firstLine="637"/>
        <w:spacing w:after="0" w:line="246" w:lineRule="auto"/>
        <w:rPr>
          <w:sz w:val="20"/>
          <w:szCs w:val="20"/>
          <w:color w:val="auto"/>
        </w:rPr>
      </w:pPr>
      <w:r>
        <w:rPr>
          <w:rFonts w:ascii="Arial" w:cs="Arial" w:eastAsia="Arial" w:hAnsi="Arial"/>
          <w:sz w:val="18"/>
          <w:szCs w:val="18"/>
          <w:color w:val="auto"/>
        </w:rPr>
        <w:t>The decrease in Adjusted EBITDA attributable to Parsons Corporation in Critical Infrastructure for the three months ended June 30, 2020 was primarily related to a decrease in equity in earnings of unconsolidated joint ventures partially offset by improved project margins.</w:t>
      </w:r>
    </w:p>
    <w:p>
      <w:pPr>
        <w:spacing w:after="0" w:line="197"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 decrease in Adjusted EBITDA attributable to Parsons Corporation in Critical Infrastructure for the six months ended June 30, 2020 was primarily related to a decrease in equity in earnings of unconsolidated joint ventures and an increase in IG&amp;A. These decreases were partially offset by improved project margins.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640" w:firstLine="637"/>
        <w:spacing w:after="0" w:line="274" w:lineRule="auto"/>
        <w:rPr>
          <w:sz w:val="20"/>
          <w:szCs w:val="20"/>
          <w:color w:val="auto"/>
        </w:rPr>
      </w:pPr>
      <w:r>
        <w:rPr>
          <w:rFonts w:ascii="Arial" w:cs="Arial" w:eastAsia="Arial" w:hAnsi="Arial"/>
          <w:sz w:val="17"/>
          <w:szCs w:val="17"/>
          <w:color w:val="auto"/>
        </w:rPr>
        <w:t>Historically, we have financed our operations and capital expenditures and satisfied redemptions of ESOP interests through a combination of internally generated cash from operations, our Senior Notes and from borrowings under our Revolving Credit Facility.</w:t>
      </w:r>
    </w:p>
    <w:p>
      <w:pPr>
        <w:spacing w:after="0" w:line="175"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5" w:lineRule="exact"/>
        <w:rPr>
          <w:sz w:val="20"/>
          <w:szCs w:val="20"/>
          <w:color w:val="auto"/>
        </w:rPr>
      </w:pPr>
    </w:p>
    <w:p>
      <w:pPr>
        <w:ind w:right="220" w:firstLine="637"/>
        <w:spacing w:after="0" w:line="237" w:lineRule="auto"/>
        <w:rPr>
          <w:sz w:val="20"/>
          <w:szCs w:val="20"/>
          <w:color w:val="auto"/>
        </w:rPr>
      </w:pPr>
      <w:r>
        <w:rPr>
          <w:rFonts w:ascii="Arial" w:cs="Arial" w:eastAsia="Arial" w:hAnsi="Arial"/>
          <w:sz w:val="18"/>
          <w:szCs w:val="18"/>
          <w:color w:val="auto"/>
        </w:rPr>
        <w:t>There are likely to be certain impacts in our ability to collect accounts receivable as a result of the economic impacts from the COVID-19 pandemic. Accounts receivable reflect amounts due from both commercial and government customers. Our commercial customers are comprised principally of large, well-known and well-established companies. Our government customers are comprised principally of national, state and local agencies in the U.S. and Middle East. We have not seen and do not expect there to be a risk of non-payment from either our government agency or commercial customers. We have experienced payment delays due to administrative limitations from both types of customers.</w:t>
      </w:r>
    </w:p>
    <w:p>
      <w:pPr>
        <w:spacing w:after="0" w:line="205" w:lineRule="exact"/>
        <w:rPr>
          <w:sz w:val="20"/>
          <w:szCs w:val="20"/>
          <w:color w:val="auto"/>
        </w:rPr>
      </w:pPr>
    </w:p>
    <w:p>
      <w:pPr>
        <w:jc w:val="both"/>
        <w:ind w:right="120" w:firstLine="637"/>
        <w:spacing w:after="0" w:line="238" w:lineRule="auto"/>
        <w:rPr>
          <w:sz w:val="20"/>
          <w:szCs w:val="20"/>
          <w:color w:val="auto"/>
        </w:rPr>
      </w:pPr>
      <w:r>
        <w:rPr>
          <w:rFonts w:ascii="Arial" w:cs="Arial" w:eastAsia="Arial" w:hAnsi="Arial"/>
          <w:sz w:val="18"/>
          <w:szCs w:val="18"/>
          <w:color w:val="auto"/>
        </w:rPr>
        <w:t>As of June 30, 2020,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which totals $505.1 million as of June 30, 2020. We do not currently anticipate that the COVID-19 pandemic related economic impacts will impair the Company’s ability to continue to maintain compliance with its debt covenants or access available borrowing capacity from our banks.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69 days at June 30, 2020 and 65 days at June 30, 2019. In addition to the COVID-19 impacts discussed above, the increase in DSO was also impacted by certain administrative activities by a customer in the Federal Solutions segment which have delayed the payment of invoices.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Our working capital (current assets less current liabilities) was $458.2 million at June 30, 2020 and $382.0 million at December 31, 2019.</w:t>
      </w:r>
    </w:p>
    <w:p>
      <w:pPr>
        <w:spacing w:after="0" w:line="21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Our cash, cash equivalents and restricted cash decreased by $58.8 million to $136.6 million at June 30, 2020 from $195.4 million at December 31, 2019.</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69"/>
        </w:trPr>
        <w:tc>
          <w:tcPr>
            <w:tcW w:w="514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FF0FC"/>
            </w:tcBorders>
          </w:tcPr>
          <w:p>
            <w:pPr>
              <w:spacing w:after="0"/>
              <w:rPr>
                <w:sz w:val="14"/>
                <w:szCs w:val="14"/>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(31,444)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(48,495)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(312,208)</w:t>
            </w: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291,493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r>
      <w:tr>
        <w:trPr>
          <w:trHeight w:val="20"/>
        </w:trPr>
        <w:tc>
          <w:tcPr>
            <w:tcW w:w="514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(58,754)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(69,812)</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80" w:firstLine="637"/>
        <w:spacing w:after="0" w:line="237" w:lineRule="auto"/>
        <w:rPr>
          <w:sz w:val="20"/>
          <w:szCs w:val="20"/>
          <w:color w:val="auto"/>
        </w:rPr>
      </w:pPr>
      <w:r>
        <w:rPr>
          <w:rFonts w:ascii="Arial" w:cs="Arial" w:eastAsia="Arial" w:hAnsi="Arial"/>
          <w:sz w:val="18"/>
          <w:szCs w:val="18"/>
          <w:color w:val="auto"/>
        </w:rPr>
        <w:t>Net cash used in operating activities consists primarily of net income (loss)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97"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Net cash used in operating activities decreased $17.1 million to $31.4 million for the six months ended June 30, 2020 compared to $48.5 million of cash used in operating activities for the six months ended June 30, 2019. The change in net cash used in operating activities is primarily from a $86.6 million increase in net income after adjusting for non-cash items offset by a change of $48.7 million in other long-term liabilities, primarily driven by the payment of long-term employee incentives offset by the deferral of social security payroll taxes as described below and a $20.8 million increase in cash outflows from our working capital accounts (primarily from accrued expenses and contract liabilities offset by accounts receivable, net of contract assets and deferred income tax payments as described below).</w:t>
      </w:r>
    </w:p>
    <w:p>
      <w:pPr>
        <w:spacing w:after="0" w:line="97"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Under the CARES Act, the Company had deferred $ 18.5 million in U.S. federal and certain state estimated 2020 income tax payments that were otherwise due during the quarter ended June 30, 2020 and were due and paid by July 15, 2020. The CARES Act also provides for the deferral of employer’s share of social security payroll taxes due from the date of enactment through the end of 2020. The Company has deferred $14.5 million of social security taxes otherwise due from April 10, 2020 through the quarter ended June 30, 2020 and will continue to defer employer social security taxes otherwise due for the remaining of the calendar year 2020; one-half of which are due December 31, 2021 and the second-half which are due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2"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Net cash used in investing activities decreased $286.4 million to $25.8 million for the six months ended June 30, 2020, when compared to $312.2 million for the six months ended June 30, 2019, primarily due to the use of $287.5 million, net of cash acquired, for the acquisition of OGSystems on January 7, 2019. The Company had no business acquisitions activity during the six months ended June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80" w:firstLine="637"/>
        <w:spacing w:after="0" w:line="246"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97"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The Company used $0.8 million in net cash from financing activities for the six months ended June 2020 compared to $291.5 million in net cash provided by financing activities for the six months ended June 30, 2019, a decrease in net cash provided by financing activities of $292.3 million. The change in cash flows from financing activities is primarily due to $537.3 million of IPO proceeds offset in part by net repayments of borrowings of $180 million and a dividend payment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41" w:name="page42"/>
    <w:bookmarkEnd w:id="41"/>
    <w:p>
      <w:pPr>
        <w:ind w:right="200"/>
        <w:spacing w:after="0" w:line="246" w:lineRule="auto"/>
        <w:rPr>
          <w:sz w:val="20"/>
          <w:szCs w:val="20"/>
          <w:color w:val="auto"/>
        </w:rPr>
      </w:pPr>
      <w:r>
        <w:rPr>
          <w:rFonts w:ascii="Arial" w:cs="Arial" w:eastAsia="Arial" w:hAnsi="Arial"/>
          <w:sz w:val="18"/>
          <w:szCs w:val="18"/>
          <w:color w:val="auto"/>
        </w:rPr>
        <w:t>of $52.1 million during the six months ended June 30, 2019 compared to no amounts related to these financing activities for the six months ended June 30,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140" w:firstLine="637"/>
        <w:spacing w:after="0" w:line="238"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$186.6 million as of June 30, 2020, including $44.9 million of letters of credit outstanding under the Credit Agreement. Total letters of credit outstanding at June 30, 2020 are $231.4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right="1320" w:firstLine="63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400" w:firstLine="637"/>
        <w:spacing w:after="0"/>
        <w:rPr>
          <w:sz w:val="20"/>
          <w:szCs w:val="20"/>
          <w:color w:val="auto"/>
        </w:rPr>
      </w:pPr>
      <w:r>
        <w:rPr>
          <w:rFonts w:ascii="Arial" w:cs="Arial" w:eastAsia="Arial" w:hAnsi="Arial"/>
          <w:sz w:val="18"/>
          <w:szCs w:val="18"/>
          <w:color w:val="auto"/>
        </w:rPr>
        <w:t>As of June 30, 2020,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We are exposed to interest rate risks related to the Company’s Revolving Credit Facility. As of June 30, 2020, there were no amounts outstanding under the Revolving Credit Facility. Borrowings under the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June 30, 2020 and December 31, 2019 were 1.42% and 3.02%,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right="120" w:firstLine="637"/>
        <w:spacing w:after="0" w:line="236" w:lineRule="auto"/>
        <w:rPr>
          <w:sz w:val="20"/>
          <w:szCs w:val="20"/>
          <w:color w:val="auto"/>
        </w:rPr>
      </w:pPr>
      <w:r>
        <w:rPr>
          <w:rFonts w:ascii="Arial" w:cs="Arial" w:eastAsia="Arial" w:hAnsi="Arial"/>
          <w:sz w:val="18"/>
          <w:szCs w:val="18"/>
          <w:color w:val="auto"/>
        </w:rPr>
        <w:t>Our management carried out, as of June 30, 2020,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2020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720" w:firstLine="637"/>
        <w:spacing w:after="0" w:line="246" w:lineRule="auto"/>
        <w:rPr>
          <w:sz w:val="20"/>
          <w:szCs w:val="20"/>
          <w:color w:val="auto"/>
        </w:rPr>
      </w:pPr>
      <w:r>
        <w:rPr>
          <w:rFonts w:ascii="Arial" w:cs="Arial" w:eastAsia="Arial" w:hAnsi="Arial"/>
          <w:sz w:val="18"/>
          <w:szCs w:val="18"/>
          <w:color w:val="auto"/>
        </w:rPr>
        <w:t>During the second quarter of 2020,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60" w:firstLine="637"/>
        <w:spacing w:after="0" w:line="24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40" w:firstLine="637"/>
        <w:spacing w:after="0"/>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2019 other than as set forth below. See also our updates for the COVID-19 pandemic included in Management’s Discussion and Analysis of Financial Condition and Results of Operations of this Form 10-Q.</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68"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95"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2019, such as those relating to government spending and priorities.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00" w:type="dxa"/>
            <w:vAlign w:val="bottom"/>
            <w:tcBorders>
              <w:bottom w:val="single" w:sz="8" w:color="auto"/>
            </w:tcBorders>
            <w:gridSpan w:val="5"/>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2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Certification of Principal Financial Officer Pursuant to Rules 13a-14(a) and 15d-14(a) under the Securities Exchange Act of 1934,</w:t>
              </w:r>
            </w:hyperlink>
          </w:p>
        </w:tc>
        <w:tc>
          <w:tcPr>
            <w:tcW w:w="60" w:type="dxa"/>
            <w:vAlign w:val="bottom"/>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as Adopted Pursuant to Section 302 of the Sarbanes-Oxley Act of 2002.</w:t>
              </w:r>
            </w:hyperlink>
          </w:p>
        </w:tc>
        <w:tc>
          <w:tcPr>
            <w:tcW w:w="4560" w:type="dxa"/>
            <w:vAlign w:val="bottom"/>
            <w:gridSpan w:val="4"/>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620" w:type="dxa"/>
            <w:vAlign w:val="bottom"/>
            <w:gridSpan w:val="2"/>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680" w:type="dxa"/>
            <w:vAlign w:val="bottom"/>
            <w:gridSpan w:val="3"/>
          </w:tcPr>
          <w:p>
            <w:pPr>
              <w:spacing w:after="0"/>
              <w:rPr>
                <w:sz w:val="24"/>
                <w:szCs w:val="24"/>
                <w:color w:val="auto"/>
              </w:rPr>
            </w:pPr>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Sarbanes-Oxley Act of 2002.</w:t>
              </w:r>
            </w:hyperlink>
          </w:p>
        </w:tc>
        <w:tc>
          <w:tcPr>
            <w:tcW w:w="8000" w:type="dxa"/>
            <w:vAlign w:val="bottom"/>
            <w:gridSpan w:val="5"/>
          </w:tcPr>
          <w:p>
            <w:pPr>
              <w:spacing w:after="0"/>
              <w:rPr>
                <w:sz w:val="15"/>
                <w:szCs w:val="15"/>
                <w:color w:val="auto"/>
              </w:rPr>
            </w:pPr>
          </w:p>
        </w:tc>
      </w:tr>
    </w:tbl>
    <w:p>
      <w:pPr>
        <w:spacing w:after="0" w:line="134" w:lineRule="exact"/>
        <w:rPr>
          <w:sz w:val="20"/>
          <w:szCs w:val="20"/>
          <w:color w:val="auto"/>
        </w:rPr>
      </w:pPr>
    </w:p>
    <w:p>
      <w:pPr>
        <w:ind w:left="940" w:right="40" w:hanging="932"/>
        <w:spacing w:after="0" w:line="257" w:lineRule="auto"/>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June 30, 2020,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94" w:lineRule="exact"/>
        <w:rPr>
          <w:sz w:val="20"/>
          <w:szCs w:val="20"/>
          <w:color w:val="auto"/>
        </w:rPr>
      </w:pPr>
    </w:p>
    <w:p>
      <w:pPr>
        <w:ind w:left="940" w:right="80" w:hanging="932"/>
        <w:spacing w:after="0" w:line="246"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Company Name</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-1905</wp:posOffset>
            </wp:positionV>
            <wp:extent cx="31629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333"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line="246"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ind w:left="1040" w:right="280" w:hanging="519"/>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1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60" w:hanging="512"/>
        <w:spacing w:after="0" w:line="246"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ind w:left="1040" w:right="28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2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20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20" w:hanging="519"/>
        <w:spacing w:after="0" w:line="246"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20" w:firstLine="526"/>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2020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46"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788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Charles L. Harrington</w:t>
      </w:r>
    </w:p>
    <w:p>
      <w:pPr>
        <w:ind w:left="7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80" w:firstLine="526"/>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2020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wp:posOffset>
            </wp:positionV>
            <wp:extent cx="3008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5"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00" w:firstLine="51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lowerLetter"/>
      <w:start w:val="4"/>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1."/>
      <w:numFmt w:val="decimal"/>
      <w:start w:val="9"/>
    </w:lvl>
  </w:abstractNum>
  <w:abstractNum w:abstractNumId="13">
    <w:nsid w:val="B03E0C6"/>
    <w:multiLevelType w:val="hybridMultilevel"/>
    <w:lvl w:ilvl="0">
      <w:lvlJc w:val="left"/>
      <w:lvlText w:val="%1."/>
      <w:numFmt w:val="decimal"/>
      <w:start w:val="10"/>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4"/>
    </w:lvl>
  </w:abstractNum>
  <w:abstractNum w:abstractNumId="18">
    <w:nsid w:val="836C40E"/>
    <w:multiLevelType w:val="hybridMultilevel"/>
    <w:lvl w:ilvl="0">
      <w:lvlJc w:val="left"/>
      <w:lvlText w:val="%1."/>
      <w:numFmt w:val="decimal"/>
      <w:start w:val="15"/>
    </w:lvl>
  </w:abstractNum>
  <w:abstractNum w:abstractNumId="19">
    <w:nsid w:val="2901D82"/>
    <w:multiLevelType w:val="hybridMultilevel"/>
    <w:lvl w:ilvl="0">
      <w:lvlJc w:val="left"/>
      <w:lvlText w:val="%1."/>
      <w:numFmt w:val="decimal"/>
      <w:start w:val="16"/>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7"/>
    </w:lvl>
  </w:abstractNum>
  <w:abstractNum w:abstractNumId="22">
    <w:nsid w:val="1E7FF521"/>
    <w:multiLevelType w:val="hybridMultilevel"/>
    <w:lvl w:ilvl="0">
      <w:lvlJc w:val="left"/>
      <w:lvlText w:val="%1."/>
      <w:numFmt w:val="decimal"/>
      <w:start w:val="18"/>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01"/>
    </w:lvl>
  </w:abstractNum>
  <w:abstractNum w:abstractNumId="32">
    <w:nsid w:val="440BADFC"/>
    <w:multiLevelType w:val="hybridMultilevel"/>
    <w:lvl w:ilvl="0">
      <w:lvlJc w:val="left"/>
      <w:lvlText w:val="%1"/>
      <w:numFmt w:val="decimal"/>
      <w:start w:val="10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2020-08-05T05:38:58Z</dcterms:created>
  <dcterms:modified xsi:type="dcterms:W3CDTF">2020-08-05T05:38:58Z</dcterms:modified>
</cp:coreProperties>
</file>