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sn-20230630.htm"/>
      <w:bookmarkStart w:id="1" w:name="kspsn20230630"/>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sans-serif" w:hAnsi="Arial;sans-serif"/>
          <w:b/>
          <w:sz w:val="36"/>
        </w:rPr>
      </w:pPr>
      <w:r>
        <w:rPr>
          <w:rFonts w:ascii="Arial;sans-serif" w:hAnsi="Arial;sans-serif"/>
          <w:b/>
          <w:sz w:val="36"/>
        </w:rPr>
        <w:t>UNITED STATES</w:t>
      </w:r>
    </w:p>
    <w:p>
      <w:pPr>
        <w:pStyle w:val="TextBody"/>
        <w:bidi w:val="0"/>
        <w:spacing w:before="0" w:after="0"/>
        <w:jc w:val="center"/>
        <w:rPr>
          <w:rFonts w:ascii="Arial;sans-serif" w:hAnsi="Arial;sans-serif"/>
          <w:b/>
          <w:sz w:val="36"/>
        </w:rPr>
      </w:pPr>
      <w:r>
        <w:rPr>
          <w:rFonts w:ascii="Arial;sans-serif" w:hAnsi="Arial;sans-serif"/>
          <w:b/>
          <w:sz w:val="36"/>
        </w:rPr>
        <w:t>SECURITIES AND EXCHANGE COMMISSION</w:t>
      </w:r>
    </w:p>
    <w:p>
      <w:pPr>
        <w:pStyle w:val="TextBody"/>
        <w:bidi w:val="0"/>
        <w:spacing w:before="0" w:after="0"/>
        <w:jc w:val="center"/>
        <w:rPr>
          <w:rFonts w:ascii="Arial;sans-serif" w:hAnsi="Arial;sans-serif"/>
          <w:b/>
          <w:sz w:val="24"/>
        </w:rPr>
      </w:pPr>
      <w:r>
        <w:rPr>
          <w:rFonts w:ascii="Arial;sans-serif" w:hAnsi="Arial;sans-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Arial;sans-serif" w:hAnsi="Arial;sans-serif"/>
          <w:b/>
          <w:sz w:val="36"/>
        </w:rPr>
      </w:pPr>
      <w:r>
        <w:rPr>
          <w:rFonts w:ascii="Arial;sans-serif" w:hAnsi="Arial;sans-serif"/>
          <w:b/>
          <w:sz w:val="36"/>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Arial;sans-serif" w:hAnsi="Arial;sans-serif"/>
          <w:b/>
          <w:sz w:val="20"/>
        </w:rPr>
      </w:pPr>
      <w:r>
        <w:rPr>
          <w:rFonts w:ascii="Arial;sans-serif" w:hAnsi="Arial;sans-serif"/>
          <w:b/>
          <w:sz w:val="20"/>
        </w:rPr>
        <w:t>(Mark One)</w:t>
      </w:r>
    </w:p>
    <w:p>
      <w:pPr>
        <w:pStyle w:val="TextBody"/>
        <w:bidi w:val="0"/>
        <w:spacing w:before="0" w:after="0"/>
        <w:jc w:val="center"/>
        <w:rPr/>
      </w:pPr>
      <w:r>
        <w:rPr/>
        <w:t xml:space="preserve">☒ </w:t>
      </w:r>
      <w:r>
        <w:rPr>
          <w:rFonts w:ascii="Arial;sans-serif" w:hAnsi="Arial;sans-serif"/>
          <w:b/>
          <w:sz w:val="18"/>
        </w:rPr>
        <w:t>QUARTERLY REPORT PURSUANT TO SECTION 13 OR 15(d) OF THE SECURITIES EXCHANGE ACT OF 1934</w:t>
      </w:r>
    </w:p>
    <w:p>
      <w:pPr>
        <w:pStyle w:val="TextBody"/>
        <w:bidi w:val="0"/>
        <w:spacing w:before="80" w:after="0"/>
        <w:jc w:val="center"/>
        <w:rPr>
          <w:rFonts w:ascii="Arial;sans-serif" w:hAnsi="Arial;sans-serif"/>
          <w:b/>
          <w:sz w:val="18"/>
        </w:rPr>
      </w:pPr>
      <w:r>
        <w:rPr>
          <w:rFonts w:ascii="Arial;sans-serif" w:hAnsi="Arial;sans-serif"/>
          <w:b/>
          <w:sz w:val="18"/>
        </w:rPr>
        <w:t>For the quarterly period ended June 30, 2023</w:t>
      </w:r>
    </w:p>
    <w:p>
      <w:pPr>
        <w:pStyle w:val="TextBody"/>
        <w:bidi w:val="0"/>
        <w:spacing w:before="80" w:after="0"/>
        <w:jc w:val="center"/>
        <w:rPr>
          <w:rFonts w:ascii="Arial;sans-serif" w:hAnsi="Arial;sans-serif"/>
          <w:b/>
          <w:sz w:val="18"/>
        </w:rPr>
      </w:pPr>
      <w:r>
        <w:rPr>
          <w:rFonts w:ascii="Arial;sans-serif" w:hAnsi="Arial;sans-serif"/>
          <w:b/>
          <w:sz w:val="18"/>
        </w:rPr>
        <w:t>OR</w:t>
      </w:r>
    </w:p>
    <w:p>
      <w:pPr>
        <w:pStyle w:val="TextBody"/>
        <w:bidi w:val="0"/>
        <w:spacing w:before="80" w:after="0"/>
        <w:jc w:val="center"/>
        <w:rPr/>
      </w:pPr>
      <w:r>
        <w:rPr/>
        <w:t xml:space="preserve">☐ </w:t>
      </w:r>
      <w:r>
        <w:rPr>
          <w:rFonts w:ascii="Arial;sans-serif" w:hAnsi="Arial;sans-serif"/>
          <w:b/>
          <w:sz w:val="18"/>
        </w:rPr>
        <w:t>TRANSITION REPORT PURSUANT TO SECTION 13 OR 15(d) OF THE SECURITIES EXCHANGE ACT OF 1934</w:t>
      </w:r>
    </w:p>
    <w:p>
      <w:pPr>
        <w:pStyle w:val="TextBody"/>
        <w:bidi w:val="0"/>
        <w:spacing w:before="80" w:after="0"/>
        <w:jc w:val="center"/>
        <w:rPr>
          <w:rFonts w:ascii="Times New Roman" w:hAnsi="Times New Roman"/>
          <w:sz w:val="20"/>
        </w:rPr>
      </w:pPr>
      <w:r>
        <w:rPr>
          <w:rFonts w:ascii="Arial;sans-serif" w:hAnsi="Arial;sans-serif"/>
          <w:b/>
          <w:sz w:val="20"/>
        </w:rPr>
        <w:t>For the transition period from to</w:t>
      </w:r>
      <w:r>
        <w:rPr>
          <w:rFonts w:ascii="Times New Roman" w:hAnsi="Times New Roman"/>
          <w:sz w:val="20"/>
        </w:rPr>
        <w:t xml:space="preserve"> </w:t>
      </w:r>
    </w:p>
    <w:p>
      <w:pPr>
        <w:pStyle w:val="TextBody"/>
        <w:bidi w:val="0"/>
        <w:spacing w:before="80" w:after="0"/>
        <w:jc w:val="center"/>
        <w:rPr>
          <w:rFonts w:ascii="Arial;sans-serif" w:hAnsi="Arial;sans-serif"/>
          <w:b/>
          <w:sz w:val="20"/>
        </w:rPr>
      </w:pPr>
      <w:r>
        <w:rPr>
          <w:rFonts w:ascii="Arial;sans-serif" w:hAnsi="Arial;sans-serif"/>
          <w:b/>
          <w:sz w:val="20"/>
        </w:rPr>
        <w:t>Commission File Number: 001-07782</w:t>
      </w:r>
    </w:p>
    <w:p>
      <w:pPr>
        <w:pStyle w:val="TextBody"/>
        <w:pBdr>
          <w:bottom w:val="single" w:sz="4" w:space="1" w:color="000000"/>
        </w:pBdr>
        <w:bidi w:val="0"/>
        <w:spacing w:before="0" w:after="0"/>
        <w:jc w:val="center"/>
        <w:rPr/>
      </w:pPr>
      <w:r>
        <w:rPr/>
        <w:t> </w:t>
      </w:r>
    </w:p>
    <w:p>
      <w:pPr>
        <w:pStyle w:val="TextBody"/>
        <w:bidi w:val="0"/>
        <w:spacing w:before="80" w:after="0"/>
        <w:jc w:val="center"/>
        <w:rPr/>
      </w:pPr>
      <w:r>
        <w:rPr/>
        <w:drawing>
          <wp:inline distT="0" distB="0" distL="0" distR="0">
            <wp:extent cx="26003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0325" cy="542925"/>
                    </a:xfrm>
                    <a:prstGeom prst="rect">
                      <a:avLst/>
                    </a:prstGeom>
                  </pic:spPr>
                </pic:pic>
              </a:graphicData>
            </a:graphic>
          </wp:inline>
        </w:drawing>
      </w:r>
      <w:r>
        <w:rPr/>
        <w:t> </w:t>
      </w:r>
    </w:p>
    <w:p>
      <w:pPr>
        <w:pStyle w:val="TextBody"/>
        <w:bidi w:val="0"/>
        <w:spacing w:before="80" w:after="0"/>
        <w:jc w:val="center"/>
        <w:rPr>
          <w:rFonts w:ascii="Arial;sans-serif" w:hAnsi="Arial;sans-serif"/>
          <w:b/>
          <w:sz w:val="48"/>
        </w:rPr>
      </w:pPr>
      <w:r>
        <w:rPr>
          <w:rFonts w:ascii="Arial;sans-serif" w:hAnsi="Arial;sans-serif"/>
          <w:b/>
          <w:sz w:val="48"/>
        </w:rPr>
        <w:t>Parsons Corporation</w:t>
      </w:r>
    </w:p>
    <w:p>
      <w:pPr>
        <w:pStyle w:val="TextBody"/>
        <w:bidi w:val="0"/>
        <w:spacing w:before="0" w:after="0"/>
        <w:jc w:val="center"/>
        <w:rPr>
          <w:rFonts w:ascii="Arial;sans-serif" w:hAnsi="Arial;sans-serif"/>
          <w:b/>
          <w:sz w:val="20"/>
        </w:rPr>
      </w:pPr>
      <w:r>
        <w:rPr>
          <w:rFonts w:ascii="Arial;sans-serif" w:hAnsi="Arial;sans-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Delaware</w:t>
            </w:r>
          </w:p>
        </w:tc>
        <w:tc>
          <w:tcPr>
            <w:tcW w:w="1576"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95-3232481</w:t>
            </w:r>
          </w:p>
        </w:tc>
      </w:tr>
      <w:tr>
        <w:trPr/>
        <w:tc>
          <w:tcPr>
            <w:tcW w:w="3226"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(State or other jurisdiction of</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incorporation or organization)</w:t>
            </w:r>
          </w:p>
        </w:tc>
        <w:tc>
          <w:tcPr>
            <w:tcW w:w="1576"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(I.R.S. Employer</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Identification No.)</w:t>
            </w:r>
          </w:p>
        </w:tc>
      </w:tr>
      <w:tr>
        <w:trPr/>
        <w:tc>
          <w:tcPr>
            <w:tcW w:w="32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5875 Trinity Parkway #300</w:t>
            </w:r>
          </w:p>
          <w:p>
            <w:pPr>
              <w:pStyle w:val="TableContents"/>
              <w:bidi w:val="0"/>
              <w:spacing w:before="0" w:after="0"/>
              <w:ind w:left="0" w:right="0" w:hanging="0"/>
              <w:jc w:val="center"/>
              <w:rPr>
                <w:rFonts w:ascii="Arial;sans-serif" w:hAnsi="Arial;sans-serif"/>
                <w:b/>
                <w:sz w:val="20"/>
              </w:rPr>
            </w:pPr>
            <w:r>
              <w:rPr>
                <w:rFonts w:ascii="Arial;sans-serif" w:hAnsi="Arial;sans-serif"/>
                <w:b/>
                <w:sz w:val="20"/>
              </w:rPr>
              <w:t>Centreville, Virginia</w:t>
            </w:r>
          </w:p>
        </w:tc>
        <w:tc>
          <w:tcPr>
            <w:tcW w:w="1576" w:type="dxa"/>
            <w:tcBorders/>
            <w:vAlign w:val="center"/>
          </w:tcPr>
          <w:p>
            <w:pPr>
              <w:pStyle w:val="TableContents"/>
              <w:bidi w:val="0"/>
              <w:spacing w:before="0" w:after="0"/>
              <w:ind w:left="0" w:right="0" w:hanging="0"/>
              <w:jc w:val="center"/>
              <w:rPr>
                <w:rFonts w:ascii="Arial;sans-serif" w:hAnsi="Arial;sans-serif"/>
                <w:b/>
                <w:sz w:val="20"/>
              </w:rPr>
            </w:pPr>
            <w:r>
              <w:rPr>
                <w:rFonts w:ascii="Arial;sans-serif" w:hAnsi="Arial;sans-serif"/>
                <w:b/>
                <w:sz w:val="20"/>
              </w:rPr>
              <w:t>20120</w:t>
            </w:r>
          </w:p>
        </w:tc>
      </w:tr>
      <w:tr>
        <w:trPr/>
        <w:tc>
          <w:tcPr>
            <w:tcW w:w="3226"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(Address of principal executive offices)</w:t>
            </w:r>
          </w:p>
        </w:tc>
        <w:tc>
          <w:tcPr>
            <w:tcW w:w="1576"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(Zip Code)</w:t>
            </w:r>
          </w:p>
        </w:tc>
      </w:tr>
    </w:tbl>
    <w:p>
      <w:pPr>
        <w:pStyle w:val="TextBody"/>
        <w:bidi w:val="0"/>
        <w:spacing w:before="80" w:after="0"/>
        <w:jc w:val="center"/>
        <w:rPr>
          <w:rFonts w:ascii="Arial;sans-serif" w:hAnsi="Arial;sans-serif"/>
          <w:b/>
          <w:sz w:val="20"/>
        </w:rPr>
      </w:pPr>
      <w:r>
        <w:rPr>
          <w:rFonts w:ascii="Arial;sans-serif" w:hAnsi="Arial;sans-serif"/>
          <w:b/>
          <w:sz w:val="20"/>
        </w:rPr>
        <w:t>Registrant’s telephone number, including area code: (703) 988-8500</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80" w:after="0"/>
        <w:jc w:val="left"/>
        <w:rPr>
          <w:rFonts w:ascii="Times New Roman" w:hAnsi="Times New Roman"/>
          <w:sz w:val="20"/>
        </w:rPr>
      </w:pPr>
      <w:r>
        <w:rPr>
          <w:rFonts w:ascii="Arial;sans-serif" w:hAnsi="Arial;sans-serif"/>
          <w:b w:val="false"/>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525" w:type="dxa"/>
        <w:jc w:val="left"/>
        <w:tblInd w:w="0" w:type="dxa"/>
        <w:tblLayout w:type="fixed"/>
        <w:tblCellMar>
          <w:top w:w="28" w:type="dxa"/>
          <w:left w:w="28" w:type="dxa"/>
          <w:bottom w:w="28" w:type="dxa"/>
          <w:right w:w="28" w:type="dxa"/>
        </w:tblCellMar>
      </w:tblPr>
      <w:tblGrid>
        <w:gridCol w:w="2656"/>
        <w:gridCol w:w="146"/>
        <w:gridCol w:w="916"/>
        <w:gridCol w:w="146"/>
        <w:gridCol w:w="366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Trading</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Name of each exchange on which registered</w:t>
            </w:r>
          </w:p>
        </w:tc>
      </w:tr>
      <w:tr>
        <w:trPr/>
        <w:tc>
          <w:tcPr>
            <w:tcW w:w="265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Common Stock, $1 par value</w:t>
            </w:r>
          </w:p>
        </w:tc>
        <w:tc>
          <w:tcPr>
            <w:tcW w:w="146" w:type="dxa"/>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40" w:after="0"/>
              <w:ind w:left="0" w:right="0" w:hanging="0"/>
              <w:jc w:val="center"/>
              <w:rPr>
                <w:rFonts w:ascii="Arial;sans-serif" w:hAnsi="Arial;sans-serif"/>
                <w:b w:val="false"/>
                <w:sz w:val="20"/>
              </w:rPr>
            </w:pPr>
            <w:r>
              <w:rPr>
                <w:rFonts w:ascii="Arial;sans-serif" w:hAnsi="Arial;sans-serif"/>
                <w:b w:val="false"/>
                <w:sz w:val="20"/>
              </w:rPr>
              <w:t>PSN</w:t>
            </w:r>
          </w:p>
        </w:tc>
        <w:tc>
          <w:tcPr>
            <w:tcW w:w="146" w:type="dxa"/>
            <w:tcBorders/>
            <w:vAlign w:val="center"/>
          </w:tcPr>
          <w:p>
            <w:pPr>
              <w:pStyle w:val="TableContents"/>
              <w:bidi w:val="0"/>
              <w:spacing w:before="0" w:after="0"/>
              <w:ind w:left="0" w:right="0" w:hanging="0"/>
              <w:jc w:val="center"/>
              <w:rPr/>
            </w:pPr>
            <w:r>
              <w:rPr/>
              <w:t> </w:t>
            </w:r>
          </w:p>
        </w:tc>
        <w:tc>
          <w:tcPr>
            <w:tcW w:w="366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New York Stock Exchange</w:t>
            </w:r>
          </w:p>
        </w:tc>
      </w:tr>
    </w:tbl>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Arial;sans-serif" w:hAnsi="Arial;sans-serif"/>
          <w:b w:val="false"/>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9"/>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Arial;sans-serif" w:hAnsi="Arial;sans-serif"/>
          <w:b w:val="false"/>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9"/>
        </w:rPr>
        <w:t xml:space="preserve">No </w:t>
      </w:r>
      <w:r>
        <w:rPr>
          <w:rFonts w:ascii="Times New Roman" w:hAnsi="Times New Roman"/>
          <w:sz w:val="20"/>
        </w:rPr>
        <w:t>☐</w:t>
      </w:r>
    </w:p>
    <w:p>
      <w:pPr>
        <w:pStyle w:val="TextBody"/>
        <w:bidi w:val="0"/>
        <w:spacing w:before="80" w:after="0"/>
        <w:jc w:val="left"/>
        <w:rPr>
          <w:rFonts w:ascii="Arial;sans-serif" w:hAnsi="Arial;sans-serif"/>
          <w:b w:val="false"/>
          <w:sz w:val="19"/>
        </w:rPr>
      </w:pPr>
      <w:r>
        <w:rPr>
          <w:rFonts w:ascii="Arial;sans-serif" w:hAnsi="Arial;sans-serif"/>
          <w:b w:val="false"/>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685" w:type="dxa"/>
        <w:jc w:val="left"/>
        <w:tblInd w:w="0" w:type="dxa"/>
        <w:tblLayout w:type="fixed"/>
        <w:tblCellMar>
          <w:top w:w="28" w:type="dxa"/>
          <w:left w:w="28" w:type="dxa"/>
          <w:bottom w:w="28" w:type="dxa"/>
          <w:right w:w="28" w:type="dxa"/>
        </w:tblCellMar>
      </w:tblPr>
      <w:tblGrid>
        <w:gridCol w:w="2431"/>
        <w:gridCol w:w="316"/>
        <w:gridCol w:w="14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80" w:after="0"/>
        <w:jc w:val="left"/>
        <w:rPr>
          <w:rFonts w:ascii="Times New Roman" w:hAnsi="Times New Roman"/>
          <w:sz w:val="20"/>
        </w:rPr>
      </w:pPr>
      <w:r>
        <w:rPr>
          <w:rFonts w:ascii="Arial;sans-serif" w:hAnsi="Arial;sans-serif"/>
          <w:b w:val="false"/>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Arial;sans-serif" w:hAnsi="Arial;sans-serif"/>
          <w:b w:val="false"/>
          <w:sz w:val="19"/>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19"/>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Arial;sans-serif" w:hAnsi="Arial;sans-serif"/>
          <w:b w:val="false"/>
          <w:sz w:val="19"/>
        </w:rPr>
        <w:t>As of July 19, 2023, the registrant had 104,885,334</w:t>
      </w:r>
      <w:r>
        <w:rPr>
          <w:rFonts w:ascii="Times New Roman" w:hAnsi="Times New Roman"/>
          <w:sz w:val="20"/>
        </w:rPr>
        <w:t xml:space="preserve"> </w:t>
      </w:r>
      <w:r>
        <w:rPr>
          <w:rFonts w:ascii="Arial;sans-serif" w:hAnsi="Arial;sans-serif"/>
          <w:b w:val="false"/>
          <w:sz w:val="19"/>
        </w:rPr>
        <w:t>shares of common stock, $1.00 par value per share, outstanding.</w:t>
      </w:r>
    </w:p>
    <w:p>
      <w:pPr>
        <w:pStyle w:val="TextBody"/>
        <w:pBdr>
          <w:bottom w:val="double" w:sz="6" w:space="1" w:color="000000"/>
        </w:pBdr>
        <w:bidi w:val="0"/>
        <w:spacing w:before="8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8"/>
        </w:rPr>
      </w:pPr>
      <w:r>
        <w:rPr>
          <w:rFonts w:ascii="Arial;sans-serif" w:hAnsi="Arial;sans-serif"/>
          <w:b/>
          <w:sz w:val="28"/>
        </w:rPr>
        <w:t>Table of Contents</w:t>
      </w:r>
    </w:p>
    <w:p>
      <w:pPr>
        <w:pStyle w:val="TextBody"/>
        <w:bidi w:val="0"/>
        <w:spacing w:before="0" w:after="0"/>
        <w:jc w:val="left"/>
        <w:rPr/>
      </w:pPr>
      <w:r>
        <w:rPr/>
        <w:t> </w:t>
      </w:r>
    </w:p>
    <w:tbl>
      <w:tblPr>
        <w:tblW w:w="9556" w:type="dxa"/>
        <w:jc w:val="left"/>
        <w:tblInd w:w="0" w:type="dxa"/>
        <w:tblLayout w:type="fixed"/>
        <w:tblCellMar>
          <w:top w:w="28" w:type="dxa"/>
          <w:left w:w="28" w:type="dxa"/>
          <w:bottom w:w="28" w:type="dxa"/>
          <w:right w:w="28" w:type="dxa"/>
        </w:tblCellMar>
      </w:tblPr>
      <w:tblGrid>
        <w:gridCol w:w="886"/>
        <w:gridCol w:w="7846"/>
        <w:gridCol w:w="283"/>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0"/>
              <w:ind w:left="0" w:right="0" w:firstLine="137"/>
              <w:jc w:val="left"/>
              <w:rPr/>
            </w:pPr>
            <w:r>
              <w:rPr/>
              <w:t> </w:t>
            </w:r>
          </w:p>
        </w:tc>
        <w:tc>
          <w:tcPr>
            <w:tcW w:w="541"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center"/>
              <w:rPr>
                <w:rFonts w:ascii="Arial;sans-serif" w:hAnsi="Arial;sans-serif"/>
                <w:b/>
                <w:sz w:val="16"/>
              </w:rPr>
            </w:pPr>
            <w:r>
              <w:rPr>
                <w:rFonts w:ascii="Arial;sans-serif" w:hAnsi="Arial;sans-serif"/>
                <w:b/>
                <w:sz w:val="16"/>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Arial;sans-serif" w:hAnsi="Arial;sans-serif"/>
                  <w:b w:val="false"/>
                  <w:sz w:val="20"/>
                  <w:u w:val="single"/>
                </w:rPr>
                <w:t>FINANCIAL INFORMATION</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Arial;sans-serif" w:hAnsi="Arial;sans-serif"/>
                  <w:b w:val="false"/>
                  <w:sz w:val="20"/>
                  <w:u w:val="single"/>
                </w:rPr>
                <w:t>Financial Statements (Unaudited)</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balance_sheets">
              <w:r>
                <w:rPr>
                  <w:rStyle w:val="InternetLink"/>
                  <w:rFonts w:ascii="Arial;sans-serif" w:hAnsi="Arial;sans-serif"/>
                  <w:b w:val="false"/>
                  <w:sz w:val="20"/>
                  <w:u w:val="single"/>
                </w:rPr>
                <w:t>Consolidated Balance Sheets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income">
              <w:r>
                <w:rPr>
                  <w:rStyle w:val="InternetLink"/>
                  <w:rFonts w:ascii="Arial;sans-serif" w:hAnsi="Arial;sans-serif"/>
                  <w:b w:val="false"/>
                  <w:sz w:val="20"/>
                  <w:u w:val="single"/>
                </w:rPr>
                <w:t>Consolidated Statements of Income</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comprehensive_in">
              <w:r>
                <w:rPr>
                  <w:rStyle w:val="InternetLink"/>
                  <w:rFonts w:ascii="Arial;sans-serif" w:hAnsi="Arial;sans-serif"/>
                  <w:b w:val="false"/>
                  <w:sz w:val="20"/>
                  <w:u w:val="single"/>
                </w:rPr>
                <w:t>Consolidated Statements of Comprehensive Income</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Arial;sans-serif" w:hAnsi="Arial;sans-serif"/>
                  <w:b w:val="false"/>
                  <w:sz w:val="20"/>
                  <w:u w:val="single"/>
                </w:rPr>
                <w:t>Consolidated Statements of Cash Flows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4</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shareholders_equ">
              <w:r>
                <w:rPr>
                  <w:rStyle w:val="InternetLink"/>
                  <w:rFonts w:ascii="Arial;sans-serif" w:hAnsi="Arial;sans-serif"/>
                  <w:b w:val="false"/>
                  <w:sz w:val="20"/>
                  <w:u w:val="single"/>
                </w:rPr>
                <w:t>Consolidated Statements of Shareholders’ Equity</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firstLine="137"/>
              <w:jc w:val="right"/>
              <w:rPr>
                <w:rFonts w:ascii="Arial;sans-serif" w:hAnsi="Arial;sans-serif"/>
                <w:b w:val="false"/>
                <w:sz w:val="20"/>
              </w:rPr>
            </w:pPr>
            <w:r>
              <w:rPr>
                <w:rFonts w:ascii="Arial;sans-serif" w:hAnsi="Arial;sans-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solidated_financial_statemen">
              <w:r>
                <w:rPr>
                  <w:rStyle w:val="InternetLink"/>
                  <w:rFonts w:ascii="Arial;sans-serif" w:hAnsi="Arial;sans-serif"/>
                  <w:b w:val="false"/>
                  <w:sz w:val="20"/>
                  <w:u w:val="single"/>
                </w:rPr>
                <w:t>Notes to Unaudited Consolidated Financial Statements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Arial;sans-serif" w:hAnsi="Arial;sans-serif"/>
                  <w:b w:val="false"/>
                  <w:sz w:val="20"/>
                  <w:u w:val="single"/>
                </w:rPr>
                <w:t>Management’s Discussion and Analysis of Financial Condition and Results of Operations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Arial;sans-serif" w:hAnsi="Arial;sans-serif"/>
                  <w:b w:val="false"/>
                  <w:sz w:val="20"/>
                  <w:u w:val="single"/>
                </w:rPr>
                <w:t>Quantitative and Qualitative Disclosures About Market Risk</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Arial;sans-serif" w:hAnsi="Arial;sans-serif"/>
                  <w:b w:val="false"/>
                  <w:sz w:val="20"/>
                  <w:u w:val="single"/>
                </w:rPr>
                <w:t>Controls and Procedures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PART II.</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Arial;sans-serif" w:hAnsi="Arial;sans-serif"/>
                  <w:b w:val="false"/>
                  <w:sz w:val="20"/>
                  <w:u w:val="single"/>
                </w:rPr>
                <w:t>OTHER INFORMATION</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Arial;sans-serif" w:hAnsi="Arial;sans-serif"/>
                  <w:b w:val="false"/>
                  <w:sz w:val="20"/>
                  <w:u w:val="single"/>
                </w:rPr>
                <w:t>Legal Proceedings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Arial;sans-serif" w:hAnsi="Arial;sans-serif"/>
                  <w:b w:val="false"/>
                  <w:sz w:val="20"/>
                  <w:u w:val="single"/>
                </w:rPr>
                <w:t>Unregistered Sales of Equity Securities and Use of Proceeds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Arial;sans-serif" w:hAnsi="Arial;sans-serif"/>
                  <w:b w:val="false"/>
                  <w:sz w:val="20"/>
                  <w:u w:val="single"/>
                </w:rPr>
                <w:t>Defaults Upon Senior Securities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Arial;sans-serif" w:hAnsi="Arial;sans-serif"/>
                  <w:b w:val="false"/>
                  <w:sz w:val="20"/>
                  <w:u w:val="single"/>
                </w:rPr>
                <w:t>Mine Safety Disclosures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5.</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Arial;sans-serif" w:hAnsi="Arial;sans-serif"/>
                  <w:b w:val="false"/>
                  <w:sz w:val="20"/>
                  <w:u w:val="single"/>
                </w:rPr>
                <w:t>Other Information</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Arial;sans-serif" w:hAnsi="Arial;sans-serif"/>
                  <w:b w:val="false"/>
                  <w:sz w:val="20"/>
                  <w:u w:val="single"/>
                </w:rPr>
                <w:t>Exhibits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84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28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c>
          <w:tcPr>
            <w:tcW w:w="541" w:type="dxa"/>
            <w:tcBorders/>
            <w:tcMar>
              <w:top w:w="0" w:type="dxa"/>
              <w:left w:w="0" w:type="dxa"/>
              <w:bottom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sz w:val="20"/>
        </w:rPr>
      </w:pPr>
      <w:bookmarkStart w:id="2" w:name="part_ifinancial_information"/>
      <w:bookmarkEnd w:id="2"/>
      <w:r>
        <w:rPr>
          <w:rFonts w:ascii="Arial;sans-serif" w:hAnsi="Arial;sans-serif"/>
          <w:b/>
          <w:sz w:val="20"/>
        </w:rPr>
        <w:t>PART I—FINANCIAL INFORMATION</w:t>
      </w:r>
    </w:p>
    <w:p>
      <w:pPr>
        <w:pStyle w:val="TextBody"/>
        <w:bidi w:val="0"/>
        <w:spacing w:before="120" w:after="0"/>
        <w:jc w:val="left"/>
        <w:rPr>
          <w:rFonts w:ascii="Arial;sans-serif" w:hAnsi="Arial;sans-serif"/>
          <w:b/>
          <w:sz w:val="20"/>
        </w:rPr>
      </w:pPr>
      <w:bookmarkStart w:id="3" w:name="item_1_financial_statements"/>
      <w:bookmarkEnd w:id="3"/>
      <w:r>
        <w:rPr>
          <w:rFonts w:ascii="Arial;sans-serif" w:hAnsi="Arial;sans-serif"/>
          <w:b/>
          <w:sz w:val="20"/>
        </w:rPr>
        <w:t>Item 1. Financial Statements.</w:t>
      </w:r>
    </w:p>
    <w:p>
      <w:pPr>
        <w:pStyle w:val="TextBody"/>
        <w:bidi w:val="0"/>
        <w:spacing w:before="360" w:after="0"/>
        <w:jc w:val="center"/>
        <w:rPr>
          <w:rFonts w:ascii="Arial;sans-serif" w:hAnsi="Arial;sans-serif"/>
          <w:b/>
          <w:sz w:val="20"/>
        </w:rPr>
      </w:pPr>
      <w:r>
        <w:rPr>
          <w:rFonts w:ascii="Arial;sans-serif" w:hAnsi="Arial;sans-serif"/>
          <w:b/>
          <w:sz w:val="20"/>
        </w:rPr>
        <w:t>PARSONS CORPORATION AND SUBSIDIARIES</w:t>
      </w:r>
    </w:p>
    <w:p>
      <w:pPr>
        <w:pStyle w:val="TextBody"/>
        <w:bidi w:val="0"/>
        <w:spacing w:before="0" w:after="0"/>
        <w:jc w:val="center"/>
        <w:rPr>
          <w:rFonts w:ascii="Arial;sans-serif" w:hAnsi="Arial;sans-serif"/>
          <w:b/>
          <w:sz w:val="20"/>
        </w:rPr>
      </w:pPr>
      <w:bookmarkStart w:id="4" w:name="consolidated_balance_sheets"/>
      <w:bookmarkEnd w:id="4"/>
      <w:r>
        <w:rPr>
          <w:rFonts w:ascii="Arial;sans-serif" w:hAnsi="Arial;sans-serif"/>
          <w:b/>
          <w:sz w:val="20"/>
        </w:rPr>
        <w:t>Consolidated Balance Sheets</w:t>
      </w:r>
    </w:p>
    <w:p>
      <w:pPr>
        <w:pStyle w:val="TextBody"/>
        <w:bidi w:val="0"/>
        <w:spacing w:before="0" w:after="0"/>
        <w:jc w:val="center"/>
        <w:rPr>
          <w:rFonts w:ascii="Arial;sans-serif" w:hAnsi="Arial;sans-serif"/>
          <w:b w:val="false"/>
          <w:i/>
          <w:sz w:val="20"/>
        </w:rPr>
      </w:pPr>
      <w:r>
        <w:rPr>
          <w:rFonts w:ascii="Arial;sans-serif" w:hAnsi="Arial;sans-serif"/>
          <w:b w:val="false"/>
          <w:i/>
          <w:sz w:val="20"/>
        </w:rPr>
        <w:t>(in thousands, except share information)</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61"/>
        <w:gridCol w:w="6878"/>
        <w:gridCol w:w="146"/>
        <w:gridCol w:w="206"/>
        <w:gridCol w:w="869"/>
        <w:gridCol w:w="166"/>
        <w:gridCol w:w="146"/>
        <w:gridCol w:w="234"/>
        <w:gridCol w:w="986"/>
        <w:gridCol w:w="213"/>
      </w:tblGrid>
      <w:tr>
        <w:trPr/>
        <w:tc>
          <w:tcPr>
            <w:tcW w:w="361" w:type="dxa"/>
            <w:tcBorders/>
            <w:vAlign w:val="center"/>
          </w:tcPr>
          <w:p>
            <w:pPr>
              <w:pStyle w:val="TableContents"/>
              <w:bidi w:val="0"/>
              <w:spacing w:before="0" w:after="283"/>
              <w:jc w:val="left"/>
              <w:rPr>
                <w:sz w:val="4"/>
                <w:szCs w:val="4"/>
              </w:rPr>
            </w:pPr>
            <w:r>
              <w:rPr>
                <w:sz w:val="4"/>
                <w:szCs w:val="4"/>
              </w:rPr>
            </w:r>
          </w:p>
        </w:tc>
        <w:tc>
          <w:tcPr>
            <w:tcW w:w="6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0"/>
              <w:ind w:left="0" w:right="0" w:hanging="0"/>
              <w:jc w:val="center"/>
              <w:rPr/>
            </w:pPr>
            <w:r>
              <w:rPr/>
              <w:t> </w:t>
            </w:r>
          </w:p>
        </w:tc>
        <w:tc>
          <w:tcPr>
            <w:tcW w:w="68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5"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20"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213" w:type="dxa"/>
            <w:tcBorders/>
            <w:vAlign w:val="center"/>
          </w:tcPr>
          <w:p>
            <w:pPr>
              <w:pStyle w:val="TableContents"/>
              <w:bidi w:val="0"/>
              <w:spacing w:before="0" w:after="0"/>
              <w:ind w:left="0" w:right="0" w:hanging="0"/>
              <w:jc w:val="center"/>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Calibri;sans-serif" w:hAnsi="Calibri;sans-serif"/>
                <w:b/>
                <w:sz w:val="20"/>
              </w:rPr>
            </w:pPr>
            <w:r>
              <w:rPr>
                <w:rFonts w:ascii="Calibri;sans-serif" w:hAnsi="Calibri;sans-serif"/>
                <w:b/>
                <w:sz w:val="20"/>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7239" w:type="dxa"/>
            <w:gridSpan w:val="2"/>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Assets</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7239" w:type="dxa"/>
            <w:gridSpan w:val="2"/>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Current assets:</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Cash and cash equivalents (including $83,101</w:t>
            </w:r>
            <w:r>
              <w:rPr>
                <w:rFonts w:ascii="Times New Roman" w:hAnsi="Times New Roman"/>
                <w:sz w:val="20"/>
              </w:rPr>
              <w:t> </w:t>
            </w:r>
            <w:r>
              <w:rPr>
                <w:rFonts w:ascii="Arial;sans-serif" w:hAnsi="Arial;sans-serif"/>
                <w:b w:val="false"/>
                <w:sz w:val="16"/>
              </w:rPr>
              <w:t>and $53,193</w:t>
            </w:r>
            <w:r>
              <w:rPr>
                <w:rFonts w:ascii="Times New Roman" w:hAnsi="Times New Roman"/>
                <w:sz w:val="20"/>
              </w:rPr>
              <w:t> </w:t>
            </w:r>
            <w:r>
              <w:rPr>
                <w:rFonts w:ascii="Arial;sans-serif" w:hAnsi="Arial;sans-serif"/>
                <w:b w:val="false"/>
                <w:sz w:val="16"/>
              </w:rPr>
              <w:t>Cash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178,589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262,539</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Accounts receivable, net (including $266,312</w:t>
            </w:r>
            <w:r>
              <w:rPr>
                <w:rFonts w:ascii="Times New Roman" w:hAnsi="Times New Roman"/>
                <w:sz w:val="20"/>
              </w:rPr>
              <w:t> </w:t>
            </w:r>
            <w:r>
              <w:rPr>
                <w:rFonts w:ascii="Arial;sans-serif" w:hAnsi="Arial;sans-serif"/>
                <w:b w:val="false"/>
                <w:sz w:val="16"/>
              </w:rPr>
              <w:t>and $217,419</w:t>
            </w:r>
            <w:r>
              <w:rPr>
                <w:rFonts w:ascii="Times New Roman" w:hAnsi="Times New Roman"/>
                <w:sz w:val="20"/>
              </w:rPr>
              <w:t> </w:t>
            </w:r>
            <w:r>
              <w:rPr>
                <w:rFonts w:ascii="Arial;sans-serif" w:hAnsi="Arial;sans-serif"/>
                <w:b w:val="false"/>
                <w:sz w:val="16"/>
              </w:rPr>
              <w:t>Accounts receivable of consolidated joint ventures, net)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949,493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717,345</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Contract assets (including $9,983</w:t>
            </w:r>
            <w:r>
              <w:rPr>
                <w:rFonts w:ascii="Times New Roman" w:hAnsi="Times New Roman"/>
                <w:sz w:val="20"/>
              </w:rPr>
              <w:t> </w:t>
            </w:r>
            <w:r>
              <w:rPr>
                <w:rFonts w:ascii="Arial;sans-serif" w:hAnsi="Arial;sans-serif"/>
                <w:b w:val="false"/>
                <w:sz w:val="16"/>
              </w:rPr>
              <w:t>and $11,313</w:t>
            </w:r>
            <w:r>
              <w:rPr>
                <w:rFonts w:ascii="Times New Roman" w:hAnsi="Times New Roman"/>
                <w:sz w:val="20"/>
              </w:rPr>
              <w:t> </w:t>
            </w:r>
            <w:r>
              <w:rPr>
                <w:rFonts w:ascii="Arial;sans-serif" w:hAnsi="Arial;sans-serif"/>
                <w:b w:val="false"/>
                <w:sz w:val="16"/>
              </w:rPr>
              <w:t>Contract assets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712,413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634,033</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Prepaid expenses and other current assets (including $15,546</w:t>
            </w:r>
            <w:r>
              <w:rPr>
                <w:rFonts w:ascii="Times New Roman" w:hAnsi="Times New Roman"/>
                <w:sz w:val="20"/>
              </w:rPr>
              <w:t> </w:t>
            </w:r>
            <w:r>
              <w:rPr>
                <w:rFonts w:ascii="Arial;sans-serif" w:hAnsi="Arial;sans-serif"/>
                <w:b w:val="false"/>
                <w:sz w:val="16"/>
              </w:rPr>
              <w:t>and $7,913</w:t>
            </w:r>
            <w:r>
              <w:rPr>
                <w:rFonts w:ascii="Times New Roman" w:hAnsi="Times New Roman"/>
                <w:sz w:val="20"/>
              </w:rPr>
              <w:t> </w:t>
            </w:r>
            <w:r>
              <w:rPr>
                <w:rFonts w:ascii="Arial;sans-serif" w:hAnsi="Arial;sans-serif"/>
                <w:b w:val="false"/>
                <w:sz w:val="16"/>
              </w:rPr>
              <w:t>Prepaid expenses and other current assets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139,713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105,866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878"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Total current assets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1,980,208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1,719,783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Property and equipment, net (including $3,345</w:t>
            </w:r>
            <w:r>
              <w:rPr>
                <w:rFonts w:ascii="Times New Roman" w:hAnsi="Times New Roman"/>
                <w:sz w:val="20"/>
              </w:rPr>
              <w:t> </w:t>
            </w:r>
            <w:r>
              <w:rPr>
                <w:rFonts w:ascii="Arial;sans-serif" w:hAnsi="Arial;sans-serif"/>
                <w:b w:val="false"/>
                <w:sz w:val="16"/>
              </w:rPr>
              <w:t>and $2,543</w:t>
            </w:r>
            <w:r>
              <w:rPr>
                <w:rFonts w:ascii="Times New Roman" w:hAnsi="Times New Roman"/>
                <w:sz w:val="20"/>
              </w:rPr>
              <w:t> </w:t>
            </w:r>
            <w:r>
              <w:rPr>
                <w:rFonts w:ascii="Arial;sans-serif" w:hAnsi="Arial;sans-serif"/>
                <w:b w:val="false"/>
                <w:sz w:val="16"/>
              </w:rPr>
              <w:t>Property and equipment of consolidated joint ventures, net)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95,266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96,050</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Right of use assets, operating leases (including $6,596</w:t>
            </w:r>
            <w:r>
              <w:rPr>
                <w:rFonts w:ascii="Times New Roman" w:hAnsi="Times New Roman"/>
                <w:sz w:val="20"/>
              </w:rPr>
              <w:t> </w:t>
            </w:r>
            <w:r>
              <w:rPr>
                <w:rFonts w:ascii="Arial;sans-serif" w:hAnsi="Arial;sans-serif"/>
                <w:b w:val="false"/>
                <w:sz w:val="16"/>
              </w:rPr>
              <w:t>and $6,315</w:t>
            </w:r>
            <w:r>
              <w:rPr>
                <w:rFonts w:ascii="Times New Roman" w:hAnsi="Times New Roman"/>
                <w:sz w:val="20"/>
              </w:rPr>
              <w:t> </w:t>
            </w:r>
            <w:r>
              <w:rPr>
                <w:rFonts w:ascii="Arial;sans-serif" w:hAnsi="Arial;sans-serif"/>
                <w:b w:val="false"/>
                <w:sz w:val="16"/>
              </w:rPr>
              <w:t>Right of use assets, operating leases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166,797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155,090</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Goodwill</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1,692,725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1,661,850</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Investments in and advances to unconsolidated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118,861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107,425</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Intangible assets, net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240,300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254,127</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Deferred tax assets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144,782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137,709</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 noncurrent assets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68,568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66,108</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878"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Total assets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4,507,507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4,198,142</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7239" w:type="dxa"/>
            <w:gridSpan w:val="2"/>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7239" w:type="dxa"/>
            <w:gridSpan w:val="2"/>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Current liabilities:</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Accounts payable (including $49,508</w:t>
            </w:r>
            <w:r>
              <w:rPr>
                <w:rFonts w:ascii="Times New Roman" w:hAnsi="Times New Roman"/>
                <w:sz w:val="20"/>
              </w:rPr>
              <w:t> </w:t>
            </w:r>
            <w:r>
              <w:rPr>
                <w:rFonts w:ascii="Arial;sans-serif" w:hAnsi="Arial;sans-serif"/>
                <w:b w:val="false"/>
                <w:sz w:val="16"/>
              </w:rPr>
              <w:t>and $49,078</w:t>
            </w:r>
            <w:r>
              <w:rPr>
                <w:rFonts w:ascii="Times New Roman" w:hAnsi="Times New Roman"/>
                <w:sz w:val="20"/>
              </w:rPr>
              <w:t> </w:t>
            </w:r>
            <w:r>
              <w:rPr>
                <w:rFonts w:ascii="Arial;sans-serif" w:hAnsi="Arial;sans-serif"/>
                <w:b w:val="false"/>
                <w:sz w:val="16"/>
              </w:rPr>
              <w:t>Accounts payable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237,229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201,428</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Accrued expenses and other current liabilities (including $144,256</w:t>
            </w:r>
            <w:r>
              <w:rPr>
                <w:rFonts w:ascii="Times New Roman" w:hAnsi="Times New Roman"/>
                <w:sz w:val="20"/>
              </w:rPr>
              <w:t> </w:t>
            </w:r>
            <w:r>
              <w:rPr>
                <w:rFonts w:ascii="Arial;sans-serif" w:hAnsi="Arial;sans-serif"/>
                <w:b w:val="false"/>
                <w:sz w:val="16"/>
              </w:rPr>
              <w:t>and $102,417</w:t>
            </w:r>
            <w:r>
              <w:rPr>
                <w:rFonts w:ascii="Times New Roman" w:hAnsi="Times New Roman"/>
                <w:sz w:val="20"/>
              </w:rPr>
              <w:t> </w:t>
            </w:r>
            <w:r>
              <w:rPr>
                <w:rFonts w:ascii="Arial;sans-serif" w:hAnsi="Arial;sans-serif"/>
                <w:b w:val="false"/>
                <w:sz w:val="16"/>
              </w:rPr>
              <w:t>Accrued expenses and other current liabilities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693,662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630,193</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Contract liabilities (including $45,552</w:t>
            </w:r>
            <w:r>
              <w:rPr>
                <w:rFonts w:ascii="Times New Roman" w:hAnsi="Times New Roman"/>
                <w:sz w:val="20"/>
              </w:rPr>
              <w:t> </w:t>
            </w:r>
            <w:r>
              <w:rPr>
                <w:rFonts w:ascii="Arial;sans-serif" w:hAnsi="Arial;sans-serif"/>
                <w:b w:val="false"/>
                <w:sz w:val="16"/>
              </w:rPr>
              <w:t>and $40,654</w:t>
            </w:r>
            <w:r>
              <w:rPr>
                <w:rFonts w:ascii="Times New Roman" w:hAnsi="Times New Roman"/>
                <w:sz w:val="20"/>
              </w:rPr>
              <w:t> </w:t>
            </w:r>
            <w:r>
              <w:rPr>
                <w:rFonts w:ascii="Arial;sans-serif" w:hAnsi="Arial;sans-serif"/>
                <w:b w:val="false"/>
                <w:sz w:val="16"/>
              </w:rPr>
              <w:t>Contract liabilities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292,404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213,064</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Short-term lease liabilities, operating leases (including $3,197</w:t>
            </w:r>
            <w:r>
              <w:rPr>
                <w:rFonts w:ascii="Times New Roman" w:hAnsi="Times New Roman"/>
                <w:sz w:val="20"/>
              </w:rPr>
              <w:t> </w:t>
            </w:r>
            <w:r>
              <w:rPr>
                <w:rFonts w:ascii="Arial;sans-serif" w:hAnsi="Arial;sans-serif"/>
                <w:b w:val="false"/>
                <w:sz w:val="16"/>
              </w:rPr>
              <w:t>and $2,552</w:t>
            </w:r>
            <w:r>
              <w:rPr>
                <w:rFonts w:ascii="Times New Roman" w:hAnsi="Times New Roman"/>
                <w:sz w:val="20"/>
              </w:rPr>
              <w:t> </w:t>
            </w:r>
            <w:r>
              <w:rPr>
                <w:rFonts w:ascii="Arial;sans-serif" w:hAnsi="Arial;sans-serif"/>
                <w:b w:val="false"/>
                <w:sz w:val="16"/>
              </w:rPr>
              <w:t>Short-term lease liabilities, operating leases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57,085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59,144</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Income taxes payable</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14,521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4,290</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878"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Total current liabilities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1,294,901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1,108,119</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878"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Long-term employee incentives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18,142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17,375</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Long-term debt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744,777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743,605</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Long-term lease liabilities, operating leases (including $3,399</w:t>
            </w:r>
            <w:r>
              <w:rPr>
                <w:rFonts w:ascii="Times New Roman" w:hAnsi="Times New Roman"/>
                <w:sz w:val="20"/>
              </w:rPr>
              <w:t> </w:t>
            </w:r>
            <w:r>
              <w:rPr>
                <w:rFonts w:ascii="Arial;sans-serif" w:hAnsi="Arial;sans-serif"/>
                <w:b w:val="false"/>
                <w:sz w:val="16"/>
              </w:rPr>
              <w:t>and $3,763</w:t>
            </w:r>
            <w:r>
              <w:rPr>
                <w:rFonts w:ascii="Times New Roman" w:hAnsi="Times New Roman"/>
                <w:sz w:val="20"/>
              </w:rPr>
              <w:t> </w:t>
            </w:r>
            <w:r>
              <w:rPr>
                <w:rFonts w:ascii="Arial;sans-serif" w:hAnsi="Arial;sans-serif"/>
                <w:b w:val="false"/>
                <w:sz w:val="16"/>
              </w:rPr>
              <w:t>Long-term lease liabilities, operating leases of consolidated joint ventures)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128,634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111,417</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Deferred tax liabilities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12,471</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110,263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109,220</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firstLine="200"/>
              <w:jc w:val="left"/>
              <w:rPr/>
            </w:pPr>
            <w:r>
              <w:rPr/>
              <w:t> </w:t>
            </w:r>
          </w:p>
        </w:tc>
        <w:tc>
          <w:tcPr>
            <w:tcW w:w="6878"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2,316,741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2,102,207</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39" w:type="dxa"/>
            <w:gridSpan w:val="2"/>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Contingencies (Note 12)</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7239" w:type="dxa"/>
            <w:gridSpan w:val="2"/>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Shareholders' equity:</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Common stock, $1</w:t>
            </w:r>
            <w:r>
              <w:rPr>
                <w:rFonts w:ascii="Times New Roman" w:hAnsi="Times New Roman"/>
                <w:sz w:val="20"/>
              </w:rPr>
              <w:t> </w:t>
            </w:r>
            <w:r>
              <w:rPr>
                <w:rFonts w:ascii="Arial;sans-serif" w:hAnsi="Arial;sans-serif"/>
                <w:b w:val="false"/>
                <w:sz w:val="16"/>
              </w:rPr>
              <w:t>par value; authorized 1,000,000,000</w:t>
            </w:r>
            <w:r>
              <w:rPr>
                <w:rFonts w:ascii="Times New Roman" w:hAnsi="Times New Roman"/>
                <w:sz w:val="20"/>
              </w:rPr>
              <w:t> </w:t>
            </w:r>
            <w:r>
              <w:rPr>
                <w:rFonts w:ascii="Arial;sans-serif" w:hAnsi="Arial;sans-serif"/>
                <w:b w:val="false"/>
                <w:sz w:val="16"/>
              </w:rPr>
              <w:t>shares; 146,311,866</w:t>
            </w:r>
            <w:r>
              <w:rPr>
                <w:rFonts w:ascii="Times New Roman" w:hAnsi="Times New Roman"/>
                <w:sz w:val="20"/>
              </w:rPr>
              <w:t> </w:t>
            </w:r>
            <w:r>
              <w:rPr>
                <w:rFonts w:ascii="Arial;sans-serif" w:hAnsi="Arial;sans-serif"/>
                <w:b w:val="false"/>
                <w:sz w:val="16"/>
              </w:rPr>
              <w:t>and 146,132,016</w:t>
            </w:r>
            <w:r>
              <w:rPr>
                <w:rFonts w:ascii="Times New Roman" w:hAnsi="Times New Roman"/>
                <w:sz w:val="20"/>
              </w:rPr>
              <w:t> </w:t>
            </w:r>
            <w:r>
              <w:rPr>
                <w:rFonts w:ascii="Arial;sans-serif" w:hAnsi="Arial;sans-serif"/>
                <w:b w:val="false"/>
                <w:sz w:val="16"/>
              </w:rPr>
              <w:t>shares issued; 43,665,289</w:t>
            </w:r>
            <w:r>
              <w:rPr>
                <w:rFonts w:ascii="Times New Roman" w:hAnsi="Times New Roman"/>
                <w:sz w:val="20"/>
              </w:rPr>
              <w:t> </w:t>
            </w:r>
            <w:r>
              <w:rPr>
                <w:rFonts w:ascii="Arial;sans-serif" w:hAnsi="Arial;sans-serif"/>
                <w:b w:val="false"/>
                <w:sz w:val="16"/>
              </w:rPr>
              <w:t>and 40,960,845</w:t>
            </w:r>
            <w:r>
              <w:rPr>
                <w:rFonts w:ascii="Times New Roman" w:hAnsi="Times New Roman"/>
                <w:sz w:val="20"/>
              </w:rPr>
              <w:t> </w:t>
            </w:r>
            <w:r>
              <w:rPr>
                <w:rFonts w:ascii="Arial;sans-serif" w:hAnsi="Arial;sans-serif"/>
                <w:b w:val="false"/>
                <w:sz w:val="16"/>
              </w:rPr>
              <w:t>public shares outstanding; 61,217,557</w:t>
            </w:r>
            <w:r>
              <w:rPr>
                <w:rFonts w:ascii="Times New Roman" w:hAnsi="Times New Roman"/>
                <w:sz w:val="20"/>
              </w:rPr>
              <w:t> </w:t>
            </w:r>
            <w:r>
              <w:rPr>
                <w:rFonts w:ascii="Arial;sans-serif" w:hAnsi="Arial;sans-serif"/>
                <w:b w:val="false"/>
                <w:sz w:val="16"/>
              </w:rPr>
              <w:t>and 63,742,151</w:t>
            </w:r>
            <w:r>
              <w:rPr>
                <w:rFonts w:ascii="Times New Roman" w:hAnsi="Times New Roman"/>
                <w:sz w:val="20"/>
              </w:rPr>
              <w:t> </w:t>
            </w:r>
            <w:r>
              <w:rPr>
                <w:rFonts w:ascii="Arial;sans-serif" w:hAnsi="Arial;sans-serif"/>
                <w:b w:val="false"/>
                <w:sz w:val="16"/>
              </w:rPr>
              <w:t>ESOP shares outstanding</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146,132</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16"/>
              </w:rPr>
              <w:t>Treasury stock, 41,429,020</w:t>
            </w:r>
            <w:r>
              <w:rPr>
                <w:rFonts w:ascii="Times New Roman" w:hAnsi="Times New Roman"/>
                <w:sz w:val="20"/>
              </w:rPr>
              <w:t> </w:t>
            </w:r>
            <w:r>
              <w:rPr>
                <w:rFonts w:ascii="Arial;sans-serif" w:hAnsi="Arial;sans-serif"/>
                <w:b w:val="false"/>
                <w:sz w:val="16"/>
              </w:rPr>
              <w:t>shares at cost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(844,936</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(844,936</w:t>
            </w:r>
          </w:p>
        </w:tc>
        <w:tc>
          <w:tcPr>
            <w:tcW w:w="21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Additional paid-in capital</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2,721,402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2,717,134</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Retained earnings</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111,513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43,089</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(14,860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(17,849</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 Parsons Corporation shareholders' equity</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2,119,431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2,043,570</w:t>
            </w:r>
          </w:p>
        </w:tc>
        <w:tc>
          <w:tcPr>
            <w:tcW w:w="213" w:type="dxa"/>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Noncontrolling interests</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71,335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52,365</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 shareholders' equity</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2,190,766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2,095,935</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pPr>
            <w:r>
              <w:rPr/>
              <w:t> </w:t>
            </w:r>
          </w:p>
        </w:tc>
        <w:tc>
          <w:tcPr>
            <w:tcW w:w="687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4,507,507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4,198,142</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The accompanying notes are an integral part of these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PARSONS CORPORATION AND SUBSIDIARIES</w:t>
      </w:r>
    </w:p>
    <w:p>
      <w:pPr>
        <w:pStyle w:val="TextBody"/>
        <w:bidi w:val="0"/>
        <w:spacing w:before="0" w:after="0"/>
        <w:jc w:val="center"/>
        <w:rPr>
          <w:rFonts w:ascii="Arial;sans-serif" w:hAnsi="Arial;sans-serif"/>
          <w:b/>
          <w:sz w:val="20"/>
        </w:rPr>
      </w:pPr>
      <w:bookmarkStart w:id="5" w:name="consolidated_statements_income"/>
      <w:bookmarkEnd w:id="5"/>
      <w:r>
        <w:rPr>
          <w:rFonts w:ascii="Arial;sans-serif" w:hAnsi="Arial;sans-serif"/>
          <w:b/>
          <w:sz w:val="20"/>
        </w:rPr>
        <w:t>Consolidated Statements of Income</w:t>
      </w:r>
    </w:p>
    <w:p>
      <w:pPr>
        <w:pStyle w:val="TextBody"/>
        <w:bidi w:val="0"/>
        <w:spacing w:before="0" w:after="0"/>
        <w:jc w:val="center"/>
        <w:rPr>
          <w:rFonts w:ascii="Arial;sans-serif" w:hAnsi="Arial;sans-serif"/>
          <w:b w:val="false"/>
          <w:i/>
          <w:sz w:val="20"/>
        </w:rPr>
      </w:pPr>
      <w:r>
        <w:rPr>
          <w:rFonts w:ascii="Arial;sans-serif" w:hAnsi="Arial;sans-serif"/>
          <w:b w:val="false"/>
          <w:i/>
          <w:sz w:val="20"/>
        </w:rPr>
        <w:t>(In thousands, except per share information)</w:t>
      </w:r>
    </w:p>
    <w:p>
      <w:pPr>
        <w:pStyle w:val="TextBody"/>
        <w:bidi w:val="0"/>
        <w:spacing w:before="0" w:after="0"/>
        <w:jc w:val="center"/>
        <w:rPr>
          <w:rFonts w:ascii="Arial;sans-serif" w:hAnsi="Arial;sans-serif"/>
          <w:b w:val="false"/>
          <w:sz w:val="20"/>
        </w:rPr>
      </w:pPr>
      <w:r>
        <w:rPr>
          <w:rFonts w:ascii="Arial;sans-serif" w:hAnsi="Arial;sans-serif"/>
          <w:b w:val="false"/>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964"/>
        <w:gridCol w:w="146"/>
        <w:gridCol w:w="211"/>
        <w:gridCol w:w="961"/>
        <w:gridCol w:w="166"/>
        <w:gridCol w:w="146"/>
        <w:gridCol w:w="211"/>
        <w:gridCol w:w="961"/>
        <w:gridCol w:w="166"/>
        <w:gridCol w:w="146"/>
        <w:gridCol w:w="211"/>
        <w:gridCol w:w="961"/>
        <w:gridCol w:w="166"/>
        <w:gridCol w:w="146"/>
        <w:gridCol w:w="211"/>
        <w:gridCol w:w="961"/>
        <w:gridCol w:w="471"/>
      </w:tblGrid>
      <w:tr>
        <w:trPr/>
        <w:tc>
          <w:tcPr>
            <w:tcW w:w="3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 the 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 the Six Months Ended</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1,356,486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1,008,721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2,529,952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1,957,790</w:t>
            </w:r>
          </w:p>
        </w:tc>
        <w:tc>
          <w:tcPr>
            <w:tcW w:w="471" w:type="dxa"/>
            <w:tcBorders/>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 cost of contracts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1,068,220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781,772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1,985,408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1,515,672</w:t>
            </w:r>
          </w:p>
        </w:tc>
        <w:tc>
          <w:tcPr>
            <w:tcW w:w="471" w:type="dxa"/>
            <w:tcBorders/>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 in (losses) earnings of unconsolidated joint ventures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(5,765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11,211</w:t>
            </w:r>
          </w:p>
        </w:tc>
        <w:tc>
          <w:tcPr>
            <w:tcW w:w="471" w:type="dxa"/>
            <w:tcBorders/>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211,897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199,932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411,205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385,009</w:t>
            </w:r>
          </w:p>
        </w:tc>
        <w:tc>
          <w:tcPr>
            <w:tcW w:w="471" w:type="dxa"/>
            <w:tcBorders/>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76,444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32,630</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127,574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68,320</w:t>
            </w:r>
          </w:p>
        </w:tc>
        <w:tc>
          <w:tcPr>
            <w:tcW w:w="47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w:t>
            </w:r>
          </w:p>
        </w:tc>
        <w:tc>
          <w:tcPr>
            <w:tcW w:w="471" w:type="dxa"/>
            <w:tcBorders/>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(7,299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(4,525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(13,757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(8,463</w:t>
            </w:r>
          </w:p>
        </w:tc>
        <w:tc>
          <w:tcPr>
            <w:tcW w:w="4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(7,846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before 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28,512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116,773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60,474</w:t>
            </w:r>
          </w:p>
        </w:tc>
        <w:tc>
          <w:tcPr>
            <w:tcW w:w="471" w:type="dxa"/>
            <w:tcBorders/>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(13,851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including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54,771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22,780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46,623</w:t>
            </w:r>
          </w:p>
        </w:tc>
        <w:tc>
          <w:tcPr>
            <w:tcW w:w="471" w:type="dxa"/>
            <w:tcBorders/>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(7,661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43,241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18,295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68,794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38,962</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6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Earnings per share:</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96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0.38</w:t>
            </w:r>
          </w:p>
        </w:tc>
        <w:tc>
          <w:tcPr>
            <w:tcW w:w="471" w:type="dxa"/>
            <w:tcBorders/>
            <w:vAlign w:val="center"/>
          </w:tcPr>
          <w:p>
            <w:pPr>
              <w:pStyle w:val="TableContents"/>
              <w:bidi w:val="0"/>
              <w:spacing w:before="0" w:after="0"/>
              <w:ind w:left="0" w:right="0" w:firstLine="280"/>
              <w:jc w:val="left"/>
              <w:rPr/>
            </w:pPr>
            <w:r>
              <w:rPr/>
              <w:t> </w:t>
            </w:r>
          </w:p>
        </w:tc>
      </w:tr>
      <w:tr>
        <w:trPr/>
        <w:tc>
          <w:tcPr>
            <w:tcW w:w="396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0.35</w:t>
            </w:r>
          </w:p>
        </w:tc>
        <w:tc>
          <w:tcPr>
            <w:tcW w:w="4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The accompanying notes are an integral part of these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6" w:name="comprehensive_income"/>
      <w:bookmarkEnd w:id="6"/>
      <w:r>
        <w:rPr>
          <w:rFonts w:ascii="Arial;sans-serif" w:hAnsi="Arial;sans-serif"/>
          <w:b/>
          <w:sz w:val="20"/>
        </w:rPr>
        <w:t>PARSONS CORPORATION AND SUBSIDIARIES</w:t>
      </w:r>
    </w:p>
    <w:p>
      <w:pPr>
        <w:pStyle w:val="TextBody"/>
        <w:bidi w:val="0"/>
        <w:spacing w:before="0" w:after="0"/>
        <w:jc w:val="center"/>
        <w:rPr>
          <w:rFonts w:ascii="Arial;sans-serif" w:hAnsi="Arial;sans-serif"/>
          <w:b/>
          <w:sz w:val="20"/>
        </w:rPr>
      </w:pPr>
      <w:bookmarkStart w:id="7" w:name="consolidated_statements_comprehensive_in"/>
      <w:bookmarkEnd w:id="7"/>
      <w:r>
        <w:rPr>
          <w:rFonts w:ascii="Arial;sans-serif" w:hAnsi="Arial;sans-serif"/>
          <w:b/>
          <w:sz w:val="20"/>
        </w:rPr>
        <w:t>Consolidated Statements of Comprehensive Income</w:t>
      </w:r>
    </w:p>
    <w:p>
      <w:pPr>
        <w:pStyle w:val="TextBody"/>
        <w:bidi w:val="0"/>
        <w:spacing w:before="0" w:after="0"/>
        <w:jc w:val="center"/>
        <w:rPr>
          <w:rFonts w:ascii="Arial;sans-serif" w:hAnsi="Arial;sans-serif"/>
          <w:b w:val="false"/>
          <w:i/>
          <w:sz w:val="20"/>
        </w:rPr>
      </w:pPr>
      <w:r>
        <w:rPr>
          <w:rFonts w:ascii="Arial;sans-serif" w:hAnsi="Arial;sans-serif"/>
          <w:b w:val="false"/>
          <w:i/>
          <w:sz w:val="20"/>
        </w:rPr>
        <w:t>(In thousands)</w:t>
      </w:r>
    </w:p>
    <w:p>
      <w:pPr>
        <w:pStyle w:val="TextBody"/>
        <w:bidi w:val="0"/>
        <w:spacing w:before="0" w:after="0"/>
        <w:jc w:val="center"/>
        <w:rPr>
          <w:rFonts w:ascii="Arial;sans-serif" w:hAnsi="Arial;sans-serif"/>
          <w:b w:val="false"/>
          <w:sz w:val="20"/>
        </w:rPr>
      </w:pPr>
      <w:r>
        <w:rPr>
          <w:rFonts w:ascii="Arial;sans-serif" w:hAnsi="Arial;sans-serif"/>
          <w:b w:val="false"/>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03"/>
        <w:gridCol w:w="146"/>
        <w:gridCol w:w="234"/>
        <w:gridCol w:w="837"/>
        <w:gridCol w:w="173"/>
        <w:gridCol w:w="152"/>
        <w:gridCol w:w="243"/>
        <w:gridCol w:w="800"/>
        <w:gridCol w:w="166"/>
        <w:gridCol w:w="146"/>
        <w:gridCol w:w="234"/>
        <w:gridCol w:w="837"/>
        <w:gridCol w:w="166"/>
        <w:gridCol w:w="146"/>
        <w:gridCol w:w="243"/>
        <w:gridCol w:w="800"/>
        <w:gridCol w:w="779"/>
      </w:tblGrid>
      <w:tr>
        <w:trPr/>
        <w:tc>
          <w:tcPr>
            <w:tcW w:w="4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41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3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 the 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 the Six Months Ended</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0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including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54,771</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22,780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46,623</w:t>
            </w:r>
          </w:p>
        </w:tc>
        <w:tc>
          <w:tcPr>
            <w:tcW w:w="779" w:type="dxa"/>
            <w:tcBorders/>
            <w:vAlign w:val="center"/>
          </w:tcPr>
          <w:p>
            <w:pPr>
              <w:pStyle w:val="TableContents"/>
              <w:bidi w:val="0"/>
              <w:spacing w:before="0" w:after="0"/>
              <w:ind w:left="0" w:right="0" w:hanging="0"/>
              <w:jc w:val="left"/>
              <w:rPr/>
            </w:pPr>
            <w:r>
              <w:rPr/>
              <w:t> </w:t>
            </w:r>
          </w:p>
        </w:tc>
      </w:tr>
      <w:tr>
        <w:trPr/>
        <w:tc>
          <w:tcPr>
            <w:tcW w:w="410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comprehensive income, net of tax</w:t>
            </w:r>
          </w:p>
        </w:tc>
        <w:tc>
          <w:tcPr>
            <w:tcW w:w="146" w:type="dxa"/>
            <w:tcBorders/>
            <w:vAlign w:val="center"/>
          </w:tcPr>
          <w:p>
            <w:pPr>
              <w:pStyle w:val="TableContents"/>
              <w:bidi w:val="0"/>
              <w:spacing w:before="0" w:after="0"/>
              <w:ind w:left="0" w:right="0" w:hanging="0"/>
              <w:jc w:val="left"/>
              <w:rPr/>
            </w:pPr>
            <w:r>
              <w:rPr/>
              <w:t> </w:t>
            </w:r>
          </w:p>
        </w:tc>
        <w:tc>
          <w:tcPr>
            <w:tcW w:w="107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779" w:type="dxa"/>
            <w:tcBorders/>
            <w:vAlign w:val="center"/>
          </w:tcPr>
          <w:p>
            <w:pPr>
              <w:pStyle w:val="TableContents"/>
              <w:bidi w:val="0"/>
              <w:spacing w:before="0" w:after="0"/>
              <w:ind w:left="0" w:right="0" w:firstLine="280"/>
              <w:jc w:val="right"/>
              <w:rPr/>
            </w:pPr>
            <w:r>
              <w:rPr/>
              <w:t> </w:t>
            </w:r>
          </w:p>
        </w:tc>
      </w:tr>
      <w:tr>
        <w:trPr/>
        <w:tc>
          <w:tcPr>
            <w:tcW w:w="410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Foreign currency translation adjustment, net of tax</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3,152</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(5,383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(2,509</w:t>
            </w:r>
          </w:p>
        </w:tc>
        <w:tc>
          <w:tcPr>
            <w:tcW w:w="779"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03"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Pension adjustments, net of tax</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4103"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Comprehensive income including noncontrolling interests, net of tax</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57,939</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44,089</w:t>
            </w:r>
          </w:p>
        </w:tc>
        <w:tc>
          <w:tcPr>
            <w:tcW w:w="779" w:type="dxa"/>
            <w:tcBorders/>
            <w:vAlign w:val="center"/>
          </w:tcPr>
          <w:p>
            <w:pPr>
              <w:pStyle w:val="TableContents"/>
              <w:bidi w:val="0"/>
              <w:spacing w:before="0" w:after="0"/>
              <w:ind w:left="0" w:right="0" w:hanging="0"/>
              <w:jc w:val="left"/>
              <w:rPr/>
            </w:pPr>
            <w:r>
              <w:rPr/>
              <w:t> </w:t>
            </w:r>
          </w:p>
        </w:tc>
      </w:tr>
      <w:tr>
        <w:trPr/>
        <w:tc>
          <w:tcPr>
            <w:tcW w:w="410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income attributable to noncontrolling interests, net of tax</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(11,533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2"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(7,659</w:t>
            </w:r>
          </w:p>
        </w:tc>
        <w:tc>
          <w:tcPr>
            <w:tcW w:w="7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Comprehensive income attributable to Parsons Corporation, net of tax</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46,406</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71,783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36,430</w:t>
            </w:r>
          </w:p>
        </w:tc>
        <w:tc>
          <w:tcPr>
            <w:tcW w:w="7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The accompanying notes are an integral part of these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8" w:name="cash_flow"/>
      <w:bookmarkEnd w:id="8"/>
      <w:r>
        <w:rPr>
          <w:rFonts w:ascii="Arial;sans-serif" w:hAnsi="Arial;sans-serif"/>
          <w:b/>
          <w:sz w:val="20"/>
        </w:rPr>
        <w:t>PARSONS CORPORATION AND SUBSIDIARIES</w:t>
      </w:r>
    </w:p>
    <w:p>
      <w:pPr>
        <w:pStyle w:val="TextBody"/>
        <w:bidi w:val="0"/>
        <w:spacing w:before="0" w:after="0"/>
        <w:jc w:val="center"/>
        <w:rPr>
          <w:rFonts w:ascii="Arial;sans-serif" w:hAnsi="Arial;sans-serif"/>
          <w:b/>
          <w:sz w:val="20"/>
        </w:rPr>
      </w:pPr>
      <w:bookmarkStart w:id="9" w:name="condensed_consolidated_statements_cash_f"/>
      <w:bookmarkEnd w:id="9"/>
      <w:r>
        <w:rPr>
          <w:rFonts w:ascii="Arial;sans-serif" w:hAnsi="Arial;sans-serif"/>
          <w:b/>
          <w:sz w:val="20"/>
        </w:rPr>
        <w:t>Consolidated Statements of Cash Flows</w:t>
      </w:r>
    </w:p>
    <w:p>
      <w:pPr>
        <w:pStyle w:val="TextBody"/>
        <w:bidi w:val="0"/>
        <w:spacing w:before="0" w:after="0"/>
        <w:jc w:val="center"/>
        <w:rPr>
          <w:rFonts w:ascii="Times New Roman" w:hAnsi="Times New Roman"/>
          <w:sz w:val="20"/>
        </w:rPr>
      </w:pPr>
      <w:r>
        <w:rPr>
          <w:rFonts w:ascii="Arial;sans-serif" w:hAnsi="Arial;sans-serif"/>
          <w:b w:val="false"/>
          <w:i/>
          <w:sz w:val="20"/>
        </w:rPr>
        <w:t xml:space="preserve">(In thousands) </w:t>
      </w:r>
      <w:r>
        <w:rPr>
          <w:rFonts w:ascii="Arial;sans-serif" w:hAnsi="Arial;sans-serif"/>
          <w:b w:val="false"/>
          <w:sz w:val="20"/>
        </w:rPr>
        <w:t>(Unaudited)</w:t>
      </w:r>
    </w:p>
    <w:p>
      <w:pPr>
        <w:pStyle w:val="TextBody"/>
        <w:bidi w:val="0"/>
        <w:spacing w:before="0" w:after="0"/>
        <w:jc w:val="left"/>
        <w:rPr/>
      </w:pPr>
      <w:r>
        <w:rPr/>
        <w:t> </w:t>
      </w:r>
    </w:p>
    <w:tbl>
      <w:tblPr>
        <w:tblW w:w="9556" w:type="dxa"/>
        <w:jc w:val="left"/>
        <w:tblInd w:w="0" w:type="dxa"/>
        <w:tblLayout w:type="fixed"/>
        <w:tblCellMar>
          <w:top w:w="28" w:type="dxa"/>
          <w:left w:w="28" w:type="dxa"/>
          <w:bottom w:w="28" w:type="dxa"/>
          <w:right w:w="28" w:type="dxa"/>
        </w:tblCellMar>
      </w:tblPr>
      <w:tblGrid>
        <w:gridCol w:w="261"/>
        <w:gridCol w:w="6286"/>
        <w:gridCol w:w="146"/>
        <w:gridCol w:w="234"/>
        <w:gridCol w:w="936"/>
        <w:gridCol w:w="166"/>
        <w:gridCol w:w="146"/>
        <w:gridCol w:w="234"/>
        <w:gridCol w:w="936"/>
        <w:gridCol w:w="211"/>
      </w:tblGrid>
      <w:tr>
        <w:trPr/>
        <w:tc>
          <w:tcPr>
            <w:tcW w:w="261"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 the Six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 w:type="dxa"/>
            <w:tcBorders/>
            <w:vAlign w:val="center"/>
          </w:tcPr>
          <w:p>
            <w:pPr>
              <w:pStyle w:val="TableContents"/>
              <w:bidi w:val="0"/>
              <w:spacing w:before="0" w:after="0"/>
              <w:ind w:left="0" w:right="0" w:hanging="0"/>
              <w:jc w:val="center"/>
              <w:rPr/>
            </w:pPr>
            <w:r>
              <w:rPr/>
              <w:t> </w:t>
            </w:r>
          </w:p>
        </w:tc>
        <w:tc>
          <w:tcPr>
            <w:tcW w:w="6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47" w:type="dxa"/>
            <w:gridSpan w:val="2"/>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income including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46,623</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Adjustments to reconcile net income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57,048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61,090</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Amortization of debt issue costs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1,302</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Loss (gain) on disposal of property and equipment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(96</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Provision for doubtful accounts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Deferred taxes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(5,220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(2,149</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Foreign currency transaction gains and losses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1,461</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Equity in losses (earnings) of unconsolidated joint ventures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5,765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(11,211</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Return on investments in unconsolidated joint ventures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9,313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19,434</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15,978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8,358</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Contributions of treasury stock</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29,167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26,544</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Changes in assets and liabilities, net of acquisitions and newly consolidated</w:t>
              <w:br/>
              <w:t>   joint ventures: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Accounts receivable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(227,756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(109,681</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Contract assets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(78,254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(17,866</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(40,899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(3,521</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35,043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(8,079</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33,336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(7,314</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Contract liabilities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76,522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13,360</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Income taxes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10,309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3,107</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firstLine="100"/>
              <w:jc w:val="left"/>
              <w:rPr/>
            </w:pPr>
            <w:r>
              <w:rPr/>
              <w:t> </w:t>
            </w:r>
          </w:p>
        </w:tc>
        <w:tc>
          <w:tcPr>
            <w:tcW w:w="6286" w:type="dxa"/>
            <w:tcBorders/>
            <w:vAlign w:val="center"/>
          </w:tcPr>
          <w:p>
            <w:pPr>
              <w:pStyle w:val="TableContents"/>
              <w:bidi w:val="0"/>
              <w:spacing w:before="0" w:after="0"/>
              <w:ind w:left="100" w:right="0" w:hanging="0"/>
              <w:jc w:val="left"/>
              <w:rPr>
                <w:rFonts w:ascii="Arial;sans-serif" w:hAnsi="Arial;sans-serif"/>
                <w:b w:val="false"/>
                <w:sz w:val="18"/>
              </w:rPr>
            </w:pPr>
            <w:r>
              <w:rPr>
                <w:rFonts w:ascii="Arial;sans-serif" w:hAnsi="Arial;sans-serif"/>
                <w:b w:val="false"/>
                <w:sz w:val="18"/>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25,336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47" w:type="dxa"/>
            <w:gridSpan w:val="2"/>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Capital expenditures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(17,956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(13,588</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Proceeds from sale of property and equipment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251</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Payments for acquisitions, net of cash acquired</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(42,273</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(379,272</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Investments in unconsolidated joint ventures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(24,507</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(11,228</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Return of investments in unconsolidated joint ventures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Proceeds from sales of investments in unconsolidated joint ventures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(84,218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(403,837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547" w:type="dxa"/>
            <w:gridSpan w:val="2"/>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Proceeds from borrowings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187,400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347,100</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Repayments of borrowings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(187,400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(147,100</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Payments for acquired warrants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(11,243</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Contributions by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2,827</w:t>
            </w:r>
          </w:p>
        </w:tc>
        <w:tc>
          <w:tcPr>
            <w:tcW w:w="211" w:type="dxa"/>
            <w:tcBorders/>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Distributions to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(2,487</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(10,344</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(8,000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(15,548</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Taxes paid on vested stock</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(6,838</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(5,963</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Proceeds from issuance of common stock</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2,724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(14,185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162,453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Effect of exchange rate changes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(963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(83,950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(217,011</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1" w:type="dxa"/>
            <w:tcBorders/>
            <w:vAlign w:val="center"/>
          </w:tcPr>
          <w:p>
            <w:pPr>
              <w:pStyle w:val="TableContents"/>
              <w:bidi w:val="0"/>
              <w:spacing w:before="0" w:after="283"/>
              <w:ind w:left="0" w:right="0" w:hanging="0"/>
              <w:jc w:val="left"/>
              <w:rPr>
                <w:sz w:val="4"/>
                <w:szCs w:val="4"/>
              </w:rPr>
            </w:pPr>
            <w:r>
              <w:rPr>
                <w:sz w:val="4"/>
                <w:szCs w:val="4"/>
              </w:rPr>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Beginning of year</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262,539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343,883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 w:type="dxa"/>
            <w:tcBorders/>
            <w:vAlign w:val="center"/>
          </w:tcPr>
          <w:p>
            <w:pPr>
              <w:pStyle w:val="TableContents"/>
              <w:bidi w:val="0"/>
              <w:spacing w:before="0" w:after="0"/>
              <w:ind w:left="0" w:right="0" w:hanging="0"/>
              <w:jc w:val="left"/>
              <w:rPr/>
            </w:pPr>
            <w:r>
              <w:rPr/>
              <w:t> </w:t>
            </w:r>
          </w:p>
        </w:tc>
        <w:tc>
          <w:tcPr>
            <w:tcW w:w="62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End of period</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178,589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126,872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The accompanying notes are an integral part of these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PARSONS CORPORATION AND SUBSIDIARIES</w:t>
      </w:r>
    </w:p>
    <w:p>
      <w:pPr>
        <w:pStyle w:val="TextBody"/>
        <w:bidi w:val="0"/>
        <w:spacing w:before="0" w:after="0"/>
        <w:jc w:val="center"/>
        <w:rPr>
          <w:rFonts w:ascii="Arial;sans-serif" w:hAnsi="Arial;sans-serif"/>
          <w:b/>
          <w:sz w:val="20"/>
        </w:rPr>
      </w:pPr>
      <w:bookmarkStart w:id="10" w:name="consolidated_statements_shareholders_equ"/>
      <w:bookmarkEnd w:id="10"/>
      <w:r>
        <w:rPr>
          <w:rFonts w:ascii="Arial;sans-serif" w:hAnsi="Arial;sans-serif"/>
          <w:b/>
          <w:sz w:val="20"/>
        </w:rPr>
        <w:t>Consolidated Statements of Shareholders’ Equity</w:t>
      </w:r>
    </w:p>
    <w:p>
      <w:pPr>
        <w:pStyle w:val="TextBody"/>
        <w:bidi w:val="0"/>
        <w:spacing w:before="0" w:after="0"/>
        <w:jc w:val="center"/>
        <w:rPr>
          <w:rFonts w:ascii="Arial;sans-serif" w:hAnsi="Arial;sans-serif"/>
          <w:b/>
          <w:sz w:val="20"/>
        </w:rPr>
      </w:pPr>
      <w:r>
        <w:rPr>
          <w:rFonts w:ascii="Arial;sans-serif" w:hAnsi="Arial;sans-serif"/>
          <w:b/>
          <w:sz w:val="20"/>
        </w:rPr>
        <w:t>For the Three Months Ended June 30, 2023 and June 30, 2022</w:t>
      </w:r>
    </w:p>
    <w:p>
      <w:pPr>
        <w:pStyle w:val="TextBody"/>
        <w:bidi w:val="0"/>
        <w:spacing w:before="0" w:after="0"/>
        <w:jc w:val="center"/>
        <w:rPr>
          <w:rFonts w:ascii="Arial;sans-serif" w:hAnsi="Arial;sans-serif"/>
          <w:b w:val="false"/>
          <w:i/>
          <w:sz w:val="20"/>
        </w:rPr>
      </w:pPr>
      <w:r>
        <w:rPr>
          <w:rFonts w:ascii="Arial;sans-serif" w:hAnsi="Arial;sans-serif"/>
          <w:b w:val="false"/>
          <w:i/>
          <w:sz w:val="20"/>
        </w:rPr>
        <w:t>(In thousands)</w:t>
      </w:r>
    </w:p>
    <w:p>
      <w:pPr>
        <w:pStyle w:val="TextBody"/>
        <w:bidi w:val="0"/>
        <w:spacing w:before="0" w:after="0"/>
        <w:jc w:val="center"/>
        <w:rPr>
          <w:rFonts w:ascii="Arial;sans-serif" w:hAnsi="Arial;sans-serif"/>
          <w:b w:val="false"/>
          <w:sz w:val="20"/>
        </w:rPr>
      </w:pPr>
      <w:r>
        <w:rPr>
          <w:rFonts w:ascii="Arial;sans-serif" w:hAnsi="Arial;sans-serif"/>
          <w:b w:val="false"/>
          <w:sz w:val="20"/>
        </w:rPr>
        <w:t>(Unaudited)</w:t>
      </w:r>
    </w:p>
    <w:p>
      <w:pPr>
        <w:pStyle w:val="TextBody"/>
        <w:bidi w:val="0"/>
        <w:spacing w:before="0" w:after="0"/>
        <w:jc w:val="left"/>
        <w:rPr/>
      </w:pPr>
      <w:r>
        <w:rPr/>
        <w:t> </w:t>
      </w:r>
    </w:p>
    <w:tbl>
      <w:tblPr>
        <w:tblW w:w="12790" w:type="dxa"/>
        <w:jc w:val="left"/>
        <w:tblInd w:w="0" w:type="dxa"/>
        <w:tblLayout w:type="fixed"/>
        <w:tblCellMar>
          <w:top w:w="28" w:type="dxa"/>
          <w:left w:w="28" w:type="dxa"/>
          <w:bottom w:w="28" w:type="dxa"/>
          <w:right w:w="28" w:type="dxa"/>
        </w:tblCellMar>
      </w:tblPr>
      <w:tblGrid>
        <w:gridCol w:w="1276"/>
        <w:gridCol w:w="146"/>
        <w:gridCol w:w="196"/>
        <w:gridCol w:w="691"/>
        <w:gridCol w:w="166"/>
        <w:gridCol w:w="146"/>
        <w:gridCol w:w="196"/>
        <w:gridCol w:w="751"/>
        <w:gridCol w:w="166"/>
        <w:gridCol w:w="146"/>
        <w:gridCol w:w="196"/>
        <w:gridCol w:w="826"/>
        <w:gridCol w:w="166"/>
        <w:gridCol w:w="146"/>
        <w:gridCol w:w="268"/>
        <w:gridCol w:w="948"/>
        <w:gridCol w:w="166"/>
        <w:gridCol w:w="146"/>
        <w:gridCol w:w="308"/>
        <w:gridCol w:w="1043"/>
        <w:gridCol w:w="166"/>
        <w:gridCol w:w="146"/>
        <w:gridCol w:w="196"/>
        <w:gridCol w:w="826"/>
        <w:gridCol w:w="166"/>
        <w:gridCol w:w="146"/>
        <w:gridCol w:w="321"/>
        <w:gridCol w:w="985"/>
        <w:gridCol w:w="166"/>
        <w:gridCol w:w="146"/>
        <w:gridCol w:w="196"/>
        <w:gridCol w:w="826"/>
        <w:gridCol w:w="41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Treasury</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br/>
              <w:t>Paid-in</w:t>
              <w:b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Retained</w:t>
              <w:br/>
              <w:t>Earnings</w:t>
              <w:b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br/>
              <w:t>Other</w:t>
              <w:br/>
              <w:t>Comprehensive</w:t>
              <w:b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Parsons</w:t>
              <w:b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Noncontrolling</w:t>
              <w:br/>
              <w:t>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March 31, 2023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146,244</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(844,936</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2,712,167</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68,429</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(18,025</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2,063,879</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61,651</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2,125,530</w:t>
            </w:r>
          </w:p>
        </w:tc>
        <w:tc>
          <w:tcPr>
            <w:tcW w:w="4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Comprehensive income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Net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43,241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43,241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54,771</w:t>
            </w:r>
          </w:p>
        </w:tc>
        <w:tc>
          <w:tcPr>
            <w:tcW w:w="411" w:type="dxa"/>
            <w:tcBorders/>
            <w:vAlign w:val="center"/>
          </w:tcPr>
          <w:p>
            <w:pPr>
              <w:pStyle w:val="TableContents"/>
              <w:bidi w:val="0"/>
              <w:spacing w:before="0" w:after="0"/>
              <w:ind w:left="0" w:right="0" w:firstLine="200"/>
              <w:jc w:val="lef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Foreign currency translation</w:t>
              <w:br/>
              <w:t>   gain,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3,152</w:t>
            </w:r>
          </w:p>
        </w:tc>
        <w:tc>
          <w:tcPr>
            <w:tcW w:w="411" w:type="dxa"/>
            <w:tcBorders/>
            <w:vAlign w:val="center"/>
          </w:tcPr>
          <w:p>
            <w:pPr>
              <w:pStyle w:val="TableContents"/>
              <w:bidi w:val="0"/>
              <w:spacing w:before="0" w:after="0"/>
              <w:ind w:left="0" w:right="0" w:firstLine="200"/>
              <w:jc w:val="lef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Pension adjustments,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Distributions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(1,849</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(1,849</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Issuance of equity securities,</w:t>
              <w:br/>
              <w:t>   net of retirements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2,160</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(46</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(1,954</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(2,000</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8,986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June 30, 2023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146,312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(844,936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2,721,402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111,513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(14,860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2,119,431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71,335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2,190,766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March 31, 2022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146,348</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(867,391</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2,678,761</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(32,858</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(6,673</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1,918,187</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5"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32,438</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1,950,625</w:t>
            </w:r>
          </w:p>
        </w:tc>
        <w:tc>
          <w:tcPr>
            <w:tcW w:w="4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Comprehensive income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Net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22,780</w:t>
            </w:r>
          </w:p>
        </w:tc>
        <w:tc>
          <w:tcPr>
            <w:tcW w:w="411" w:type="dxa"/>
            <w:tcBorders/>
            <w:vAlign w:val="center"/>
          </w:tcPr>
          <w:p>
            <w:pPr>
              <w:pStyle w:val="TableContents"/>
              <w:bidi w:val="0"/>
              <w:spacing w:before="0" w:after="0"/>
              <w:ind w:left="0" w:right="0" w:firstLine="200"/>
              <w:jc w:val="lef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Foreign currency translation</w:t>
              <w:br/>
              <w:t>   loss,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(5,380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(5,380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(5,383</w:t>
            </w:r>
          </w:p>
        </w:tc>
        <w:tc>
          <w:tcPr>
            <w:tcW w:w="411" w:type="dxa"/>
            <w:tcBorders/>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Pension adjustments,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(47</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Contributions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1,601</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Distributions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(2,035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(2,035</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Issuance of equity securities,</w:t>
              <w:br/>
              <w:t>   net of retirements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2,666</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(276</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(9,724</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21"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(10,000</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4,460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4,460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4,460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June 30, 2022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146,174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(867,391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2,676,063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(14,565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(12,100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1,928,181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36,486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1,964,667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The accompanying notes are an integral part of these consolidated financial statements.</w:t>
      </w:r>
    </w:p>
    <w:p>
      <w:pPr>
        <w:pStyle w:val="TextBody"/>
        <w:bidi w:val="0"/>
        <w:spacing w:before="40" w:after="0"/>
        <w:jc w:val="center"/>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PARSONS CORPORATION AND SUBSIDIARIES</w:t>
      </w:r>
    </w:p>
    <w:p>
      <w:pPr>
        <w:pStyle w:val="TextBody"/>
        <w:bidi w:val="0"/>
        <w:spacing w:before="0" w:after="0"/>
        <w:jc w:val="center"/>
        <w:rPr>
          <w:rFonts w:ascii="Arial;sans-serif" w:hAnsi="Arial;sans-serif"/>
          <w:b/>
          <w:sz w:val="20"/>
        </w:rPr>
      </w:pPr>
      <w:r>
        <w:rPr>
          <w:rFonts w:ascii="Arial;sans-serif" w:hAnsi="Arial;sans-serif"/>
          <w:b/>
          <w:sz w:val="20"/>
        </w:rPr>
        <w:t>Consolidated Statements of Shareholders’ Equity</w:t>
      </w:r>
    </w:p>
    <w:p>
      <w:pPr>
        <w:pStyle w:val="TextBody"/>
        <w:bidi w:val="0"/>
        <w:spacing w:before="0" w:after="0"/>
        <w:jc w:val="center"/>
        <w:rPr>
          <w:rFonts w:ascii="Arial;sans-serif" w:hAnsi="Arial;sans-serif"/>
          <w:b/>
          <w:sz w:val="20"/>
        </w:rPr>
      </w:pPr>
      <w:r>
        <w:rPr>
          <w:rFonts w:ascii="Arial;sans-serif" w:hAnsi="Arial;sans-serif"/>
          <w:b/>
          <w:sz w:val="20"/>
        </w:rPr>
        <w:t>For the six Months Ended June 30, 2023 and June 30, 2022</w:t>
      </w:r>
    </w:p>
    <w:p>
      <w:pPr>
        <w:pStyle w:val="TextBody"/>
        <w:bidi w:val="0"/>
        <w:spacing w:before="0" w:after="0"/>
        <w:jc w:val="center"/>
        <w:rPr>
          <w:rFonts w:ascii="Arial;sans-serif" w:hAnsi="Arial;sans-serif"/>
          <w:b w:val="false"/>
          <w:i/>
          <w:sz w:val="20"/>
        </w:rPr>
      </w:pPr>
      <w:r>
        <w:rPr>
          <w:rFonts w:ascii="Arial;sans-serif" w:hAnsi="Arial;sans-serif"/>
          <w:b w:val="false"/>
          <w:i/>
          <w:sz w:val="20"/>
        </w:rPr>
        <w:t>(In thousands)</w:t>
      </w:r>
    </w:p>
    <w:p>
      <w:pPr>
        <w:pStyle w:val="TextBody"/>
        <w:bidi w:val="0"/>
        <w:spacing w:before="0" w:after="0"/>
        <w:jc w:val="center"/>
        <w:rPr>
          <w:rFonts w:ascii="Arial;sans-serif" w:hAnsi="Arial;sans-serif"/>
          <w:b w:val="false"/>
          <w:sz w:val="20"/>
        </w:rPr>
      </w:pPr>
      <w:r>
        <w:rPr>
          <w:rFonts w:ascii="Arial;sans-serif" w:hAnsi="Arial;sans-serif"/>
          <w:b w:val="false"/>
          <w:sz w:val="20"/>
        </w:rPr>
        <w:t>(Unaudited)</w:t>
      </w:r>
    </w:p>
    <w:p>
      <w:pPr>
        <w:pStyle w:val="TextBody"/>
        <w:bidi w:val="0"/>
        <w:spacing w:before="0" w:after="0"/>
        <w:jc w:val="left"/>
        <w:rPr/>
      </w:pPr>
      <w:r>
        <w:rPr/>
        <w:t> </w:t>
      </w:r>
    </w:p>
    <w:tbl>
      <w:tblPr>
        <w:tblW w:w="12790" w:type="dxa"/>
        <w:jc w:val="left"/>
        <w:tblInd w:w="0" w:type="dxa"/>
        <w:tblLayout w:type="fixed"/>
        <w:tblCellMar>
          <w:top w:w="28" w:type="dxa"/>
          <w:left w:w="28" w:type="dxa"/>
          <w:bottom w:w="28" w:type="dxa"/>
          <w:right w:w="28" w:type="dxa"/>
        </w:tblCellMar>
      </w:tblPr>
      <w:tblGrid>
        <w:gridCol w:w="1276"/>
        <w:gridCol w:w="146"/>
        <w:gridCol w:w="196"/>
        <w:gridCol w:w="691"/>
        <w:gridCol w:w="166"/>
        <w:gridCol w:w="146"/>
        <w:gridCol w:w="196"/>
        <w:gridCol w:w="751"/>
        <w:gridCol w:w="166"/>
        <w:gridCol w:w="146"/>
        <w:gridCol w:w="196"/>
        <w:gridCol w:w="826"/>
        <w:gridCol w:w="166"/>
        <w:gridCol w:w="146"/>
        <w:gridCol w:w="268"/>
        <w:gridCol w:w="948"/>
        <w:gridCol w:w="166"/>
        <w:gridCol w:w="146"/>
        <w:gridCol w:w="308"/>
        <w:gridCol w:w="1043"/>
        <w:gridCol w:w="166"/>
        <w:gridCol w:w="146"/>
        <w:gridCol w:w="196"/>
        <w:gridCol w:w="826"/>
        <w:gridCol w:w="166"/>
        <w:gridCol w:w="146"/>
        <w:gridCol w:w="298"/>
        <w:gridCol w:w="1008"/>
        <w:gridCol w:w="166"/>
        <w:gridCol w:w="146"/>
        <w:gridCol w:w="196"/>
        <w:gridCol w:w="826"/>
        <w:gridCol w:w="41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Treasury</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br/>
              <w:t>Paid-in</w:t>
              <w:b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Retained</w:t>
              <w:br/>
              <w:t>Earnings</w:t>
              <w:b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br/>
              <w:t>Other</w:t>
              <w:br/>
              <w:t>Comprehensive</w:t>
              <w:b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br/>
              <w:t>Parsons</w:t>
              <w:b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Noncontrolling</w:t>
              <w:br/>
              <w:t>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146,132</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(844,936</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2,717,134</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43,089</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(17,849</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2,043,570</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52,365</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2,095,935</w:t>
            </w:r>
          </w:p>
        </w:tc>
        <w:tc>
          <w:tcPr>
            <w:tcW w:w="4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Comprehensive income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Net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68,794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68,794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21,253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90,047</w:t>
            </w:r>
          </w:p>
        </w:tc>
        <w:tc>
          <w:tcPr>
            <w:tcW w:w="411" w:type="dxa"/>
            <w:tcBorders/>
            <w:vAlign w:val="center"/>
          </w:tcPr>
          <w:p>
            <w:pPr>
              <w:pStyle w:val="TableContents"/>
              <w:bidi w:val="0"/>
              <w:spacing w:before="0" w:after="0"/>
              <w:ind w:left="0" w:right="0" w:firstLine="200"/>
              <w:jc w:val="lef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Foreign currency translation gain,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2,975</w:t>
            </w:r>
          </w:p>
        </w:tc>
        <w:tc>
          <w:tcPr>
            <w:tcW w:w="411" w:type="dxa"/>
            <w:tcBorders/>
            <w:vAlign w:val="center"/>
          </w:tcPr>
          <w:p>
            <w:pPr>
              <w:pStyle w:val="TableContents"/>
              <w:bidi w:val="0"/>
              <w:spacing w:before="0" w:after="0"/>
              <w:ind w:left="0" w:right="0" w:firstLine="200"/>
              <w:jc w:val="lef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Pension adjustments,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17</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Contributions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200</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Distributions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(2,487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(2,487</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Issuance of equity securities, net of retirement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(3,895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(370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(3,900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(3,900</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(7,815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(8,000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(8,000</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15,978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15,978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15,978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June 30, 2023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146,312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(844,936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2,721,402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111,513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(14,860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2,119,431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71,335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2,190,766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146,277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(867,391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2,684,979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(53,529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(9,568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1,900,768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36,344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1,937,112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Comprehensive income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0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Net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38,962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46,623</w:t>
            </w:r>
          </w:p>
        </w:tc>
        <w:tc>
          <w:tcPr>
            <w:tcW w:w="411" w:type="dxa"/>
            <w:tcBorders/>
            <w:vAlign w:val="center"/>
          </w:tcPr>
          <w:p>
            <w:pPr>
              <w:pStyle w:val="TableContents"/>
              <w:bidi w:val="0"/>
              <w:spacing w:before="0" w:after="0"/>
              <w:ind w:left="0" w:right="0" w:firstLine="200"/>
              <w:jc w:val="left"/>
              <w:rPr/>
            </w:pPr>
            <w:r>
              <w:rPr/>
              <w:t> </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Foreign currency translation loss,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(2,507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(2,507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(2,509</w:t>
            </w:r>
          </w:p>
        </w:tc>
        <w:tc>
          <w:tcPr>
            <w:tcW w:w="411" w:type="dxa"/>
            <w:tcBorders/>
            <w:vAlign w:val="center"/>
          </w:tcPr>
          <w:p>
            <w:pPr>
              <w:pStyle w:val="TableContents"/>
              <w:bidi w:val="0"/>
              <w:spacing w:before="0" w:after="0"/>
              <w:ind w:left="0" w:right="0" w:firstLine="20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Pension adjustments,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Contributions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2,827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2,827</w:t>
            </w:r>
          </w:p>
        </w:tc>
        <w:tc>
          <w:tcPr>
            <w:tcW w:w="4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Distributions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(10,344</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(10,344</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Issuance of equity securities, net of retirement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(2,153</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(1,827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(1,827</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Repurchases of common stock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(427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(15,121</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4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pPr>
            <w:r>
              <w:rPr/>
              <w:t> </w:t>
            </w:r>
          </w:p>
        </w:tc>
        <w:tc>
          <w:tcPr>
            <w:tcW w:w="1043"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(15,548</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(15,548</w:t>
            </w:r>
          </w:p>
        </w:tc>
        <w:tc>
          <w:tcPr>
            <w:tcW w:w="411"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7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Stock-based compensation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8,358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Balance at June 30, 2022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146,174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(867,391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2,676,063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9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(14,565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(12,100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1,928,181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36,486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1,964,667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20"/>
        </w:rPr>
      </w:pPr>
      <w:r>
        <w:rPr>
          <w:rFonts w:ascii="Arial;sans-serif" w:hAnsi="Arial;sans-serif"/>
          <w:b w:val="false"/>
          <w:sz w:val="20"/>
        </w:rPr>
        <w:t>The accompanying notes are an integral part of these consolidated financial statements.</w:t>
      </w:r>
    </w:p>
    <w:p>
      <w:pPr>
        <w:pStyle w:val="TextBody"/>
        <w:bidi w:val="0"/>
        <w:spacing w:before="240" w:after="0"/>
        <w:jc w:val="center"/>
        <w:rPr>
          <w:rFonts w:ascii="Arial;sans-serif" w:hAnsi="Arial;sans-serif"/>
          <w:b w:val="false"/>
          <w:sz w:val="20"/>
        </w:rPr>
      </w:pPr>
      <w:r>
        <w:rPr>
          <w:rFonts w:ascii="Arial;sans-serif" w:hAnsi="Arial;sans-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r>
        <w:rPr>
          <w:rFonts w:ascii="Arial;sans-serif" w:hAnsi="Arial;sans-serif"/>
          <w:b/>
          <w:sz w:val="20"/>
        </w:rPr>
        <w:t>Parsons Corporation and Subsidiaries</w:t>
      </w:r>
    </w:p>
    <w:p>
      <w:pPr>
        <w:pStyle w:val="TextBody"/>
        <w:bidi w:val="0"/>
        <w:spacing w:before="0" w:after="0"/>
        <w:jc w:val="center"/>
        <w:rPr>
          <w:rFonts w:ascii="Arial;sans-serif" w:hAnsi="Arial;sans-serif"/>
          <w:b/>
          <w:sz w:val="20"/>
        </w:rPr>
      </w:pPr>
      <w:bookmarkStart w:id="11" w:name="notes_to_consolidated_financial_statemen"/>
      <w:bookmarkEnd w:id="11"/>
      <w:r>
        <w:rPr>
          <w:rFonts w:ascii="Arial;sans-serif" w:hAnsi="Arial;sans-serif"/>
          <w:b/>
          <w:sz w:val="20"/>
        </w:rPr>
        <w:t>Notes to Consolidated Financial Statements (unaudited)</w:t>
      </w:r>
    </w:p>
    <w:p>
      <w:pPr>
        <w:pStyle w:val="TextBody"/>
        <w:bidi w:val="0"/>
        <w:spacing w:before="0" w:after="0"/>
        <w:jc w:val="center"/>
        <w:rPr/>
      </w:pPr>
      <w:r>
        <w:rPr/>
        <w:t> </w:t>
      </w:r>
    </w:p>
    <w:p>
      <w:pPr>
        <w:pStyle w:val="TextBody"/>
        <w:bidi w:val="0"/>
        <w:spacing w:before="240" w:after="0"/>
        <w:jc w:val="left"/>
        <w:rPr>
          <w:rFonts w:ascii="Arial" w:hAnsi="Arial"/>
          <w:b/>
          <w:sz w:val="20"/>
        </w:rPr>
      </w:pPr>
      <w:r>
        <w:rPr>
          <w:rFonts w:ascii="Arial" w:hAnsi="Arial"/>
          <w:b/>
          <w:sz w:val="20"/>
        </w:rPr>
        <w:t>1.</w:t>
      </w:r>
    </w:p>
    <w:p>
      <w:pPr>
        <w:pStyle w:val="TextBody"/>
        <w:bidi w:val="0"/>
        <w:spacing w:before="240" w:after="283"/>
        <w:jc w:val="left"/>
        <w:rPr>
          <w:rFonts w:ascii="Arial;sans-serif" w:hAnsi="Arial;sans-serif"/>
          <w:b/>
          <w:sz w:val="20"/>
        </w:rPr>
      </w:pPr>
      <w:r>
        <w:rPr>
          <w:rFonts w:ascii="Arial;sans-serif" w:hAnsi="Arial;sans-serif"/>
          <w:b/>
          <w:sz w:val="20"/>
        </w:rPr>
        <w:t>Description of Operations</w:t>
      </w:r>
    </w:p>
    <w:p>
      <w:pPr>
        <w:pStyle w:val="TextBody"/>
        <w:bidi w:val="0"/>
        <w:spacing w:before="240" w:after="0"/>
        <w:jc w:val="left"/>
        <w:rPr>
          <w:rFonts w:ascii="Arial;sans-serif" w:hAnsi="Arial;sans-serif"/>
          <w:b/>
          <w:sz w:val="20"/>
        </w:rPr>
      </w:pPr>
      <w:r>
        <w:rPr>
          <w:rFonts w:ascii="Arial;sans-serif" w:hAnsi="Arial;sans-serif"/>
          <w:b/>
          <w:sz w:val="20"/>
        </w:rPr>
        <w:t>Organization</w:t>
      </w:r>
    </w:p>
    <w:p>
      <w:pPr>
        <w:pStyle w:val="TextBody"/>
        <w:bidi w:val="0"/>
        <w:spacing w:before="240" w:after="0"/>
        <w:jc w:val="left"/>
        <w:rPr>
          <w:rFonts w:ascii="Times New Roman" w:hAnsi="Times New Roman"/>
          <w:sz w:val="20"/>
        </w:rPr>
      </w:pPr>
      <w:r>
        <w:rPr>
          <w:rFonts w:ascii="Arial;sans-serif" w:hAnsi="Arial;sans-serif"/>
          <w:b w:val="false"/>
          <w:sz w:val="20"/>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r>
        <w:rPr>
          <w:rFonts w:ascii="Times New Roman" w:hAnsi="Times New Roman"/>
          <w:sz w:val="20"/>
        </w:rPr>
        <w:t xml:space="preserve"> </w:t>
      </w:r>
    </w:p>
    <w:p>
      <w:pPr>
        <w:pStyle w:val="TextBody"/>
        <w:bidi w:val="0"/>
        <w:spacing w:before="240" w:after="0"/>
        <w:jc w:val="left"/>
        <w:rPr>
          <w:rFonts w:ascii="Arial" w:hAnsi="Arial"/>
          <w:b/>
          <w:sz w:val="20"/>
        </w:rPr>
      </w:pPr>
      <w:r>
        <w:rPr>
          <w:rFonts w:ascii="Arial" w:hAnsi="Arial"/>
          <w:b/>
          <w:sz w:val="20"/>
        </w:rPr>
        <w:t>2.</w:t>
      </w:r>
    </w:p>
    <w:p>
      <w:pPr>
        <w:pStyle w:val="TextBody"/>
        <w:bidi w:val="0"/>
        <w:spacing w:before="240" w:after="283"/>
        <w:jc w:val="left"/>
        <w:rPr>
          <w:rFonts w:ascii="Arial;sans-serif" w:hAnsi="Arial;sans-serif"/>
          <w:b/>
          <w:sz w:val="20"/>
        </w:rPr>
      </w:pPr>
      <w:r>
        <w:rPr>
          <w:rFonts w:ascii="Arial;sans-serif" w:hAnsi="Arial;sans-serif"/>
          <w:b/>
          <w:sz w:val="20"/>
        </w:rPr>
        <w:t>Basis of Presentation and Principles of Consolidation</w:t>
      </w:r>
    </w:p>
    <w:p>
      <w:pPr>
        <w:pStyle w:val="TextBody"/>
        <w:bidi w:val="0"/>
        <w:spacing w:before="240" w:after="0"/>
        <w:jc w:val="left"/>
        <w:rPr>
          <w:rFonts w:ascii="Times New Roman" w:hAnsi="Times New Roman"/>
          <w:sz w:val="20"/>
        </w:rPr>
      </w:pPr>
      <w:r>
        <w:rPr>
          <w:rFonts w:ascii="Arial;sans-serif" w:hAnsi="Arial;sans-serif"/>
          <w:b w:val="false"/>
          <w:sz w:val="20"/>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w:t>
      </w:r>
      <w:r>
        <w:rPr>
          <w:rFonts w:ascii="Times New Roman" w:hAnsi="Times New Roman"/>
          <w:sz w:val="20"/>
        </w:rPr>
        <w:t xml:space="preserve"> </w:t>
      </w:r>
      <w:r>
        <w:rPr>
          <w:rFonts w:ascii="Arial;sans-serif" w:hAnsi="Arial;sans-serif"/>
          <w:b w:val="false"/>
          <w:sz w:val="20"/>
        </w:rPr>
        <w:t>Investments in and Advances to Joint Ventures" for further discussion). Intercompany accounts and transactions are eliminated in consolidation.</w:t>
      </w:r>
    </w:p>
    <w:p>
      <w:pPr>
        <w:pStyle w:val="TextBody"/>
        <w:bidi w:val="0"/>
        <w:spacing w:before="240" w:after="0"/>
        <w:jc w:val="left"/>
        <w:rPr>
          <w:rFonts w:ascii="Arial;sans-serif" w:hAnsi="Arial;sans-serif"/>
          <w:b/>
          <w:sz w:val="20"/>
        </w:rPr>
      </w:pPr>
      <w:r>
        <w:rPr>
          <w:rFonts w:ascii="Arial;sans-serif" w:hAnsi="Arial;sans-serif"/>
          <w:b/>
          <w:sz w:val="20"/>
        </w:rPr>
        <w:t>Use of Estimates</w:t>
      </w:r>
    </w:p>
    <w:p>
      <w:pPr>
        <w:pStyle w:val="TextBody"/>
        <w:bidi w:val="0"/>
        <w:spacing w:before="120" w:after="0"/>
        <w:jc w:val="left"/>
        <w:rPr>
          <w:rFonts w:ascii="Times New Roman" w:hAnsi="Times New Roman"/>
          <w:sz w:val="20"/>
        </w:rPr>
      </w:pPr>
      <w:r>
        <w:rPr>
          <w:rFonts w:ascii="Arial;sans-serif" w:hAnsi="Arial;sans-serif"/>
          <w:b w:val="false"/>
          <w:sz w:val="20"/>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goodwill, intangible assets and net assets acquired from business acquisitions; valuation of deferred income tax assets and uncertain tax positions, among others. Please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2022,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r>
        <w:rPr>
          <w:rFonts w:ascii="Times New Roman" w:hAnsi="Times New Roman"/>
          <w:sz w:val="20"/>
        </w:rPr>
        <w:t xml:space="preserve"> </w:t>
      </w:r>
    </w:p>
    <w:p>
      <w:pPr>
        <w:pStyle w:val="TextBody"/>
        <w:bidi w:val="0"/>
        <w:spacing w:before="360" w:after="0"/>
        <w:jc w:val="left"/>
        <w:rPr>
          <w:rFonts w:ascii="Arial" w:hAnsi="Arial"/>
          <w:b/>
          <w:sz w:val="20"/>
        </w:rPr>
      </w:pPr>
      <w:r>
        <w:rPr>
          <w:rFonts w:ascii="Arial" w:hAnsi="Arial"/>
          <w:b/>
          <w:sz w:val="20"/>
        </w:rPr>
        <w:t>3.</w:t>
      </w:r>
    </w:p>
    <w:p>
      <w:pPr>
        <w:pStyle w:val="TextBody"/>
        <w:bidi w:val="0"/>
        <w:spacing w:before="360" w:after="283"/>
        <w:jc w:val="left"/>
        <w:rPr>
          <w:rFonts w:ascii="Arial;sans-serif" w:hAnsi="Arial;sans-serif"/>
          <w:b/>
          <w:sz w:val="20"/>
        </w:rPr>
      </w:pPr>
      <w:r>
        <w:rPr>
          <w:rFonts w:ascii="Arial;sans-serif" w:hAnsi="Arial;sans-serif"/>
          <w:b/>
          <w:sz w:val="20"/>
        </w:rPr>
        <w:t>New Accounting Pronouncements</w:t>
      </w:r>
    </w:p>
    <w:p>
      <w:pPr>
        <w:pStyle w:val="TextBody"/>
        <w:bidi w:val="0"/>
        <w:spacing w:before="240" w:after="0"/>
        <w:jc w:val="left"/>
        <w:rPr>
          <w:rFonts w:ascii="Times New Roman" w:hAnsi="Times New Roman"/>
          <w:sz w:val="20"/>
        </w:rPr>
      </w:pPr>
      <w:r>
        <w:rPr>
          <w:rFonts w:ascii="Arial;sans-serif" w:hAnsi="Arial;sans-serif"/>
          <w:b w:val="false"/>
          <w:sz w:val="20"/>
        </w:rPr>
        <w:t>In the first quarter of 2022, the Company early adopted ASU No. 2021-08, “Business Combinations (Topic 805):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Arial;sans-serif" w:hAnsi="Arial;sans-serif"/>
          <w:b w:val="false"/>
          <w:sz w:val="20"/>
        </w:rPr>
      </w:pPr>
      <w:r>
        <w:rPr>
          <w:rFonts w:ascii="Arial;sans-serif" w:hAnsi="Arial;sans-serif"/>
          <w:b w:val="false"/>
          <w:sz w:val="20"/>
        </w:rPr>
        <w:t>application and (2) prospectively to all business combinations that occur on or after the date of initial application. The early adoption of ASU 2021-08 did not have a material impact on the consolidated financial statements.</w:t>
      </w:r>
    </w:p>
    <w:p>
      <w:pPr>
        <w:pStyle w:val="TextBody"/>
        <w:bidi w:val="0"/>
        <w:spacing w:before="240" w:after="0"/>
        <w:jc w:val="left"/>
        <w:rPr>
          <w:rFonts w:ascii="Arial" w:hAnsi="Arial"/>
          <w:b/>
          <w:sz w:val="20"/>
        </w:rPr>
      </w:pPr>
      <w:r>
        <w:rPr>
          <w:rFonts w:ascii="Arial" w:hAnsi="Arial"/>
          <w:b/>
          <w:sz w:val="20"/>
        </w:rPr>
        <w:t>4.</w:t>
      </w:r>
    </w:p>
    <w:p>
      <w:pPr>
        <w:pStyle w:val="TextBody"/>
        <w:bidi w:val="0"/>
        <w:spacing w:before="240" w:after="283"/>
        <w:jc w:val="left"/>
        <w:rPr>
          <w:rFonts w:ascii="Times New Roman;serif" w:hAnsi="Times New Roman;serif"/>
          <w:sz w:val="24"/>
        </w:rPr>
      </w:pPr>
      <w:r>
        <w:rPr>
          <w:rFonts w:ascii="Arial;sans-serif" w:hAnsi="Arial;sans-serif"/>
          <w:b/>
          <w:sz w:val="20"/>
        </w:rPr>
        <w:t>Acquisitions</w:t>
      </w:r>
      <w:r>
        <w:rPr>
          <w:rFonts w:ascii="Times New Roman;serif" w:hAnsi="Times New Roman;serif"/>
          <w:sz w:val="24"/>
        </w:rPr>
        <w:t xml:space="preserve"> </w:t>
      </w:r>
    </w:p>
    <w:p>
      <w:pPr>
        <w:pStyle w:val="TextBody"/>
        <w:bidi w:val="0"/>
        <w:spacing w:before="240" w:after="0"/>
        <w:jc w:val="left"/>
        <w:rPr>
          <w:rFonts w:ascii="Arial;sans-serif" w:hAnsi="Arial;sans-serif"/>
          <w:b/>
          <w:sz w:val="20"/>
        </w:rPr>
      </w:pPr>
      <w:r>
        <w:rPr>
          <w:rFonts w:ascii="Arial;sans-serif" w:hAnsi="Arial;sans-serif"/>
          <w:b/>
          <w:sz w:val="20"/>
        </w:rPr>
        <w:t>IPKeys Power Partners</w:t>
      </w:r>
    </w:p>
    <w:p>
      <w:pPr>
        <w:pStyle w:val="TextBody"/>
        <w:bidi w:val="0"/>
        <w:spacing w:before="240" w:after="0"/>
        <w:jc w:val="left"/>
        <w:rPr>
          <w:rFonts w:ascii="Times New Roman" w:hAnsi="Times New Roman"/>
          <w:sz w:val="20"/>
        </w:rPr>
      </w:pPr>
      <w:r>
        <w:rPr>
          <w:rFonts w:ascii="Arial;sans-serif" w:hAnsi="Arial;sans-serif"/>
          <w:b w:val="false"/>
          <w:sz w:val="20"/>
        </w:rPr>
        <w:t>On April 13, 2023, the Company entered into a merger agreement to acquire a 100% ownership interest in IPKeys Power Partners (“IPKeys”), a privately-owned company, for $43.4</w:t>
      </w:r>
      <w:r>
        <w:rPr>
          <w:rFonts w:ascii="Times New Roman" w:hAnsi="Times New Roman"/>
          <w:sz w:val="20"/>
        </w:rPr>
        <w:t xml:space="preserve"> </w:t>
      </w:r>
      <w:r>
        <w:rPr>
          <w:rFonts w:ascii="Arial;sans-serif" w:hAnsi="Arial;sans-serif"/>
          <w:b w:val="false"/>
          <w:sz w:val="20"/>
        </w:rPr>
        <w:t xml:space="preserve">million from cash on hand.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w:t>
      </w:r>
      <w:r>
        <w:rPr>
          <w:rFonts w:ascii="Arial;sans-serif" w:hAnsi="Arial;sans-serif"/>
          <w:b w:val="false"/>
          <w:sz w:val="19"/>
        </w:rPr>
        <w:t>In connection with this acquisition, the Company</w:t>
      </w:r>
      <w:r>
        <w:rPr>
          <w:rFonts w:ascii="Times New Roman" w:hAnsi="Times New Roman"/>
          <w:sz w:val="20"/>
        </w:rPr>
        <w:t xml:space="preserve"> </w:t>
      </w:r>
      <w:r>
        <w:rPr>
          <w:rFonts w:ascii="Arial;sans-serif" w:hAnsi="Arial;sans-serif"/>
          <w:b w:val="false"/>
          <w:sz w:val="20"/>
        </w:rPr>
        <w:t>recognized $0.4</w:t>
      </w:r>
      <w:r>
        <w:rPr>
          <w:rFonts w:ascii="Times New Roman" w:hAnsi="Times New Roman"/>
          <w:sz w:val="20"/>
        </w:rPr>
        <w:t xml:space="preserve"> </w:t>
      </w:r>
      <w:r>
        <w:rPr>
          <w:rFonts w:ascii="Arial;sans-serif" w:hAnsi="Arial;sans-serif"/>
          <w:b w:val="false"/>
          <w:sz w:val="20"/>
        </w:rPr>
        <w:t>million and $0.7</w:t>
      </w:r>
      <w:r>
        <w:rPr>
          <w:rFonts w:ascii="Times New Roman" w:hAnsi="Times New Roman"/>
          <w:sz w:val="20"/>
        </w:rPr>
        <w:t xml:space="preserve"> </w:t>
      </w:r>
      <w:r>
        <w:rPr>
          <w:rFonts w:ascii="Arial;sans-serif" w:hAnsi="Arial;sans-serif"/>
          <w:b w:val="false"/>
          <w:sz w:val="20"/>
        </w:rPr>
        <w:t>million of acquisition-related expenses in “Selling, general and administrative expense” in the consolidated statements of income for the three and six months ended June 30, 2023, respectively, including legal fees, consulting fees, and other miscellaneous direct expenses associated with the acquisition.</w:t>
      </w:r>
    </w:p>
    <w:p>
      <w:pPr>
        <w:pStyle w:val="TextBody"/>
        <w:bidi w:val="0"/>
        <w:spacing w:before="240" w:after="0"/>
        <w:jc w:val="left"/>
        <w:rPr>
          <w:rFonts w:ascii="Times New Roman" w:hAnsi="Times New Roman"/>
          <w:sz w:val="20"/>
        </w:rPr>
      </w:pPr>
      <w:r>
        <w:rPr>
          <w:rFonts w:ascii="Arial;sans-serif" w:hAnsi="Arial;sans-serif"/>
          <w:b w:val="false"/>
          <w:sz w:val="20"/>
        </w:rPr>
        <w:t>The following table summarizes the estimated fair values of the assets acquired and liabilities assumed based on the preliminary purchase price allocation as of the date of acquisition (in thousands):</w:t>
      </w:r>
      <w:r>
        <w:rPr>
          <w:rFonts w:ascii="Times New Roman" w:hAnsi="Times New Roman"/>
          <w:sz w:val="20"/>
        </w:rPr>
        <w:t xml:space="preserve"> </w:t>
      </w:r>
    </w:p>
    <w:p>
      <w:pPr>
        <w:pStyle w:val="TextBody"/>
        <w:bidi w:val="0"/>
        <w:spacing w:before="120" w:after="0"/>
        <w:jc w:val="left"/>
        <w:rPr/>
      </w:pPr>
      <w:r>
        <w:rPr/>
        <w:t> </w:t>
      </w:r>
    </w:p>
    <w:tbl>
      <w:tblPr>
        <w:tblW w:w="5620" w:type="dxa"/>
        <w:jc w:val="left"/>
        <w:tblInd w:w="0" w:type="dxa"/>
        <w:tblLayout w:type="fixed"/>
        <w:tblCellMar>
          <w:top w:w="28" w:type="dxa"/>
          <w:left w:w="28" w:type="dxa"/>
          <w:bottom w:w="28" w:type="dxa"/>
          <w:right w:w="28" w:type="dxa"/>
        </w:tblCellMar>
      </w:tblPr>
      <w:tblGrid>
        <w:gridCol w:w="4081"/>
        <w:gridCol w:w="146"/>
        <w:gridCol w:w="211"/>
        <w:gridCol w:w="691"/>
        <w:gridCol w:w="4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3,937</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823</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464</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142</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Right of 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25,008</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22,300</w:t>
            </w:r>
          </w:p>
        </w:tc>
        <w:tc>
          <w:tcPr>
            <w:tcW w:w="49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(543</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(1,821</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(1,936</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Deferred tax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(5,257</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0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43,372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Arial;sans-serif" w:hAnsi="Arial;sans-serif"/>
          <w:b w:val="false"/>
          <w:sz w:val="20"/>
        </w:rPr>
      </w:pPr>
      <w:r>
        <w:rPr>
          <w:rFonts w:ascii="Arial;sans-serif" w:hAnsi="Arial;sans-serif"/>
          <w:b w:val="false"/>
          <w:sz w:val="20"/>
        </w:rPr>
        <w:t>Of the total purchase price, the following values were preliminarily assigned to intangible assets (in thousands, except for years):</w:t>
      </w:r>
    </w:p>
    <w:p>
      <w:pPr>
        <w:pStyle w:val="TextBody"/>
        <w:bidi w:val="0"/>
        <w:spacing w:before="120" w:after="0"/>
        <w:jc w:val="left"/>
        <w:rPr/>
      </w:pPr>
      <w:r>
        <w:rPr/>
        <w:t> </w:t>
      </w:r>
    </w:p>
    <w:tbl>
      <w:tblPr>
        <w:tblW w:w="4852" w:type="dxa"/>
        <w:jc w:val="left"/>
        <w:tblInd w:w="0" w:type="dxa"/>
        <w:tblLayout w:type="fixed"/>
        <w:tblCellMar>
          <w:top w:w="28" w:type="dxa"/>
          <w:left w:w="28" w:type="dxa"/>
          <w:bottom w:w="28" w:type="dxa"/>
          <w:right w:w="28" w:type="dxa"/>
        </w:tblCellMar>
      </w:tblPr>
      <w:tblGrid>
        <w:gridCol w:w="2326"/>
        <w:gridCol w:w="146"/>
        <w:gridCol w:w="211"/>
        <w:gridCol w:w="691"/>
        <w:gridCol w:w="146"/>
        <w:gridCol w:w="146"/>
        <w:gridCol w:w="118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Amortization</w:t>
              <w:br/>
              <w:t>Period</w:t>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(in years)</w:t>
            </w:r>
          </w:p>
        </w:tc>
      </w:tr>
      <w:tr>
        <w:trPr/>
        <w:tc>
          <w:tcPr>
            <w:tcW w:w="2326" w:type="dxa"/>
            <w:tcBorders/>
            <w:vAlign w:val="center"/>
          </w:tcPr>
          <w:p>
            <w:pPr>
              <w:pStyle w:val="TableContents"/>
              <w:bidi w:val="0"/>
              <w:spacing w:before="0" w:after="0"/>
              <w:ind w:left="0" w:right="0" w:hanging="0"/>
              <w:jc w:val="left"/>
              <w:rPr>
                <w:rFonts w:ascii="Times New Roman" w:hAnsi="Times New Roman"/>
                <w:sz w:val="20"/>
              </w:rPr>
            </w:pPr>
            <w:r>
              <w:rPr>
                <w:rFonts w:ascii="Arial;sans-serif" w:hAnsi="Arial;sans-serif"/>
                <w:b w:val="false"/>
                <w:sz w:val="20"/>
              </w:rPr>
              <w:t xml:space="preserve">Customer relationships </w:t>
            </w:r>
            <w:r>
              <w:rPr>
                <w:rFonts w:ascii="Arial;sans-serif" w:hAnsi="Arial;sans-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w:t>
            </w:r>
          </w:p>
        </w:tc>
      </w:tr>
      <w:tr>
        <w:trPr/>
        <w:tc>
          <w:tcPr>
            <w:tcW w:w="23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Developed technologies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r>
      <w:tr>
        <w:trPr/>
        <w:tc>
          <w:tcPr>
            <w:tcW w:w="232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r>
    </w:tbl>
    <w:p>
      <w:pPr>
        <w:pStyle w:val="TextBody"/>
        <w:bidi w:val="0"/>
        <w:spacing w:before="120" w:after="0"/>
        <w:jc w:val="left"/>
        <w:rPr>
          <w:rFonts w:ascii="Arial" w:hAnsi="Arial"/>
          <w:b w:val="false"/>
          <w:sz w:val="16"/>
        </w:rPr>
      </w:pPr>
      <w:r>
        <w:rPr>
          <w:rFonts w:ascii="Arial" w:hAnsi="Arial"/>
          <w:b w:val="false"/>
          <w:sz w:val="16"/>
        </w:rPr>
        <w:t>(1)</w:t>
      </w:r>
    </w:p>
    <w:p>
      <w:pPr>
        <w:pStyle w:val="TextBody"/>
        <w:bidi w:val="0"/>
        <w:spacing w:before="120" w:after="283"/>
        <w:jc w:val="left"/>
        <w:rPr>
          <w:rFonts w:ascii="Arial;sans-serif" w:hAnsi="Arial;sans-serif"/>
          <w:sz w:val="20"/>
        </w:rPr>
      </w:pPr>
      <w:r>
        <w:rPr>
          <w:rFonts w:ascii="Arial;sans-serif" w:hAnsi="Arial;sans-serif"/>
          <w:b w:val="false"/>
          <w:sz w:val="16"/>
        </w:rPr>
        <w:t>The acquired business is a SaaS commercial business. Backlog for this type of business is included as customer relationships.</w:t>
      </w:r>
      <w:r>
        <w:rPr>
          <w:rFonts w:ascii="Arial;sans-serif" w:hAnsi="Arial;sans-serif"/>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Amortization expense of $0.4</w:t>
      </w:r>
      <w:r>
        <w:rPr>
          <w:rFonts w:ascii="Times New Roman" w:hAnsi="Times New Roman"/>
          <w:sz w:val="20"/>
        </w:rPr>
        <w:t xml:space="preserve"> </w:t>
      </w:r>
      <w:r>
        <w:rPr>
          <w:rFonts w:ascii="Arial;sans-serif" w:hAnsi="Arial;sans-serif"/>
          <w:b w:val="false"/>
          <w:sz w:val="20"/>
        </w:rPr>
        <w:t>million related to these intangible assets was recorded for the three and six months ended June 30, 2023. The entire value of goodwill was assigned to the Critical Infrastructure reporting unit and represents synergies expected to be realized from this business combination. $1.0</w:t>
      </w:r>
      <w:r>
        <w:rPr>
          <w:rFonts w:ascii="Times New Roman" w:hAnsi="Times New Roman"/>
          <w:sz w:val="20"/>
        </w:rPr>
        <w:t xml:space="preserve"> </w:t>
      </w:r>
      <w:r>
        <w:rPr>
          <w:rFonts w:ascii="Arial;sans-serif" w:hAnsi="Arial;sans-serif"/>
          <w:b w:val="false"/>
          <w:sz w:val="20"/>
        </w:rPr>
        <w:t>million of goodwill is deductible for tax purposes.</w:t>
      </w:r>
    </w:p>
    <w:p>
      <w:pPr>
        <w:pStyle w:val="TextBody"/>
        <w:bidi w:val="0"/>
        <w:spacing w:before="240" w:after="0"/>
        <w:jc w:val="left"/>
        <w:rPr>
          <w:rFonts w:ascii="Times New Roman" w:hAnsi="Times New Roman"/>
          <w:sz w:val="20"/>
        </w:rPr>
      </w:pPr>
      <w:r>
        <w:rPr>
          <w:rFonts w:ascii="Arial;sans-serif" w:hAnsi="Arial;sans-serif"/>
          <w:b w:val="false"/>
          <w:sz w:val="20"/>
        </w:rPr>
        <w:t>The amount of revenue generated by IPKeys and included within consolidated revenues is $2.6</w:t>
      </w:r>
      <w:r>
        <w:rPr>
          <w:rFonts w:ascii="Times New Roman" w:hAnsi="Times New Roman"/>
          <w:sz w:val="20"/>
        </w:rPr>
        <w:t xml:space="preserve"> </w:t>
      </w:r>
      <w:r>
        <w:rPr>
          <w:rFonts w:ascii="Arial;sans-serif" w:hAnsi="Arial;sans-serif"/>
          <w:b w:val="false"/>
          <w:sz w:val="20"/>
        </w:rPr>
        <w:t>million for the three and six months ended June 30, 2023. The Company has determined that the presentation of net income from the date of acquisition is impracticable due to the integration of general corporate functions upon acquisition.</w:t>
      </w:r>
    </w:p>
    <w:p>
      <w:pPr>
        <w:pStyle w:val="TextBody"/>
        <w:bidi w:val="0"/>
        <w:spacing w:before="240" w:after="0"/>
        <w:jc w:val="left"/>
        <w:rPr>
          <w:rFonts w:ascii="Arial;sans-serif" w:hAnsi="Arial;sans-serif"/>
          <w:b w:val="false"/>
          <w:sz w:val="20"/>
        </w:rPr>
      </w:pPr>
      <w:r>
        <w:rPr>
          <w:rFonts w:ascii="Arial;sans-serif" w:hAnsi="Arial;sans-serif"/>
          <w:b w:val="false"/>
          <w:sz w:val="20"/>
        </w:rPr>
        <w:t>The Company is still in the process of finalizing its valuation of the net assets acquired.</w:t>
      </w:r>
    </w:p>
    <w:p>
      <w:pPr>
        <w:pStyle w:val="TextBody"/>
        <w:bidi w:val="0"/>
        <w:spacing w:before="120" w:after="0"/>
        <w:jc w:val="left"/>
        <w:rPr>
          <w:rFonts w:ascii="Arial;sans-serif" w:hAnsi="Arial;sans-serif"/>
          <w:b/>
          <w:sz w:val="20"/>
        </w:rPr>
      </w:pPr>
      <w:r>
        <w:rPr>
          <w:rFonts w:ascii="Arial;sans-serif" w:hAnsi="Arial;sans-serif"/>
          <w:b/>
          <w:sz w:val="20"/>
        </w:rPr>
        <w:t>Supplemental Pro Forma Information (Unaudited)</w:t>
      </w:r>
    </w:p>
    <w:p>
      <w:pPr>
        <w:pStyle w:val="TextBody"/>
        <w:bidi w:val="0"/>
        <w:spacing w:before="240" w:after="0"/>
        <w:jc w:val="center"/>
        <w:rPr>
          <w:rFonts w:ascii="Arial;sans-serif" w:hAnsi="Arial;sans-serif"/>
          <w:b w:val="false"/>
          <w:sz w:val="20"/>
        </w:rPr>
      </w:pPr>
      <w:r>
        <w:rPr>
          <w:rFonts w:ascii="Arial;sans-serif" w:hAnsi="Arial;sans-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Arial;sans-serif" w:hAnsi="Arial;sans-serif"/>
          <w:b w:val="false"/>
          <w:sz w:val="20"/>
        </w:rPr>
      </w:pPr>
      <w:r>
        <w:rPr>
          <w:rFonts w:ascii="Arial;sans-serif" w:hAnsi="Arial;sans-serif"/>
          <w:b w:val="false"/>
          <w:sz w:val="20"/>
        </w:rPr>
        <w:t>Supplemental information of unaudited pro forma operating results assuming the IPKeys acquisition had been consummated as of the beginning of fiscal year 2022 (in thousands) is as follows: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304"/>
        <w:gridCol w:w="146"/>
        <w:gridCol w:w="211"/>
        <w:gridCol w:w="961"/>
        <w:gridCol w:w="146"/>
        <w:gridCol w:w="146"/>
        <w:gridCol w:w="211"/>
        <w:gridCol w:w="961"/>
        <w:gridCol w:w="146"/>
        <w:gridCol w:w="146"/>
        <w:gridCol w:w="211"/>
        <w:gridCol w:w="961"/>
        <w:gridCol w:w="146"/>
        <w:gridCol w:w="146"/>
        <w:gridCol w:w="211"/>
        <w:gridCol w:w="961"/>
        <w:gridCol w:w="191"/>
      </w:tblGrid>
      <w:tr>
        <w:trPr/>
        <w:tc>
          <w:tcPr>
            <w:tcW w:w="4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 forma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1,356,486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1,011,689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2,532,807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1,963,865</w:t>
            </w:r>
          </w:p>
        </w:tc>
        <w:tc>
          <w:tcPr>
            <w:tcW w:w="191" w:type="dxa"/>
            <w:tcBorders/>
            <w:vAlign w:val="center"/>
          </w:tcPr>
          <w:p>
            <w:pPr>
              <w:pStyle w:val="TableContents"/>
              <w:bidi w:val="0"/>
              <w:spacing w:before="0" w:after="0"/>
              <w:ind w:left="0" w:right="0" w:hanging="0"/>
              <w:jc w:val="left"/>
              <w:rPr/>
            </w:pPr>
            <w:r>
              <w:rPr/>
              <w:t> </w:t>
            </w:r>
          </w:p>
        </w:tc>
      </w:tr>
      <w:tr>
        <w:trPr/>
        <w:tc>
          <w:tcPr>
            <w:tcW w:w="43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 forma Net Income including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44,338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Arial;sans-serif" w:hAnsi="Arial;sans-serif"/>
          <w:b/>
          <w:sz w:val="20"/>
        </w:rPr>
      </w:pPr>
      <w:r>
        <w:rPr>
          <w:rFonts w:ascii="Arial;sans-serif" w:hAnsi="Arial;sans-serif"/>
          <w:b/>
          <w:sz w:val="20"/>
        </w:rPr>
        <w:t>Xator Corporation</w:t>
      </w:r>
    </w:p>
    <w:p>
      <w:pPr>
        <w:pStyle w:val="TextBody"/>
        <w:bidi w:val="0"/>
        <w:spacing w:before="240" w:after="0"/>
        <w:jc w:val="left"/>
        <w:rPr>
          <w:rFonts w:ascii="Times New Roman" w:hAnsi="Times New Roman"/>
          <w:sz w:val="20"/>
        </w:rPr>
      </w:pPr>
      <w:r>
        <w:rPr>
          <w:rFonts w:ascii="Arial;sans-serif" w:hAnsi="Arial;sans-serif"/>
          <w:b w:val="false"/>
          <w:sz w:val="20"/>
        </w:rPr>
        <w:t>On May 31, 2022, the Company acquired a 100% ownership interest in Xator Corporation (“Xator”), a privately-owned company, for $387.5</w:t>
      </w:r>
      <w:r>
        <w:rPr>
          <w:rFonts w:ascii="Times New Roman" w:hAnsi="Times New Roman"/>
          <w:sz w:val="20"/>
        </w:rPr>
        <w:t xml:space="preserve"> </w:t>
      </w:r>
      <w:r>
        <w:rPr>
          <w:rFonts w:ascii="Arial;sans-serif" w:hAnsi="Arial;sans-serif"/>
          <w:b w:val="false"/>
          <w:sz w:val="20"/>
        </w:rPr>
        <w:t>million in cash. The Company borrowed $300</w:t>
      </w:r>
      <w:r>
        <w:rPr>
          <w:rFonts w:ascii="Times New Roman" w:hAnsi="Times New Roman"/>
          <w:sz w:val="20"/>
        </w:rPr>
        <w:t xml:space="preserve"> </w:t>
      </w:r>
      <w:r>
        <w:rPr>
          <w:rFonts w:ascii="Arial;sans-serif" w:hAnsi="Arial;sans-serif"/>
          <w:b w:val="false"/>
          <w:sz w:val="20"/>
        </w:rPr>
        <w:t>million under the Credit Agreement, as described in “Note 10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 In connection with this acquisition, the Company recognized $7.7</w:t>
      </w:r>
      <w:r>
        <w:rPr>
          <w:rFonts w:ascii="Times New Roman" w:hAnsi="Times New Roman"/>
          <w:sz w:val="20"/>
        </w:rPr>
        <w:t xml:space="preserve"> </w:t>
      </w:r>
      <w:r>
        <w:rPr>
          <w:rFonts w:ascii="Arial;sans-serif" w:hAnsi="Arial;sans-serif"/>
          <w:b w:val="false"/>
          <w:sz w:val="20"/>
        </w:rPr>
        <w:t>million of acquisition-related expenses in “Selling, general and administrative expense” in the consolidated statements of income for the year ended December 31, 2022, including legal fees, consulting fees, and other miscellaneous direct expenses associated with the acquisition.</w:t>
      </w:r>
    </w:p>
    <w:p>
      <w:pPr>
        <w:pStyle w:val="TextBody"/>
        <w:bidi w:val="0"/>
        <w:spacing w:before="240" w:after="0"/>
        <w:jc w:val="left"/>
        <w:rPr>
          <w:rFonts w:ascii="Arial;sans-serif" w:hAnsi="Arial;sans-serif"/>
          <w:b w:val="false"/>
          <w:sz w:val="20"/>
        </w:rPr>
      </w:pPr>
      <w:r>
        <w:rPr>
          <w:rFonts w:ascii="Arial;sans-serif" w:hAnsi="Arial;sans-serif"/>
          <w:b w:val="false"/>
          <w:sz w:val="20"/>
        </w:rPr>
        <w:t>The following table summarizes the estimated fair values of the assets acquired and liabilities assumed based on the purchase price allocation as of the date of acquisition (in thousands):</w:t>
      </w:r>
    </w:p>
    <w:p>
      <w:pPr>
        <w:pStyle w:val="TextBody"/>
        <w:bidi w:val="0"/>
        <w:spacing w:before="120" w:after="0"/>
        <w:jc w:val="left"/>
        <w:rPr/>
      </w:pPr>
      <w:r>
        <w:rPr/>
        <w:t> </w:t>
      </w:r>
    </w:p>
    <w:tbl>
      <w:tblPr>
        <w:tblW w:w="7150" w:type="dxa"/>
        <w:jc w:val="left"/>
        <w:tblInd w:w="0" w:type="dxa"/>
        <w:tblLayout w:type="fixed"/>
        <w:tblCellMar>
          <w:top w:w="28" w:type="dxa"/>
          <w:left w:w="28" w:type="dxa"/>
          <w:bottom w:w="28" w:type="dxa"/>
          <w:right w:w="28" w:type="dxa"/>
        </w:tblCellMar>
      </w:tblPr>
      <w:tblGrid>
        <w:gridCol w:w="5506"/>
        <w:gridCol w:w="146"/>
        <w:gridCol w:w="211"/>
        <w:gridCol w:w="796"/>
        <w:gridCol w:w="4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8,935</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7,393</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24,332</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3,615</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1,699</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Right of use assets, 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7,517</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257,934</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Investments in and advances to unconsolidated joint ventures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698</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123,500</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9,156</w:t>
            </w:r>
          </w:p>
        </w:tc>
        <w:tc>
          <w:tcPr>
            <w:tcW w:w="49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(6,626</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(31,309</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(2,631</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Short-term lease liabilities, 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(2,371</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lease liabilities, 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(5,146</w:t>
            </w:r>
          </w:p>
        </w:tc>
        <w:tc>
          <w:tcPr>
            <w:tcW w:w="4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(9,156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55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387,540</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Arial;sans-serif" w:hAnsi="Arial;sans-serif"/>
          <w:b w:val="false"/>
          <w:sz w:val="20"/>
        </w:rPr>
      </w:pPr>
      <w:r>
        <w:rPr>
          <w:rFonts w:ascii="Arial;sans-serif" w:hAnsi="Arial;sans-serif"/>
          <w:b w:val="false"/>
          <w:sz w:val="20"/>
        </w:rPr>
        <w:t>Of the total purchase price, the following values were assigned to intangible assets (in thousands, except for years):</w:t>
      </w:r>
    </w:p>
    <w:p>
      <w:pPr>
        <w:pStyle w:val="TextBody"/>
        <w:bidi w:val="0"/>
        <w:spacing w:before="120" w:after="0"/>
        <w:jc w:val="left"/>
        <w:rPr/>
      </w:pPr>
      <w:r>
        <w:rPr/>
        <w:t> </w:t>
      </w:r>
    </w:p>
    <w:tbl>
      <w:tblPr>
        <w:tblW w:w="4882" w:type="dxa"/>
        <w:jc w:val="left"/>
        <w:tblInd w:w="0" w:type="dxa"/>
        <w:tblLayout w:type="fixed"/>
        <w:tblCellMar>
          <w:top w:w="28" w:type="dxa"/>
          <w:left w:w="28" w:type="dxa"/>
          <w:bottom w:w="28" w:type="dxa"/>
          <w:right w:w="28" w:type="dxa"/>
        </w:tblCellMar>
      </w:tblPr>
      <w:tblGrid>
        <w:gridCol w:w="2356"/>
        <w:gridCol w:w="146"/>
        <w:gridCol w:w="211"/>
        <w:gridCol w:w="691"/>
        <w:gridCol w:w="146"/>
        <w:gridCol w:w="146"/>
        <w:gridCol w:w="118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Amortization</w:t>
              <w:br/>
              <w:t>Period</w:t>
            </w:r>
          </w:p>
        </w:tc>
      </w:tr>
      <w:tr>
        <w:trPr/>
        <w:tc>
          <w:tcPr>
            <w:tcW w:w="23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(in years)</w:t>
            </w:r>
          </w:p>
        </w:tc>
      </w:tr>
      <w:tr>
        <w:trPr/>
        <w:tc>
          <w:tcPr>
            <w:tcW w:w="23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w:t>
            </w:r>
          </w:p>
        </w:tc>
      </w:tr>
      <w:tr>
        <w:trPr/>
        <w:tc>
          <w:tcPr>
            <w:tcW w:w="23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Backlog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w:t>
            </w:r>
          </w:p>
        </w:tc>
      </w:tr>
      <w:tr>
        <w:trPr/>
        <w:tc>
          <w:tcPr>
            <w:tcW w:w="23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Trade name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w:t>
            </w:r>
          </w:p>
        </w:tc>
      </w:tr>
      <w:tr>
        <w:trPr/>
        <w:tc>
          <w:tcPr>
            <w:tcW w:w="23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Developed technologies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r>
      <w:tr>
        <w:trPr/>
        <w:tc>
          <w:tcPr>
            <w:tcW w:w="23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Non-compete agreements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w:t>
            </w:r>
          </w:p>
        </w:tc>
      </w:tr>
    </w:tbl>
    <w:p>
      <w:pPr>
        <w:pStyle w:val="TextBody"/>
        <w:bidi w:val="0"/>
        <w:spacing w:before="240" w:after="0"/>
        <w:jc w:val="left"/>
        <w:rPr>
          <w:rFonts w:ascii="Times New Roman" w:hAnsi="Times New Roman"/>
          <w:sz w:val="20"/>
        </w:rPr>
      </w:pPr>
      <w:r>
        <w:rPr>
          <w:rFonts w:ascii="Arial;sans-serif" w:hAnsi="Arial;sans-serif"/>
          <w:b w:val="false"/>
          <w:sz w:val="20"/>
        </w:rPr>
        <w:t>Amortization expense of $4.8</w:t>
      </w:r>
      <w:r>
        <w:rPr>
          <w:rFonts w:ascii="Times New Roman" w:hAnsi="Times New Roman"/>
          <w:sz w:val="20"/>
        </w:rPr>
        <w:t xml:space="preserve"> </w:t>
      </w:r>
      <w:r>
        <w:rPr>
          <w:rFonts w:ascii="Arial;sans-serif" w:hAnsi="Arial;sans-serif"/>
          <w:b w:val="false"/>
          <w:sz w:val="20"/>
        </w:rPr>
        <w:t>million and $9.9</w:t>
      </w:r>
      <w:r>
        <w:rPr>
          <w:rFonts w:ascii="Times New Roman" w:hAnsi="Times New Roman"/>
          <w:sz w:val="20"/>
        </w:rPr>
        <w:t xml:space="preserve"> </w:t>
      </w:r>
      <w:r>
        <w:rPr>
          <w:rFonts w:ascii="Arial;sans-serif" w:hAnsi="Arial;sans-serif"/>
          <w:b w:val="false"/>
          <w:sz w:val="20"/>
        </w:rPr>
        <w:t>million related to these intangible assets was recorded for the three and six months ended June 30, 2023, respectively and $1.6</w:t>
      </w:r>
      <w:r>
        <w:rPr>
          <w:rFonts w:ascii="Times New Roman" w:hAnsi="Times New Roman"/>
          <w:sz w:val="20"/>
        </w:rPr>
        <w:t xml:space="preserve"> </w:t>
      </w:r>
      <w:r>
        <w:rPr>
          <w:rFonts w:ascii="Arial;sans-serif" w:hAnsi="Arial;sans-serif"/>
          <w:b w:val="false"/>
          <w:sz w:val="20"/>
        </w:rPr>
        <w:t>million for both the three and six months ended June 30, 2022. The entire value of goodwill was assigned to the Federal Solutions reporting unit and represents synergies expected to be realized from this business combination. Goodwill in its entirety is deductible for tax purposes.</w:t>
      </w:r>
    </w:p>
    <w:p>
      <w:pPr>
        <w:pStyle w:val="TextBody"/>
        <w:bidi w:val="0"/>
        <w:spacing w:before="240" w:after="0"/>
        <w:jc w:val="center"/>
        <w:rPr>
          <w:rFonts w:ascii="Arial;sans-serif" w:hAnsi="Arial;sans-serif"/>
          <w:b w:val="false"/>
          <w:sz w:val="20"/>
        </w:rPr>
      </w:pPr>
      <w:r>
        <w:rPr>
          <w:rFonts w:ascii="Arial;sans-serif" w:hAnsi="Arial;sans-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The amount of revenue generated by Xator and included within consolidated revenues is $193.7</w:t>
      </w:r>
      <w:r>
        <w:rPr>
          <w:rFonts w:ascii="Times New Roman" w:hAnsi="Times New Roman"/>
          <w:sz w:val="20"/>
        </w:rPr>
        <w:t xml:space="preserve"> </w:t>
      </w:r>
      <w:r>
        <w:rPr>
          <w:rFonts w:ascii="Arial;sans-serif" w:hAnsi="Arial;sans-serif"/>
          <w:b w:val="false"/>
          <w:sz w:val="20"/>
        </w:rPr>
        <w:t>million and $306.2</w:t>
      </w:r>
      <w:r>
        <w:rPr>
          <w:rFonts w:ascii="Times New Roman" w:hAnsi="Times New Roman"/>
          <w:sz w:val="20"/>
        </w:rPr>
        <w:t xml:space="preserve"> </w:t>
      </w:r>
      <w:r>
        <w:rPr>
          <w:rFonts w:ascii="Arial;sans-serif" w:hAnsi="Arial;sans-serif"/>
          <w:b w:val="false"/>
          <w:sz w:val="20"/>
        </w:rPr>
        <w:t>million for the three and six months ended June 30, 2023, respectively and $20.8</w:t>
      </w:r>
      <w:r>
        <w:rPr>
          <w:rFonts w:ascii="Times New Roman" w:hAnsi="Times New Roman"/>
          <w:sz w:val="20"/>
        </w:rPr>
        <w:t xml:space="preserve"> </w:t>
      </w:r>
      <w:r>
        <w:rPr>
          <w:rFonts w:ascii="Arial;sans-serif" w:hAnsi="Arial;sans-serif"/>
          <w:b w:val="false"/>
          <w:sz w:val="20"/>
        </w:rPr>
        <w:t>million for both the three and six months ended June 30, 2022. The Company has determined that the presentation of net income from the date of acquisition is impracticable due to the integration of general corporate functions upon acquisition.</w:t>
      </w:r>
    </w:p>
    <w:p>
      <w:pPr>
        <w:pStyle w:val="TextBody"/>
        <w:bidi w:val="0"/>
        <w:spacing w:before="120" w:after="0"/>
        <w:jc w:val="left"/>
        <w:rPr>
          <w:rFonts w:ascii="Arial;sans-serif" w:hAnsi="Arial;sans-serif"/>
          <w:b/>
          <w:sz w:val="20"/>
        </w:rPr>
      </w:pPr>
      <w:r>
        <w:rPr>
          <w:rFonts w:ascii="Arial;sans-serif" w:hAnsi="Arial;sans-serif"/>
          <w:b/>
          <w:sz w:val="20"/>
        </w:rPr>
        <w:t>Supplemental Pro Forma Information (Unaudited)</w:t>
      </w:r>
    </w:p>
    <w:p>
      <w:pPr>
        <w:pStyle w:val="TextBody"/>
        <w:bidi w:val="0"/>
        <w:spacing w:before="240" w:after="0"/>
        <w:jc w:val="left"/>
        <w:rPr>
          <w:rFonts w:ascii="Arial;sans-serif" w:hAnsi="Arial;sans-serif"/>
          <w:b w:val="false"/>
          <w:sz w:val="20"/>
        </w:rPr>
      </w:pPr>
      <w:r>
        <w:rPr>
          <w:rFonts w:ascii="Arial;sans-serif" w:hAnsi="Arial;sans-serif"/>
          <w:b w:val="false"/>
          <w:sz w:val="20"/>
        </w:rPr>
        <w:t>Supplemental information of unaudited pro forma operating results assuming the Xator acquisition had been consummated as of the beginning of fiscal year 2021 (in thousands) is as follows: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304"/>
        <w:gridCol w:w="146"/>
        <w:gridCol w:w="211"/>
        <w:gridCol w:w="961"/>
        <w:gridCol w:w="146"/>
        <w:gridCol w:w="146"/>
        <w:gridCol w:w="211"/>
        <w:gridCol w:w="961"/>
        <w:gridCol w:w="146"/>
        <w:gridCol w:w="146"/>
        <w:gridCol w:w="211"/>
        <w:gridCol w:w="961"/>
        <w:gridCol w:w="146"/>
        <w:gridCol w:w="146"/>
        <w:gridCol w:w="211"/>
        <w:gridCol w:w="961"/>
        <w:gridCol w:w="191"/>
      </w:tblGrid>
      <w:tr>
        <w:trPr/>
        <w:tc>
          <w:tcPr>
            <w:tcW w:w="4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 forma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1,356,486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1,048,894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2,529,952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2,064,966</w:t>
            </w:r>
          </w:p>
        </w:tc>
        <w:tc>
          <w:tcPr>
            <w:tcW w:w="191" w:type="dxa"/>
            <w:tcBorders/>
            <w:vAlign w:val="center"/>
          </w:tcPr>
          <w:p>
            <w:pPr>
              <w:pStyle w:val="TableContents"/>
              <w:bidi w:val="0"/>
              <w:spacing w:before="0" w:after="0"/>
              <w:ind w:left="0" w:right="0" w:hanging="0"/>
              <w:jc w:val="left"/>
              <w:rPr/>
            </w:pPr>
            <w:r>
              <w:rPr/>
              <w:t> </w:t>
            </w:r>
          </w:p>
        </w:tc>
      </w:tr>
      <w:tr>
        <w:trPr/>
        <w:tc>
          <w:tcPr>
            <w:tcW w:w="43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 forma Net Income including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31,591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58,890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Arial" w:hAnsi="Arial"/>
          <w:b/>
          <w:sz w:val="20"/>
        </w:rPr>
      </w:pPr>
      <w:r>
        <w:rPr>
          <w:rFonts w:ascii="Arial" w:hAnsi="Arial"/>
          <w:b/>
          <w:sz w:val="20"/>
        </w:rPr>
        <w:t>5.</w:t>
      </w:r>
    </w:p>
    <w:p>
      <w:pPr>
        <w:pStyle w:val="TextBody"/>
        <w:bidi w:val="0"/>
        <w:spacing w:before="120" w:after="283"/>
        <w:jc w:val="left"/>
        <w:rPr>
          <w:rFonts w:ascii="Arial;sans-serif" w:hAnsi="Arial;sans-serif"/>
          <w:b/>
          <w:sz w:val="20"/>
        </w:rPr>
      </w:pPr>
      <w:r>
        <w:rPr>
          <w:rFonts w:ascii="Arial;sans-serif" w:hAnsi="Arial;sans-serif"/>
          <w:b/>
          <w:sz w:val="20"/>
        </w:rPr>
        <w:t xml:space="preserve">Contracts with Customers </w:t>
      </w:r>
    </w:p>
    <w:p>
      <w:pPr>
        <w:pStyle w:val="TextBody"/>
        <w:bidi w:val="0"/>
        <w:spacing w:before="120" w:after="0"/>
        <w:jc w:val="left"/>
        <w:rPr>
          <w:rFonts w:ascii="Times New Roman" w:hAnsi="Times New Roman"/>
          <w:sz w:val="20"/>
        </w:rPr>
      </w:pPr>
      <w:r>
        <w:rPr>
          <w:rFonts w:ascii="Arial;sans-serif" w:hAnsi="Arial;sans-serif"/>
          <w:b/>
          <w:i/>
          <w:sz w:val="20"/>
        </w:rPr>
        <w:t>Disaggregation of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 Company’s contracts contain both fixed-price and cost reimbursable components. Contract types are based on the component that represents the majority of the contract. The following table presents revenue disaggregated by contract type (in thousands):</w:t>
      </w:r>
      <w:r>
        <w:rPr>
          <w:rFonts w:ascii="Times New Roman" w:hAnsi="Times New Roman"/>
          <w:sz w:val="20"/>
        </w:rPr>
        <w:t xml:space="preserve"> </w:t>
      </w:r>
    </w:p>
    <w:p>
      <w:pPr>
        <w:pStyle w:val="TextBody"/>
        <w:bidi w:val="0"/>
        <w:spacing w:before="120" w:after="0"/>
        <w:jc w:val="left"/>
        <w:rPr/>
      </w:pPr>
      <w:r>
        <w:rPr/>
        <w:t> </w:t>
      </w:r>
    </w:p>
    <w:tbl>
      <w:tblPr>
        <w:tblW w:w="7967" w:type="dxa"/>
        <w:jc w:val="left"/>
        <w:tblInd w:w="0" w:type="dxa"/>
        <w:tblLayout w:type="fixed"/>
        <w:tblCellMar>
          <w:top w:w="28" w:type="dxa"/>
          <w:left w:w="28" w:type="dxa"/>
          <w:bottom w:w="28" w:type="dxa"/>
          <w:right w:w="28" w:type="dxa"/>
        </w:tblCellMar>
      </w:tblPr>
      <w:tblGrid>
        <w:gridCol w:w="1786"/>
        <w:gridCol w:w="146"/>
        <w:gridCol w:w="211"/>
        <w:gridCol w:w="961"/>
        <w:gridCol w:w="146"/>
        <w:gridCol w:w="146"/>
        <w:gridCol w:w="211"/>
        <w:gridCol w:w="961"/>
        <w:gridCol w:w="146"/>
        <w:gridCol w:w="146"/>
        <w:gridCol w:w="211"/>
        <w:gridCol w:w="961"/>
        <w:gridCol w:w="146"/>
        <w:gridCol w:w="146"/>
        <w:gridCol w:w="211"/>
        <w:gridCol w:w="961"/>
        <w:gridCol w:w="47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Fixed-Price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440,094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279,408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781,106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519,982</w:t>
            </w:r>
          </w:p>
        </w:tc>
        <w:tc>
          <w:tcPr>
            <w:tcW w:w="47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Time-and-Materials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324,033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642,348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534,645</w:t>
            </w:r>
          </w:p>
        </w:tc>
        <w:tc>
          <w:tcPr>
            <w:tcW w:w="47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Cost-Plus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592,359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457,983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1,106,498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903,163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178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1,356,486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1,008,721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2,529,952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1,957,790</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See “Note 18 – Segments Information” for the Company’s revenues by business lines.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i/>
          <w:sz w:val="20"/>
        </w:rPr>
        <w:t>Contract Assets and Contract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Contract assets and contract liabilities balances at June 30, 2023 and December 31, 2022 were as follows (in thousands):</w:t>
      </w:r>
      <w:r>
        <w:rPr>
          <w:rFonts w:ascii="Times New Roman" w:hAnsi="Times New Roman"/>
          <w:sz w:val="20"/>
        </w:rPr>
        <w:t xml:space="preserve"> </w:t>
      </w:r>
    </w:p>
    <w:p>
      <w:pPr>
        <w:pStyle w:val="TextBody"/>
        <w:bidi w:val="0"/>
        <w:spacing w:before="0" w:after="0"/>
        <w:jc w:val="left"/>
        <w:rPr/>
      </w:pPr>
      <w:r>
        <w:rPr/>
        <w:t> </w:t>
      </w:r>
    </w:p>
    <w:tbl>
      <w:tblPr>
        <w:tblW w:w="8952" w:type="dxa"/>
        <w:jc w:val="left"/>
        <w:tblInd w:w="0" w:type="dxa"/>
        <w:tblLayout w:type="fixed"/>
        <w:tblCellMar>
          <w:top w:w="28" w:type="dxa"/>
          <w:left w:w="28" w:type="dxa"/>
          <w:bottom w:w="28" w:type="dxa"/>
          <w:right w:w="28" w:type="dxa"/>
        </w:tblCellMar>
      </w:tblPr>
      <w:tblGrid>
        <w:gridCol w:w="3046"/>
        <w:gridCol w:w="146"/>
        <w:gridCol w:w="245"/>
        <w:gridCol w:w="925"/>
        <w:gridCol w:w="146"/>
        <w:gridCol w:w="146"/>
        <w:gridCol w:w="330"/>
        <w:gridCol w:w="1245"/>
        <w:gridCol w:w="146"/>
        <w:gridCol w:w="146"/>
        <w:gridCol w:w="211"/>
        <w:gridCol w:w="691"/>
        <w:gridCol w:w="166"/>
        <w:gridCol w:w="146"/>
        <w:gridCol w:w="206"/>
        <w:gridCol w:w="680"/>
        <w:gridCol w:w="33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 change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712,413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634,033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78,380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12.4</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292,404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213,064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79,340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0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contract assets (liabilities) (1)</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420,009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420,969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120" w:after="0"/>
        <w:jc w:val="left"/>
        <w:rPr>
          <w:rFonts w:ascii="Arial" w:hAnsi="Arial"/>
          <w:b w:val="false"/>
          <w:sz w:val="20"/>
        </w:rPr>
      </w:pPr>
      <w:r>
        <w:rPr>
          <w:rFonts w:ascii="Arial" w:hAnsi="Arial"/>
          <w:b w:val="false"/>
          <w:sz w:val="20"/>
        </w:rPr>
        <w:t>(1)</w:t>
      </w:r>
    </w:p>
    <w:p>
      <w:pPr>
        <w:pStyle w:val="TextBody"/>
        <w:bidi w:val="0"/>
        <w:spacing w:before="120" w:after="283"/>
        <w:jc w:val="left"/>
        <w:rPr>
          <w:rFonts w:ascii="Arial;sans-serif" w:hAnsi="Arial;sans-serif"/>
          <w:sz w:val="20"/>
        </w:rPr>
      </w:pPr>
      <w:r>
        <w:rPr>
          <w:rFonts w:ascii="Arial;sans-serif" w:hAnsi="Arial;sans-serif"/>
          <w:b w:val="false"/>
          <w:sz w:val="20"/>
        </w:rPr>
        <w:t>Total contract retentions included in net contract assets (liabilities) were $71.6</w:t>
      </w:r>
      <w:r>
        <w:rPr>
          <w:rFonts w:ascii="Arial;sans-serif" w:hAnsi="Arial;sans-serif"/>
          <w:sz w:val="20"/>
        </w:rPr>
        <w:t xml:space="preserve"> </w:t>
      </w:r>
      <w:r>
        <w:rPr>
          <w:rFonts w:ascii="Arial;sans-serif" w:hAnsi="Arial;sans-serif"/>
          <w:b w:val="false"/>
          <w:sz w:val="20"/>
        </w:rPr>
        <w:t>million</w:t>
      </w:r>
      <w:r>
        <w:rPr>
          <w:rFonts w:ascii="Arial;sans-serif" w:hAnsi="Arial;sans-serif"/>
          <w:sz w:val="20"/>
        </w:rPr>
        <w:t xml:space="preserve"> </w:t>
      </w:r>
      <w:r>
        <w:rPr>
          <w:rFonts w:ascii="Arial;sans-serif" w:hAnsi="Arial;sans-serif"/>
          <w:b w:val="false"/>
          <w:sz w:val="20"/>
        </w:rPr>
        <w:t>as of June 30, 2023, of which $36.5</w:t>
      </w:r>
      <w:r>
        <w:rPr>
          <w:rFonts w:ascii="Arial;sans-serif" w:hAnsi="Arial;sans-serif"/>
          <w:sz w:val="20"/>
        </w:rPr>
        <w:t xml:space="preserve"> </w:t>
      </w:r>
      <w:r>
        <w:rPr>
          <w:rFonts w:ascii="Arial;sans-serif" w:hAnsi="Arial;sans-serif"/>
          <w:b w:val="false"/>
          <w:sz w:val="20"/>
        </w:rPr>
        <w:t>million</w:t>
      </w:r>
      <w:r>
        <w:rPr>
          <w:rFonts w:ascii="Arial;sans-serif" w:hAnsi="Arial;sans-serif"/>
          <w:sz w:val="20"/>
        </w:rPr>
        <w:t xml:space="preserve"> </w:t>
      </w:r>
      <w:r>
        <w:rPr>
          <w:rFonts w:ascii="Arial;sans-serif" w:hAnsi="Arial;sans-serif"/>
          <w:b w:val="false"/>
          <w:sz w:val="20"/>
        </w:rPr>
        <w:t>are not expected to be paid in the next 12 months. Total contract retentions included in net contract assets (liabilities) were $73.5</w:t>
      </w:r>
      <w:r>
        <w:rPr>
          <w:rFonts w:ascii="Arial;sans-serif" w:hAnsi="Arial;sans-serif"/>
          <w:sz w:val="20"/>
        </w:rPr>
        <w:t xml:space="preserve"> </w:t>
      </w:r>
      <w:r>
        <w:rPr>
          <w:rFonts w:ascii="Arial;sans-serif" w:hAnsi="Arial;sans-serif"/>
          <w:b w:val="false"/>
          <w:sz w:val="20"/>
        </w:rPr>
        <w:t>million</w:t>
      </w:r>
      <w:r>
        <w:rPr>
          <w:rFonts w:ascii="Arial;sans-serif" w:hAnsi="Arial;sans-serif"/>
          <w:sz w:val="20"/>
        </w:rPr>
        <w:t xml:space="preserve"> </w:t>
      </w:r>
      <w:r>
        <w:rPr>
          <w:rFonts w:ascii="Arial;sans-serif" w:hAnsi="Arial;sans-serif"/>
          <w:b w:val="false"/>
          <w:sz w:val="20"/>
        </w:rPr>
        <w:t>as of December 31, 2022. Contract assets at June 30, 2023 and December 31, 2022 include $107.5</w:t>
      </w:r>
      <w:r>
        <w:rPr>
          <w:rFonts w:ascii="Arial;sans-serif" w:hAnsi="Arial;sans-serif"/>
          <w:sz w:val="20"/>
        </w:rPr>
        <w:t xml:space="preserve"> </w:t>
      </w:r>
      <w:r>
        <w:rPr>
          <w:rFonts w:ascii="Arial;sans-serif" w:hAnsi="Arial;sans-serif"/>
          <w:b w:val="false"/>
          <w:sz w:val="20"/>
        </w:rPr>
        <w:t>million</w:t>
      </w:r>
      <w:r>
        <w:rPr>
          <w:rFonts w:ascii="Arial;sans-serif" w:hAnsi="Arial;sans-serif"/>
          <w:sz w:val="20"/>
        </w:rPr>
        <w:t xml:space="preserve"> </w:t>
      </w:r>
      <w:r>
        <w:rPr>
          <w:rFonts w:ascii="Arial;sans-serif" w:hAnsi="Arial;sans-serif"/>
          <w:b w:val="false"/>
          <w:sz w:val="20"/>
        </w:rPr>
        <w:t>and</w:t>
      </w:r>
      <w:r>
        <w:rPr>
          <w:rFonts w:ascii="Arial;sans-serif" w:hAnsi="Arial;sans-serif"/>
          <w:sz w:val="20"/>
        </w:rPr>
        <w:t xml:space="preserve"> </w:t>
      </w:r>
      <w:r>
        <w:rPr>
          <w:rFonts w:ascii="Arial;sans-serif" w:hAnsi="Arial;sans-serif"/>
          <w:b w:val="false"/>
          <w:sz w:val="20"/>
        </w:rPr>
        <w:t>$95.7</w:t>
      </w:r>
      <w:r>
        <w:rPr>
          <w:rFonts w:ascii="Arial;sans-serif" w:hAnsi="Arial;sans-serif"/>
          <w:sz w:val="20"/>
        </w:rPr>
        <w:t xml:space="preserve"> </w:t>
      </w:r>
      <w:r>
        <w:rPr>
          <w:rFonts w:ascii="Arial;sans-serif" w:hAnsi="Arial;sans-serif"/>
          <w:b w:val="false"/>
          <w:sz w:val="20"/>
        </w:rPr>
        <w:t xml:space="preserve">million, respectively, related to net claim recovery estimates. For the three and six months ended June 30, 2023 and June 30, 2022, there were no material losses recognized related to the collectability of claims, unapproved change orders, and requests for equitable adjustment. </w:t>
      </w:r>
    </w:p>
    <w:p>
      <w:pPr>
        <w:pStyle w:val="TextBody"/>
        <w:bidi w:val="0"/>
        <w:spacing w:before="240" w:after="0"/>
        <w:jc w:val="left"/>
        <w:rPr>
          <w:rFonts w:ascii="Times New Roman" w:hAnsi="Times New Roman"/>
          <w:sz w:val="20"/>
        </w:rPr>
      </w:pPr>
      <w:r>
        <w:rPr>
          <w:rFonts w:ascii="Arial;sans-serif" w:hAnsi="Arial;sans-serif"/>
          <w:b w:val="false"/>
          <w:sz w:val="20"/>
        </w:rPr>
        <w:t>During the three months ended June 30, 2023 and June 30, 2022, the Company recognized revenue of $29.6</w:t>
      </w:r>
      <w:r>
        <w:rPr>
          <w:rFonts w:ascii="Times New Roman" w:hAnsi="Times New Roman"/>
          <w:sz w:val="20"/>
        </w:rPr>
        <w:t xml:space="preserve"> </w:t>
      </w:r>
      <w:r>
        <w:rPr>
          <w:rFonts w:ascii="Arial;sans-serif" w:hAnsi="Arial;sans-serif"/>
          <w:b w:val="false"/>
          <w:sz w:val="20"/>
        </w:rPr>
        <w:t>million and $18.6</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r>
        <w:rPr>
          <w:rFonts w:ascii="Arial;sans-serif" w:hAnsi="Arial;sans-serif"/>
          <w:b w:val="false"/>
          <w:sz w:val="20"/>
        </w:rPr>
        <w:t>and $107.7</w:t>
      </w:r>
      <w:r>
        <w:rPr>
          <w:rFonts w:ascii="Times New Roman" w:hAnsi="Times New Roman"/>
          <w:sz w:val="20"/>
        </w:rPr>
        <w:t xml:space="preserve"> </w:t>
      </w:r>
      <w:r>
        <w:rPr>
          <w:rFonts w:ascii="Arial;sans-serif" w:hAnsi="Arial;sans-serif"/>
          <w:b w:val="false"/>
          <w:sz w:val="20"/>
        </w:rPr>
        <w:t>million and $81.7</w:t>
      </w:r>
      <w:r>
        <w:rPr>
          <w:rFonts w:ascii="Times New Roman" w:hAnsi="Times New Roman"/>
          <w:sz w:val="20"/>
        </w:rPr>
        <w:t xml:space="preserve"> </w:t>
      </w:r>
      <w:r>
        <w:rPr>
          <w:rFonts w:ascii="Arial;sans-serif" w:hAnsi="Arial;sans-serif"/>
          <w:b w:val="false"/>
          <w:sz w:val="20"/>
        </w:rPr>
        <w:t xml:space="preserve">million during the six months ended June 30, 2023 and June 30, 2022, respectively, that was included in the corresponding contract liability balances at December 31, 2022 and December 31, 2021, respectively. Certain changes in contract assets and contract liabilities consisted of the following: </w:t>
      </w:r>
    </w:p>
    <w:p>
      <w:pPr>
        <w:pStyle w:val="TextBody"/>
        <w:bidi w:val="0"/>
        <w:spacing w:before="240" w:after="0"/>
        <w:jc w:val="center"/>
        <w:rPr>
          <w:rFonts w:ascii="Arial;sans-serif" w:hAnsi="Arial;sans-serif"/>
          <w:b w:val="false"/>
          <w:sz w:val="20"/>
        </w:rPr>
      </w:pPr>
      <w:r>
        <w:rPr>
          <w:rFonts w:ascii="Arial;sans-serif" w:hAnsi="Arial;sans-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855" w:type="dxa"/>
        <w:jc w:val="left"/>
        <w:tblInd w:w="0" w:type="dxa"/>
        <w:tblLayout w:type="fixed"/>
        <w:tblCellMar>
          <w:top w:w="28" w:type="dxa"/>
          <w:left w:w="28" w:type="dxa"/>
          <w:bottom w:w="28" w:type="dxa"/>
          <w:right w:w="28" w:type="dxa"/>
        </w:tblCellMar>
      </w:tblPr>
      <w:tblGrid>
        <w:gridCol w:w="2461"/>
        <w:gridCol w:w="146"/>
        <w:gridCol w:w="310"/>
        <w:gridCol w:w="860"/>
        <w:gridCol w:w="166"/>
        <w:gridCol w:w="146"/>
        <w:gridCol w:w="368"/>
        <w:gridCol w:w="1207"/>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Acquired contract assets</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25,397</w:t>
            </w:r>
          </w:p>
        </w:tc>
        <w:tc>
          <w:tcPr>
            <w:tcW w:w="191" w:type="dxa"/>
            <w:tcBorders/>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Acquired contract liabilities</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12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There was no</w:t>
      </w:r>
      <w:r>
        <w:rPr>
          <w:rFonts w:ascii="Times New Roman" w:hAnsi="Times New Roman"/>
          <w:sz w:val="20"/>
        </w:rPr>
        <w:t xml:space="preserve"> </w:t>
      </w:r>
      <w:r>
        <w:rPr>
          <w:rFonts w:ascii="Arial;sans-serif" w:hAnsi="Arial;sans-serif"/>
          <w:b w:val="false"/>
          <w:sz w:val="20"/>
        </w:rPr>
        <w:t>significant impairment of contract assets recognized during the six months ended June 30, 2023 and June 30, 2022.</w:t>
      </w:r>
      <w:r>
        <w:rPr>
          <w:rFonts w:ascii="Times New Roman" w:hAnsi="Times New Roman"/>
          <w:sz w:val="20"/>
        </w:rPr>
        <w:t xml:space="preserve"> </w:t>
      </w:r>
    </w:p>
    <w:p>
      <w:pPr>
        <w:pStyle w:val="TextBody"/>
        <w:bidi w:val="0"/>
        <w:spacing w:before="240" w:after="0"/>
        <w:jc w:val="left"/>
        <w:rPr>
          <w:rFonts w:ascii="Arial;sans-serif" w:hAnsi="Arial;sans-serif"/>
          <w:sz w:val="24"/>
        </w:rPr>
      </w:pPr>
      <w:r>
        <w:rPr>
          <w:rFonts w:ascii="Arial;sans-serif" w:hAnsi="Arial;sans-serif"/>
          <w:b w:val="false"/>
          <w:sz w:val="20"/>
        </w:rPr>
        <w:t>Revisions in estimates, such as changes in estimated claims or incentives, related to performance obligations partially satisfied in previous periods that individually had an impact of $5</w:t>
      </w:r>
      <w:r>
        <w:rPr>
          <w:rFonts w:ascii="Arial;sans-serif" w:hAnsi="Arial;sans-serif"/>
          <w:sz w:val="24"/>
        </w:rPr>
        <w:t xml:space="preserve"> </w:t>
      </w:r>
      <w:r>
        <w:rPr>
          <w:rFonts w:ascii="Arial;sans-serif" w:hAnsi="Arial;sans-serif"/>
          <w:b w:val="false"/>
          <w:sz w:val="20"/>
        </w:rPr>
        <w:t>million or more on revenue resulted in the following changes in revenue:</w:t>
      </w:r>
    </w:p>
    <w:p>
      <w:pPr>
        <w:pStyle w:val="TextBody"/>
        <w:bidi w:val="0"/>
        <w:spacing w:before="0" w:after="0"/>
        <w:jc w:val="left"/>
        <w:rPr/>
      </w:pPr>
      <w:r>
        <w:rPr/>
        <w:t> </w:t>
      </w:r>
    </w:p>
    <w:tbl>
      <w:tblPr>
        <w:tblW w:w="7848" w:type="dxa"/>
        <w:jc w:val="left"/>
        <w:tblInd w:w="0" w:type="dxa"/>
        <w:tblLayout w:type="fixed"/>
        <w:tblCellMar>
          <w:top w:w="28" w:type="dxa"/>
          <w:left w:w="28" w:type="dxa"/>
          <w:bottom w:w="28" w:type="dxa"/>
          <w:right w:w="28" w:type="dxa"/>
        </w:tblCellMar>
      </w:tblPr>
      <w:tblGrid>
        <w:gridCol w:w="1921"/>
        <w:gridCol w:w="146"/>
        <w:gridCol w:w="273"/>
        <w:gridCol w:w="897"/>
        <w:gridCol w:w="163"/>
        <w:gridCol w:w="163"/>
        <w:gridCol w:w="653"/>
        <w:gridCol w:w="517"/>
        <w:gridCol w:w="146"/>
        <w:gridCol w:w="146"/>
        <w:gridCol w:w="273"/>
        <w:gridCol w:w="897"/>
        <w:gridCol w:w="146"/>
        <w:gridCol w:w="146"/>
        <w:gridCol w:w="653"/>
        <w:gridCol w:w="517"/>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 impact, net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20,168</w:t>
            </w:r>
          </w:p>
        </w:tc>
        <w:tc>
          <w:tcPr>
            <w:tcW w:w="163" w:type="dxa"/>
            <w:tcBorders/>
            <w:vAlign w:val="center"/>
          </w:tcPr>
          <w:p>
            <w:pPr>
              <w:pStyle w:val="TableContents"/>
              <w:bidi w:val="0"/>
              <w:spacing w:before="0" w:after="0"/>
              <w:ind w:left="0" w:right="0" w:hanging="0"/>
              <w:jc w:val="left"/>
              <w:rPr/>
            </w:pPr>
            <w:r>
              <w:rPr/>
              <w:t> </w:t>
            </w:r>
          </w:p>
        </w:tc>
        <w:tc>
          <w:tcPr>
            <w:tcW w:w="163"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1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Arial;sans-serif" w:hAnsi="Arial;sans-serif"/>
          <w:b w:val="false"/>
          <w:sz w:val="20"/>
        </w:rPr>
        <w:t>In addition to the revenue impacts in the table above, there was a change in estimate impact to direct costs of contracts of $24.7</w:t>
      </w:r>
      <w:r>
        <w:rPr>
          <w:rFonts w:ascii="Times New Roman" w:hAnsi="Times New Roman"/>
          <w:sz w:val="20"/>
        </w:rPr>
        <w:t xml:space="preserve"> </w:t>
      </w:r>
      <w:r>
        <w:rPr>
          <w:rFonts w:ascii="Arial;sans-serif" w:hAnsi="Arial;sans-serif"/>
          <w:b w:val="false"/>
          <w:sz w:val="20"/>
        </w:rPr>
        <w:t>million for both the three and six months ended June 30, 2023, related to a write-down on a contract in the Critical Infrastructure segment. This same contract had a $4.0</w:t>
      </w:r>
      <w:r>
        <w:rPr>
          <w:rFonts w:ascii="Times New Roman" w:hAnsi="Times New Roman"/>
          <w:sz w:val="20"/>
        </w:rPr>
        <w:t xml:space="preserve"> </w:t>
      </w:r>
      <w:r>
        <w:rPr>
          <w:rFonts w:ascii="Arial;sans-serif" w:hAnsi="Arial;sans-serif"/>
          <w:b w:val="false"/>
          <w:sz w:val="20"/>
        </w:rPr>
        <w:t>million revenue impact for a net $20.7</w:t>
      </w:r>
      <w:r>
        <w:rPr>
          <w:rFonts w:ascii="Times New Roman" w:hAnsi="Times New Roman"/>
          <w:sz w:val="20"/>
        </w:rPr>
        <w:t xml:space="preserve"> </w:t>
      </w:r>
      <w:r>
        <w:rPr>
          <w:rFonts w:ascii="Arial;sans-serif" w:hAnsi="Arial;sans-serif"/>
          <w:b w:val="false"/>
          <w:sz w:val="20"/>
        </w:rPr>
        <w:t>million impact. These cost and revenue adjustments decreased operating income by $0.6</w:t>
      </w:r>
      <w:r>
        <w:rPr>
          <w:rFonts w:ascii="Times New Roman" w:hAnsi="Times New Roman"/>
          <w:sz w:val="20"/>
        </w:rPr>
        <w:t xml:space="preserve"> </w:t>
      </w:r>
      <w:r>
        <w:rPr>
          <w:rFonts w:ascii="Arial;sans-serif" w:hAnsi="Arial;sans-serif"/>
          <w:b w:val="false"/>
          <w:sz w:val="20"/>
        </w:rPr>
        <w:t>million and $1.1</w:t>
      </w:r>
      <w:r>
        <w:rPr>
          <w:rFonts w:ascii="Times New Roman" w:hAnsi="Times New Roman"/>
          <w:sz w:val="20"/>
        </w:rPr>
        <w:t xml:space="preserve"> </w:t>
      </w:r>
      <w:r>
        <w:rPr>
          <w:rFonts w:ascii="Arial;sans-serif" w:hAnsi="Arial;sans-serif"/>
          <w:b w:val="false"/>
          <w:sz w:val="20"/>
        </w:rPr>
        <w:t>million, net income by $0.5</w:t>
      </w:r>
      <w:r>
        <w:rPr>
          <w:rFonts w:ascii="Times New Roman" w:hAnsi="Times New Roman"/>
          <w:sz w:val="20"/>
        </w:rPr>
        <w:t xml:space="preserve"> </w:t>
      </w:r>
      <w:r>
        <w:rPr>
          <w:rFonts w:ascii="Arial;sans-serif" w:hAnsi="Arial;sans-serif"/>
          <w:b w:val="false"/>
          <w:sz w:val="20"/>
        </w:rPr>
        <w:t>million and $0.8</w:t>
      </w:r>
      <w:r>
        <w:rPr>
          <w:rFonts w:ascii="Times New Roman" w:hAnsi="Times New Roman"/>
          <w:sz w:val="20"/>
        </w:rPr>
        <w:t xml:space="preserve"> </w:t>
      </w:r>
      <w:r>
        <w:rPr>
          <w:rFonts w:ascii="Arial;sans-serif" w:hAnsi="Arial;sans-serif"/>
          <w:b w:val="false"/>
          <w:sz w:val="20"/>
        </w:rPr>
        <w:t>million and diluted earnings per share of $0.00</w:t>
      </w:r>
      <w:r>
        <w:rPr>
          <w:rFonts w:ascii="Times New Roman" w:hAnsi="Times New Roman"/>
          <w:sz w:val="20"/>
        </w:rPr>
        <w:t xml:space="preserve"> </w:t>
      </w:r>
      <w:r>
        <w:rPr>
          <w:rFonts w:ascii="Arial;sans-serif" w:hAnsi="Arial;sans-serif"/>
          <w:b w:val="false"/>
          <w:sz w:val="20"/>
        </w:rPr>
        <w:t>and $0.01</w:t>
      </w:r>
      <w:r>
        <w:rPr>
          <w:rFonts w:ascii="Times New Roman" w:hAnsi="Times New Roman"/>
          <w:sz w:val="20"/>
        </w:rPr>
        <w:t xml:space="preserve"> </w:t>
      </w:r>
      <w:r>
        <w:rPr>
          <w:rFonts w:ascii="Arial;sans-serif" w:hAnsi="Arial;sans-serif"/>
          <w:b w:val="false"/>
          <w:sz w:val="20"/>
        </w:rPr>
        <w:t>for the three and six months ended June 30, 2023, respectively.</w:t>
      </w:r>
    </w:p>
    <w:p>
      <w:pPr>
        <w:pStyle w:val="TextBody"/>
        <w:bidi w:val="0"/>
        <w:spacing w:before="240" w:after="0"/>
        <w:jc w:val="left"/>
        <w:rPr>
          <w:rFonts w:ascii="Arial;sans-serif" w:hAnsi="Arial;sans-serif"/>
          <w:b/>
          <w:i/>
          <w:sz w:val="20"/>
        </w:rPr>
      </w:pPr>
      <w:r>
        <w:rPr>
          <w:rFonts w:ascii="Arial;sans-serif" w:hAnsi="Arial;sans-serif"/>
          <w:b/>
          <w:i/>
          <w:sz w:val="20"/>
        </w:rPr>
        <w:t>Accounts Receivable, net</w:t>
      </w:r>
    </w:p>
    <w:p>
      <w:pPr>
        <w:pStyle w:val="TextBody"/>
        <w:bidi w:val="0"/>
        <w:spacing w:before="120" w:after="0"/>
        <w:jc w:val="left"/>
        <w:rPr>
          <w:rFonts w:ascii="Times New Roman" w:hAnsi="Times New Roman"/>
          <w:sz w:val="20"/>
        </w:rPr>
      </w:pPr>
      <w:r>
        <w:rPr>
          <w:rFonts w:ascii="Arial;sans-serif" w:hAnsi="Arial;sans-serif"/>
          <w:b w:val="false"/>
          <w:sz w:val="20"/>
        </w:rPr>
        <w:t>Accounts receivable, net consisted of the following as of June 30, 2023 and December 31, 2022 (in thousands):</w:t>
      </w:r>
      <w:r>
        <w:rPr>
          <w:rFonts w:ascii="Times New Roman" w:hAnsi="Times New Roman"/>
          <w:sz w:val="20"/>
        </w:rPr>
        <w:t xml:space="preserve"> </w:t>
      </w:r>
    </w:p>
    <w:p>
      <w:pPr>
        <w:pStyle w:val="TextBody"/>
        <w:bidi w:val="0"/>
        <w:spacing w:before="120" w:after="0"/>
        <w:jc w:val="left"/>
        <w:rPr/>
      </w:pPr>
      <w:r>
        <w:rPr/>
        <w:t> </w:t>
      </w:r>
    </w:p>
    <w:tbl>
      <w:tblPr>
        <w:tblW w:w="5819" w:type="dxa"/>
        <w:jc w:val="left"/>
        <w:tblInd w:w="0" w:type="dxa"/>
        <w:tblLayout w:type="fixed"/>
        <w:tblCellMar>
          <w:top w:w="28" w:type="dxa"/>
          <w:left w:w="28" w:type="dxa"/>
          <w:bottom w:w="28" w:type="dxa"/>
          <w:right w:w="28" w:type="dxa"/>
        </w:tblCellMar>
      </w:tblPr>
      <w:tblGrid>
        <w:gridCol w:w="3136"/>
        <w:gridCol w:w="146"/>
        <w:gridCol w:w="211"/>
        <w:gridCol w:w="796"/>
        <w:gridCol w:w="166"/>
        <w:gridCol w:w="146"/>
        <w:gridCol w:w="211"/>
        <w:gridCol w:w="796"/>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Billed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649,866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502,411</w:t>
            </w:r>
          </w:p>
        </w:tc>
        <w:tc>
          <w:tcPr>
            <w:tcW w:w="211"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Unbilled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303,730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218,945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pPr>
            <w:r>
              <w:rPr/>
              <w:t>   </w:t>
            </w:r>
            <w:r>
              <w:rPr>
                <w:rFonts w:ascii="Arial;sans-serif" w:hAnsi="Arial;sans-serif"/>
                <w:b w:val="false"/>
                <w:sz w:val="20"/>
              </w:rPr>
              <w:t>Total accounts receivable, gross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953,596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721,356</w:t>
            </w:r>
          </w:p>
        </w:tc>
        <w:tc>
          <w:tcPr>
            <w:tcW w:w="211" w:type="dxa"/>
            <w:tcBorders/>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Allowance for doubtful accounts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136" w:type="dxa"/>
            <w:tcBorders/>
            <w:vAlign w:val="center"/>
          </w:tcPr>
          <w:p>
            <w:pPr>
              <w:pStyle w:val="TableContents"/>
              <w:bidi w:val="0"/>
              <w:spacing w:before="0" w:after="0"/>
              <w:ind w:left="0" w:right="0" w:hanging="0"/>
              <w:jc w:val="left"/>
              <w:rPr/>
            </w:pPr>
            <w:r>
              <w:rPr/>
              <w:t>   </w:t>
            </w:r>
            <w:r>
              <w:rPr>
                <w:rFonts w:ascii="Arial;sans-serif" w:hAnsi="Arial;sans-serif"/>
                <w:b w:val="false"/>
                <w:sz w:val="20"/>
              </w:rPr>
              <w:t>Total 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949,493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717,345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val="false"/>
          <w:i/>
          <w:sz w:val="20"/>
        </w:rPr>
        <w:t>Transaction Price Allocated to the Remaining Unsatisfied Performance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 Company’s remaining unsatisfied performance obligations (“RUPO”) as of June 30, 2023 represent a measure of the total dollar value of work to be performed on contracts awarded and in-progress. The Company had $6.0</w:t>
      </w:r>
      <w:r>
        <w:rPr>
          <w:rFonts w:ascii="Times New Roman" w:hAnsi="Times New Roman"/>
          <w:sz w:val="20"/>
        </w:rPr>
        <w:t xml:space="preserve"> </w:t>
      </w:r>
      <w:r>
        <w:rPr>
          <w:rFonts w:ascii="Arial;sans-serif" w:hAnsi="Arial;sans-serif"/>
          <w:b w:val="false"/>
          <w:sz w:val="20"/>
        </w:rPr>
        <w:t>billion</w:t>
      </w:r>
      <w:r>
        <w:rPr>
          <w:rFonts w:ascii="Times New Roman" w:hAnsi="Times New Roman"/>
          <w:sz w:val="20"/>
        </w:rPr>
        <w:t xml:space="preserve"> </w:t>
      </w:r>
      <w:r>
        <w:rPr>
          <w:rFonts w:ascii="Arial;sans-serif" w:hAnsi="Arial;sans-serif"/>
          <w:b w:val="false"/>
          <w:sz w:val="20"/>
        </w:rPr>
        <w:t>in RUPO as of June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determined that it has a legal basis under existing contractual arrangements and a significant reversal of revenue is not probable, less revenue recognized to-date.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Company expects to satisfy its RUPO as of June 30, 2023 over the following periods (in thousands):</w:t>
      </w:r>
      <w:r>
        <w:rPr>
          <w:rFonts w:ascii="Times New Roman" w:hAnsi="Times New Roman"/>
          <w:sz w:val="20"/>
        </w:rPr>
        <w:t xml:space="preserve"> </w:t>
      </w:r>
    </w:p>
    <w:p>
      <w:pPr>
        <w:pStyle w:val="TextBody"/>
        <w:bidi w:val="0"/>
        <w:spacing w:before="0" w:after="0"/>
        <w:jc w:val="left"/>
        <w:rPr/>
      </w:pPr>
      <w:r>
        <w:rPr/>
        <w:t> </w:t>
      </w:r>
    </w:p>
    <w:tbl>
      <w:tblPr>
        <w:tblW w:w="7209" w:type="dxa"/>
        <w:jc w:val="left"/>
        <w:tblInd w:w="0" w:type="dxa"/>
        <w:tblLayout w:type="fixed"/>
        <w:tblCellMar>
          <w:top w:w="28" w:type="dxa"/>
          <w:left w:w="28" w:type="dxa"/>
          <w:bottom w:w="28" w:type="dxa"/>
          <w:right w:w="28" w:type="dxa"/>
        </w:tblCellMar>
      </w:tblPr>
      <w:tblGrid>
        <w:gridCol w:w="2536"/>
        <w:gridCol w:w="146"/>
        <w:gridCol w:w="248"/>
        <w:gridCol w:w="1132"/>
        <w:gridCol w:w="146"/>
        <w:gridCol w:w="146"/>
        <w:gridCol w:w="216"/>
        <w:gridCol w:w="984"/>
        <w:gridCol w:w="146"/>
        <w:gridCol w:w="146"/>
        <w:gridCol w:w="211"/>
        <w:gridCol w:w="96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 </w:t>
            </w:r>
            <w:r>
              <w:rPr>
                <w:rFonts w:ascii="Arial;sans-serif" w:hAnsi="Arial;sans-serif"/>
                <w:b/>
                <w:sz w:val="16"/>
              </w:rPr>
              <w:t>Period RUPO Will Be Satisfied</w:t>
            </w:r>
          </w:p>
        </w:tc>
        <w:tc>
          <w:tcPr>
            <w:tcW w:w="146" w:type="dxa"/>
            <w:tcBorders/>
            <w:vAlign w:val="center"/>
          </w:tcPr>
          <w:p>
            <w:pPr>
              <w:pStyle w:val="TableContents"/>
              <w:bidi w:val="0"/>
              <w:spacing w:before="0" w:after="0"/>
              <w:ind w:left="0" w:right="0" w:hanging="0"/>
              <w:jc w:val="center"/>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Within One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Within One to</w:t>
              <w:br/>
              <w:t>Two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Thereafter</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pPr>
            <w:r>
              <w:rPr/>
              <w:t> </w:t>
            </w:r>
            <w:r>
              <w:rPr>
                <w:rFonts w:ascii="Arial;sans-serif" w:hAnsi="Arial;sans-serif"/>
                <w:b w:val="false"/>
                <w:sz w:val="20"/>
              </w:rPr>
              <w:t>Federal Solutions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1,453,480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330,069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316,720</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pPr>
            <w:r>
              <w:rPr/>
              <w:t> </w:t>
            </w:r>
            <w:r>
              <w:rPr>
                <w:rFonts w:ascii="Arial;sans-serif" w:hAnsi="Arial;sans-serif"/>
                <w:b w:val="false"/>
                <w:sz w:val="20"/>
              </w:rPr>
              <w:t>Critical Infrastructure</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1,846,139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964,377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1,123,973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pPr>
            <w:r>
              <w:rPr/>
              <w:t>    </w:t>
            </w: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3,299,619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1,294,446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1,440,693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Arial" w:hAnsi="Arial"/>
          <w:b/>
          <w:sz w:val="20"/>
        </w:rPr>
      </w:pPr>
      <w:r>
        <w:rPr>
          <w:rFonts w:ascii="Arial" w:hAnsi="Arial"/>
          <w:b/>
          <w:sz w:val="20"/>
        </w:rPr>
        <w:t>6.</w:t>
      </w:r>
    </w:p>
    <w:p>
      <w:pPr>
        <w:pStyle w:val="TextBody"/>
        <w:bidi w:val="0"/>
        <w:spacing w:before="120" w:after="283"/>
        <w:jc w:val="left"/>
        <w:rPr>
          <w:rFonts w:ascii="Arial;sans-serif" w:hAnsi="Arial;sans-serif"/>
          <w:b/>
          <w:sz w:val="20"/>
        </w:rPr>
      </w:pPr>
      <w:r>
        <w:rPr>
          <w:rFonts w:ascii="Arial;sans-serif" w:hAnsi="Arial;sans-serif"/>
          <w:b/>
          <w:sz w:val="20"/>
        </w:rPr>
        <w:t>Leases</w:t>
      </w:r>
    </w:p>
    <w:p>
      <w:pPr>
        <w:pStyle w:val="TextBody"/>
        <w:bidi w:val="0"/>
        <w:spacing w:before="120" w:after="0"/>
        <w:jc w:val="left"/>
        <w:rPr>
          <w:rFonts w:ascii="Arial;sans-serif" w:hAnsi="Arial;sans-serif"/>
          <w:sz w:val="20"/>
        </w:rPr>
      </w:pPr>
      <w:r>
        <w:rPr>
          <w:rFonts w:ascii="Arial;sans-serif" w:hAnsi="Arial;sans-serif"/>
          <w:b w:val="false"/>
          <w:sz w:val="20"/>
        </w:rPr>
        <w:t>The Company has operating and finance leases for corporate and project office spaces, vehicles, heavy machinery and office equipment. Our leases have remaining lease terms of one to</w:t>
      </w:r>
      <w:r>
        <w:rPr>
          <w:rFonts w:ascii="Arial;sans-serif" w:hAnsi="Arial;sans-serif"/>
          <w:sz w:val="20"/>
        </w:rPr>
        <w:t xml:space="preserve"> </w:t>
      </w:r>
      <w:r>
        <w:rPr>
          <w:rFonts w:ascii="Arial;sans-serif" w:hAnsi="Arial;sans-serif"/>
          <w:b w:val="false"/>
          <w:sz w:val="20"/>
        </w:rPr>
        <w:t>nine years, some of which may include options to extend</w:t>
      </w:r>
      <w:r>
        <w:rPr>
          <w:rFonts w:ascii="Arial;sans-serif" w:hAnsi="Arial;sans-serif"/>
          <w:sz w:val="20"/>
        </w:rPr>
        <w:t xml:space="preserve"> </w:t>
      </w:r>
      <w:r>
        <w:rPr>
          <w:rFonts w:ascii="Arial;sans-serif" w:hAnsi="Arial;sans-serif"/>
          <w:b w:val="false"/>
          <w:sz w:val="20"/>
        </w:rPr>
        <w:t>the leases for up to five years, and some of which may include options to terminate</w:t>
      </w:r>
      <w:r>
        <w:rPr>
          <w:rFonts w:ascii="Arial;sans-serif" w:hAnsi="Arial;sans-serif"/>
          <w:sz w:val="20"/>
        </w:rPr>
        <w:t xml:space="preserve"> </w:t>
      </w:r>
      <w:r>
        <w:rPr>
          <w:rFonts w:ascii="Arial;sans-serif" w:hAnsi="Arial;sans-serif"/>
          <w:b w:val="false"/>
          <w:sz w:val="20"/>
        </w:rPr>
        <w:t>the leases after the third year.</w:t>
      </w:r>
    </w:p>
    <w:p>
      <w:pPr>
        <w:pStyle w:val="TextBody"/>
        <w:bidi w:val="0"/>
        <w:spacing w:before="240" w:after="0"/>
        <w:jc w:val="left"/>
        <w:rPr>
          <w:rFonts w:ascii="Arial;sans-serif" w:hAnsi="Arial;sans-serif"/>
          <w:b w:val="false"/>
          <w:sz w:val="20"/>
        </w:rPr>
      </w:pPr>
      <w:r>
        <w:rPr>
          <w:rFonts w:ascii="Arial;sans-serif" w:hAnsi="Arial;sans-serif"/>
          <w:b w:val="false"/>
          <w:sz w:val="20"/>
        </w:rPr>
        <w:t>The components of lease costs for the three and six months ended June 30, 2023 and June 30, 2022 are as follows (in thousands):</w:t>
      </w:r>
    </w:p>
    <w:p>
      <w:pPr>
        <w:pStyle w:val="TextBody"/>
        <w:bidi w:val="0"/>
        <w:spacing w:before="0" w:after="0"/>
        <w:jc w:val="left"/>
        <w:rPr/>
      </w:pPr>
      <w:r>
        <w:rPr/>
        <w:t> </w:t>
      </w:r>
    </w:p>
    <w:tbl>
      <w:tblPr>
        <w:tblW w:w="9914" w:type="dxa"/>
        <w:jc w:val="left"/>
        <w:tblInd w:w="0" w:type="dxa"/>
        <w:tblLayout w:type="fixed"/>
        <w:tblCellMar>
          <w:top w:w="28" w:type="dxa"/>
          <w:left w:w="28" w:type="dxa"/>
          <w:bottom w:w="28" w:type="dxa"/>
          <w:right w:w="28" w:type="dxa"/>
        </w:tblCellMar>
      </w:tblPr>
      <w:tblGrid>
        <w:gridCol w:w="3121"/>
        <w:gridCol w:w="146"/>
        <w:gridCol w:w="273"/>
        <w:gridCol w:w="897"/>
        <w:gridCol w:w="446"/>
        <w:gridCol w:w="146"/>
        <w:gridCol w:w="273"/>
        <w:gridCol w:w="897"/>
        <w:gridCol w:w="166"/>
        <w:gridCol w:w="146"/>
        <w:gridCol w:w="273"/>
        <w:gridCol w:w="897"/>
        <w:gridCol w:w="446"/>
        <w:gridCol w:w="146"/>
        <w:gridCol w:w="273"/>
        <w:gridCol w:w="897"/>
        <w:gridCol w:w="47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center"/>
              <w:rPr/>
            </w:pPr>
            <w:r>
              <w:rPr/>
              <w:t> </w:t>
            </w:r>
          </w:p>
        </w:tc>
      </w:tr>
      <w:tr>
        <w:trPr/>
        <w:tc>
          <w:tcPr>
            <w:tcW w:w="31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17,129</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33,754</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32,750</w:t>
            </w:r>
          </w:p>
        </w:tc>
        <w:tc>
          <w:tcPr>
            <w:tcW w:w="471" w:type="dxa"/>
            <w:tcBorders/>
            <w:vAlign w:val="center"/>
          </w:tcPr>
          <w:p>
            <w:pPr>
              <w:pStyle w:val="TableContents"/>
              <w:bidi w:val="0"/>
              <w:spacing w:before="0" w:after="0"/>
              <w:ind w:left="0" w:right="0" w:firstLine="280"/>
              <w:jc w:val="left"/>
              <w:rPr/>
            </w:pPr>
            <w:r>
              <w:rPr/>
              <w:t> </w:t>
            </w:r>
          </w:p>
        </w:tc>
      </w:tr>
      <w:tr>
        <w:trPr/>
        <w:tc>
          <w:tcPr>
            <w:tcW w:w="31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Short-term lease cost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3,396</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7,059</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7,090</w:t>
            </w:r>
          </w:p>
        </w:tc>
        <w:tc>
          <w:tcPr>
            <w:tcW w:w="471" w:type="dxa"/>
            <w:tcBorders/>
            <w:vAlign w:val="center"/>
          </w:tcPr>
          <w:p>
            <w:pPr>
              <w:pStyle w:val="TableContents"/>
              <w:bidi w:val="0"/>
              <w:spacing w:before="0" w:after="0"/>
              <w:ind w:left="0" w:right="0" w:firstLine="280"/>
              <w:jc w:val="left"/>
              <w:rPr/>
            </w:pPr>
            <w:r>
              <w:rPr/>
              <w:t> </w:t>
            </w:r>
          </w:p>
        </w:tc>
      </w:tr>
      <w:tr>
        <w:trPr/>
        <w:tc>
          <w:tcPr>
            <w:tcW w:w="31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Amortization of right-of-use assets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670</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1,186</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1,150</w:t>
            </w:r>
          </w:p>
        </w:tc>
        <w:tc>
          <w:tcPr>
            <w:tcW w:w="471" w:type="dxa"/>
            <w:tcBorders/>
            <w:vAlign w:val="center"/>
          </w:tcPr>
          <w:p>
            <w:pPr>
              <w:pStyle w:val="TableContents"/>
              <w:bidi w:val="0"/>
              <w:spacing w:before="0" w:after="0"/>
              <w:ind w:left="0" w:right="0" w:firstLine="280"/>
              <w:jc w:val="left"/>
              <w:rPr/>
            </w:pPr>
            <w:r>
              <w:rPr/>
              <w:t> </w:t>
            </w:r>
          </w:p>
        </w:tc>
      </w:tr>
      <w:tr>
        <w:trPr/>
        <w:tc>
          <w:tcPr>
            <w:tcW w:w="31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on lease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98</w:t>
            </w:r>
          </w:p>
        </w:tc>
        <w:tc>
          <w:tcPr>
            <w:tcW w:w="446" w:type="dxa"/>
            <w:tcBorders/>
            <w:vAlign w:val="center"/>
          </w:tcPr>
          <w:p>
            <w:pPr>
              <w:pStyle w:val="TableContents"/>
              <w:bidi w:val="0"/>
              <w:spacing w:before="0" w:after="0"/>
              <w:ind w:left="0" w:right="0" w:firstLine="280"/>
              <w:jc w:val="left"/>
              <w:rPr/>
            </w:pPr>
            <w:r>
              <w:rPr/>
              <w:t> </w:t>
            </w:r>
          </w:p>
        </w:tc>
        <w:tc>
          <w:tcPr>
            <w:tcW w:w="146" w:type="dxa"/>
            <w:tcBorders/>
            <w:vAlign w:val="center"/>
          </w:tcPr>
          <w:p>
            <w:pPr>
              <w:pStyle w:val="TableContents"/>
              <w:bidi w:val="0"/>
              <w:spacing w:before="0" w:after="0"/>
              <w:ind w:left="28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471" w:type="dxa"/>
            <w:tcBorders/>
            <w:vAlign w:val="center"/>
          </w:tcPr>
          <w:p>
            <w:pPr>
              <w:pStyle w:val="TableContents"/>
              <w:bidi w:val="0"/>
              <w:spacing w:before="0" w:after="0"/>
              <w:ind w:left="0" w:right="0" w:firstLine="280"/>
              <w:jc w:val="left"/>
              <w:rPr/>
            </w:pPr>
            <w:r>
              <w:rPr/>
              <w:t> </w:t>
            </w:r>
          </w:p>
        </w:tc>
      </w:tr>
      <w:tr>
        <w:trPr/>
        <w:tc>
          <w:tcPr>
            <w:tcW w:w="312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Sublease income</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(1,239</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28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(2,363</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28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1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20,021</w:t>
            </w:r>
          </w:p>
        </w:tc>
        <w:tc>
          <w:tcPr>
            <w:tcW w:w="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39,734</w:t>
            </w:r>
          </w:p>
        </w:tc>
        <w:tc>
          <w:tcPr>
            <w:tcW w:w="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39,030</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Supplemental cash flow information related to leases for the six months ended June 30, 2023 and June 30, 2022 is as follows (in thousands):</w:t>
      </w:r>
      <w:r>
        <w:rPr>
          <w:rFonts w:ascii="Times New Roman" w:hAnsi="Times New Roman"/>
          <w:sz w:val="20"/>
        </w:rPr>
        <w:t xml:space="preserve"> </w:t>
      </w:r>
    </w:p>
    <w:p>
      <w:pPr>
        <w:pStyle w:val="TextBody"/>
        <w:bidi w:val="0"/>
        <w:spacing w:before="0" w:after="0"/>
        <w:jc w:val="left"/>
        <w:rPr/>
      </w:pPr>
      <w:r>
        <w:rPr/>
        <w:t> </w:t>
      </w:r>
    </w:p>
    <w:tbl>
      <w:tblPr>
        <w:tblW w:w="9570" w:type="dxa"/>
        <w:jc w:val="left"/>
        <w:tblInd w:w="0" w:type="dxa"/>
        <w:tblLayout w:type="fixed"/>
        <w:tblCellMar>
          <w:top w:w="28" w:type="dxa"/>
          <w:left w:w="28" w:type="dxa"/>
          <w:bottom w:w="28" w:type="dxa"/>
          <w:right w:w="28" w:type="dxa"/>
        </w:tblCellMar>
      </w:tblPr>
      <w:tblGrid>
        <w:gridCol w:w="6601"/>
        <w:gridCol w:w="146"/>
        <w:gridCol w:w="273"/>
        <w:gridCol w:w="897"/>
        <w:gridCol w:w="146"/>
        <w:gridCol w:w="146"/>
        <w:gridCol w:w="273"/>
        <w:gridCol w:w="897"/>
        <w:gridCol w:w="191"/>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cash flows for operating leases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34,727</w:t>
            </w:r>
          </w:p>
        </w:tc>
        <w:tc>
          <w:tcPr>
            <w:tcW w:w="191" w:type="dxa"/>
            <w:tcBorders/>
            <w:vAlign w:val="center"/>
          </w:tcPr>
          <w:p>
            <w:pPr>
              <w:pStyle w:val="TableContents"/>
              <w:bidi w:val="0"/>
              <w:spacing w:before="0" w:after="0"/>
              <w:ind w:left="0" w:right="0" w:hanging="0"/>
              <w:jc w:val="left"/>
              <w:rPr/>
            </w:pPr>
            <w:r>
              <w:rPr/>
              <w:t> </w:t>
            </w:r>
          </w:p>
        </w:tc>
      </w:tr>
      <w:tr>
        <w:trPr/>
        <w:tc>
          <w:tcPr>
            <w:tcW w:w="66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cash flows for finance leases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191" w:type="dxa"/>
            <w:tcBorders/>
            <w:vAlign w:val="center"/>
          </w:tcPr>
          <w:p>
            <w:pPr>
              <w:pStyle w:val="TableContents"/>
              <w:bidi w:val="0"/>
              <w:spacing w:before="0" w:after="0"/>
              <w:ind w:left="0" w:right="0" w:hanging="0"/>
              <w:jc w:val="left"/>
              <w:rPr/>
            </w:pPr>
            <w:r>
              <w:rPr/>
              <w:t> </w:t>
            </w:r>
          </w:p>
        </w:tc>
      </w:tr>
      <w:tr>
        <w:trPr/>
        <w:tc>
          <w:tcPr>
            <w:tcW w:w="66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Financing cash flows from finance leases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1,054</w:t>
            </w:r>
          </w:p>
        </w:tc>
        <w:tc>
          <w:tcPr>
            <w:tcW w:w="191" w:type="dxa"/>
            <w:tcBorders/>
            <w:vAlign w:val="center"/>
          </w:tcPr>
          <w:p>
            <w:pPr>
              <w:pStyle w:val="TableContents"/>
              <w:bidi w:val="0"/>
              <w:spacing w:before="0" w:after="0"/>
              <w:ind w:left="0" w:right="0" w:hanging="0"/>
              <w:jc w:val="left"/>
              <w:rPr/>
            </w:pPr>
            <w:r>
              <w:rPr/>
              <w:t> </w:t>
            </w:r>
          </w:p>
        </w:tc>
      </w:tr>
      <w:tr>
        <w:trPr/>
        <w:tc>
          <w:tcPr>
            <w:tcW w:w="66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Right-of-use assets obtained in exchange for new operating lease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10,583</w:t>
            </w:r>
          </w:p>
        </w:tc>
        <w:tc>
          <w:tcPr>
            <w:tcW w:w="191" w:type="dxa"/>
            <w:tcBorders/>
            <w:vAlign w:val="center"/>
          </w:tcPr>
          <w:p>
            <w:pPr>
              <w:pStyle w:val="TableContents"/>
              <w:bidi w:val="0"/>
              <w:spacing w:before="0" w:after="0"/>
              <w:ind w:left="0" w:right="0" w:hanging="0"/>
              <w:jc w:val="left"/>
              <w:rPr/>
            </w:pPr>
            <w:r>
              <w:rPr/>
              <w:t> </w:t>
            </w:r>
          </w:p>
        </w:tc>
      </w:tr>
      <w:tr>
        <w:trPr/>
        <w:tc>
          <w:tcPr>
            <w:tcW w:w="660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Right-of-use assets obtained in exchange for new finance lease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Supplemental balance sheet and other information related to leases as of June 30, 2023 and December 31, 2022 are as follows (in thousands):</w:t>
      </w:r>
    </w:p>
    <w:p>
      <w:pPr>
        <w:pStyle w:val="TextBody"/>
        <w:bidi w:val="0"/>
        <w:spacing w:before="0" w:after="0"/>
        <w:jc w:val="left"/>
        <w:rPr/>
      </w:pPr>
      <w:r>
        <w:rPr/>
        <w:t> </w:t>
      </w:r>
    </w:p>
    <w:tbl>
      <w:tblPr>
        <w:tblW w:w="7875" w:type="dxa"/>
        <w:jc w:val="left"/>
        <w:tblInd w:w="0" w:type="dxa"/>
        <w:tblLayout w:type="fixed"/>
        <w:tblCellMar>
          <w:top w:w="28" w:type="dxa"/>
          <w:left w:w="28" w:type="dxa"/>
          <w:bottom w:w="28" w:type="dxa"/>
          <w:right w:w="28" w:type="dxa"/>
        </w:tblCellMar>
      </w:tblPr>
      <w:tblGrid>
        <w:gridCol w:w="4081"/>
        <w:gridCol w:w="146"/>
        <w:gridCol w:w="245"/>
        <w:gridCol w:w="925"/>
        <w:gridCol w:w="286"/>
        <w:gridCol w:w="146"/>
        <w:gridCol w:w="330"/>
        <w:gridCol w:w="1245"/>
        <w:gridCol w:w="47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Right-of-use assets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166,797</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155,090</w:t>
            </w:r>
          </w:p>
        </w:tc>
        <w:tc>
          <w:tcPr>
            <w:tcW w:w="47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40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Current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57,085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59,144</w:t>
            </w:r>
          </w:p>
        </w:tc>
        <w:tc>
          <w:tcPr>
            <w:tcW w:w="471" w:type="dxa"/>
            <w:tcBorders/>
            <w:vAlign w:val="center"/>
          </w:tcPr>
          <w:p>
            <w:pPr>
              <w:pStyle w:val="TableContents"/>
              <w:bidi w:val="0"/>
              <w:spacing w:before="0" w:after="0"/>
              <w:ind w:left="0" w:right="0" w:firstLine="280"/>
              <w:jc w:val="left"/>
              <w:rPr/>
            </w:pPr>
            <w:r>
              <w:rPr/>
              <w:t> </w:t>
            </w:r>
          </w:p>
        </w:tc>
      </w:tr>
      <w:tr>
        <w:trPr/>
        <w:tc>
          <w:tcPr>
            <w:tcW w:w="40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Long-term</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128,634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111,417</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185,719</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170,561</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6,222</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3,965</w:t>
            </w:r>
          </w:p>
        </w:tc>
        <w:tc>
          <w:tcPr>
            <w:tcW w:w="47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2,232</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1,746</w:t>
            </w:r>
          </w:p>
        </w:tc>
        <w:tc>
          <w:tcPr>
            <w:tcW w:w="47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3,963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2,246</w:t>
            </w:r>
          </w:p>
        </w:tc>
        <w:tc>
          <w:tcPr>
            <w:tcW w:w="47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Remaining Lease Term:</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20"/>
              </w:rPr>
              <w:t>4.1</w:t>
            </w:r>
            <w:r>
              <w:rPr>
                <w:rFonts w:ascii="Times New Roman" w:hAnsi="Times New Roman"/>
                <w:sz w:val="20"/>
              </w:rPr>
              <w:t> </w:t>
            </w:r>
            <w:r>
              <w:rPr>
                <w:rFonts w:ascii="Arial;sans-serif" w:hAnsi="Arial;sans-serif"/>
                <w:b w:val="false"/>
                <w:sz w:val="20"/>
              </w:rPr>
              <w:t>years</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20"/>
              </w:rPr>
              <w:t>3.6</w:t>
            </w:r>
            <w:r>
              <w:rPr>
                <w:rFonts w:ascii="Times New Roman" w:hAnsi="Times New Roman"/>
                <w:sz w:val="20"/>
              </w:rPr>
              <w:t> </w:t>
            </w:r>
            <w:r>
              <w:rPr>
                <w:rFonts w:ascii="Arial;sans-serif" w:hAnsi="Arial;sans-serif"/>
                <w:b w:val="false"/>
                <w:sz w:val="20"/>
              </w:rPr>
              <w:t>years</w:t>
            </w:r>
          </w:p>
        </w:tc>
        <w:tc>
          <w:tcPr>
            <w:tcW w:w="471" w:type="dxa"/>
            <w:tcBorders/>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20"/>
              </w:rPr>
              <w:t>3</w:t>
            </w:r>
            <w:r>
              <w:rPr>
                <w:rFonts w:ascii="Times New Roman" w:hAnsi="Times New Roman"/>
                <w:sz w:val="20"/>
              </w:rPr>
              <w:t> </w:t>
            </w:r>
            <w:r>
              <w:rPr>
                <w:rFonts w:ascii="Arial;sans-serif" w:hAnsi="Arial;sans-serif"/>
                <w:b w:val="false"/>
                <w:sz w:val="20"/>
              </w:rPr>
              <w:t>years</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rFonts w:ascii="Times New Roman" w:hAnsi="Times New Roman"/>
                <w:sz w:val="20"/>
              </w:rPr>
            </w:pPr>
            <w:r>
              <w:rPr>
                <w:rFonts w:ascii="Arial;sans-serif" w:hAnsi="Arial;sans-serif"/>
                <w:b w:val="false"/>
                <w:sz w:val="20"/>
              </w:rPr>
              <w:t>2.6</w:t>
            </w:r>
            <w:r>
              <w:rPr>
                <w:rFonts w:ascii="Times New Roman" w:hAnsi="Times New Roman"/>
                <w:sz w:val="20"/>
              </w:rPr>
              <w:t> </w:t>
            </w:r>
            <w:r>
              <w:rPr>
                <w:rFonts w:ascii="Arial;sans-serif" w:hAnsi="Arial;sans-serif"/>
                <w:b w:val="false"/>
                <w:sz w:val="20"/>
              </w:rPr>
              <w:t>years</w:t>
            </w:r>
          </w:p>
        </w:tc>
        <w:tc>
          <w:tcPr>
            <w:tcW w:w="471" w:type="dxa"/>
            <w:tcBorders/>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w:t>
            </w:r>
          </w:p>
        </w:tc>
        <w:tc>
          <w:tcPr>
            <w:tcW w:w="4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47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As of June 30, 2023, the Company has no</w:t>
      </w:r>
      <w:r>
        <w:rPr>
          <w:rFonts w:ascii="Times New Roman" w:hAnsi="Times New Roman"/>
          <w:sz w:val="20"/>
        </w:rPr>
        <w:t xml:space="preserve"> </w:t>
      </w:r>
      <w:r>
        <w:rPr>
          <w:rFonts w:ascii="Arial;sans-serif" w:hAnsi="Arial;sans-serif"/>
          <w:b w:val="false"/>
          <w:sz w:val="20"/>
        </w:rPr>
        <w:t>operating leases that have not yet commenced.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A maturity analysis of the future undiscounted cash flows associated with the Company’s operating and finance lease liabilities as of June 30, 2023 is as follows (in thousands):</w:t>
      </w:r>
    </w:p>
    <w:p>
      <w:pPr>
        <w:pStyle w:val="TextBody"/>
        <w:bidi w:val="0"/>
        <w:spacing w:before="0" w:after="0"/>
        <w:jc w:val="left"/>
        <w:rPr/>
      </w:pPr>
      <w:r>
        <w:rPr/>
        <w:t> </w:t>
      </w:r>
    </w:p>
    <w:tbl>
      <w:tblPr>
        <w:tblW w:w="6850" w:type="dxa"/>
        <w:jc w:val="left"/>
        <w:tblInd w:w="0" w:type="dxa"/>
        <w:tblLayout w:type="fixed"/>
        <w:tblCellMar>
          <w:top w:w="28" w:type="dxa"/>
          <w:left w:w="28" w:type="dxa"/>
          <w:bottom w:w="28" w:type="dxa"/>
          <w:right w:w="28" w:type="dxa"/>
        </w:tblCellMar>
      </w:tblPr>
      <w:tblGrid>
        <w:gridCol w:w="3346"/>
        <w:gridCol w:w="146"/>
        <w:gridCol w:w="314"/>
        <w:gridCol w:w="1186"/>
        <w:gridCol w:w="166"/>
        <w:gridCol w:w="146"/>
        <w:gridCol w:w="353"/>
        <w:gridCol w:w="982"/>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Finance Leases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2023 (remaining)</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33,551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1,290</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56,056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2,234</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1,771</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27,856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1,128</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181</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24,134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201,536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pPr>
            <w:r>
              <w:rPr/>
              <w:t> </w:t>
            </w:r>
          </w:p>
        </w:tc>
        <w:tc>
          <w:tcPr>
            <w:tcW w:w="9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6,604</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(15,817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present value of lease liabilities</w:t>
            </w:r>
          </w:p>
        </w:tc>
        <w:tc>
          <w:tcPr>
            <w:tcW w:w="14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185,719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6,195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Arial" w:hAnsi="Arial"/>
          <w:b/>
          <w:sz w:val="20"/>
        </w:rPr>
      </w:pPr>
      <w:r>
        <w:rPr>
          <w:rFonts w:ascii="Arial" w:hAnsi="Arial"/>
          <w:b/>
          <w:sz w:val="20"/>
        </w:rPr>
        <w:t>7.</w:t>
      </w:r>
    </w:p>
    <w:p>
      <w:pPr>
        <w:pStyle w:val="TextBody"/>
        <w:bidi w:val="0"/>
        <w:spacing w:before="360" w:after="283"/>
        <w:jc w:val="left"/>
        <w:rPr>
          <w:rFonts w:ascii="Arial;sans-serif" w:hAnsi="Arial;sans-serif"/>
          <w:b/>
          <w:sz w:val="20"/>
        </w:rPr>
      </w:pPr>
      <w:r>
        <w:rPr>
          <w:rFonts w:ascii="Arial;sans-serif" w:hAnsi="Arial;sans-serif"/>
          <w:b/>
          <w:sz w:val="20"/>
        </w:rPr>
        <w:t>Goodwill</w:t>
      </w:r>
    </w:p>
    <w:p>
      <w:pPr>
        <w:pStyle w:val="TextBody"/>
        <w:bidi w:val="0"/>
        <w:spacing w:before="120" w:after="0"/>
        <w:jc w:val="left"/>
        <w:rPr>
          <w:rFonts w:ascii="Times New Roman" w:hAnsi="Times New Roman"/>
          <w:sz w:val="20"/>
        </w:rPr>
      </w:pPr>
      <w:r>
        <w:rPr>
          <w:rFonts w:ascii="Arial;sans-serif" w:hAnsi="Arial;sans-serif"/>
          <w:b w:val="false"/>
          <w:sz w:val="20"/>
        </w:rPr>
        <w:t>The following table summarizes the changes in the carrying value of goodwill by reporting segment from December 31, 2022 to June 30, 2023 (in thousands):</w:t>
      </w:r>
      <w:r>
        <w:rPr>
          <w:rFonts w:ascii="Times New Roman" w:hAnsi="Times New Roman"/>
          <w:sz w:val="20"/>
        </w:rPr>
        <w:t xml:space="preserve"> </w:t>
      </w:r>
    </w:p>
    <w:p>
      <w:pPr>
        <w:pStyle w:val="TextBody"/>
        <w:bidi w:val="0"/>
        <w:spacing w:before="0" w:after="0"/>
        <w:jc w:val="left"/>
        <w:rPr/>
      </w:pPr>
      <w:r>
        <w:rPr/>
        <w:t> </w:t>
      </w:r>
    </w:p>
    <w:tbl>
      <w:tblPr>
        <w:tblW w:w="8552" w:type="dxa"/>
        <w:jc w:val="left"/>
        <w:tblInd w:w="0" w:type="dxa"/>
        <w:tblLayout w:type="fixed"/>
        <w:tblCellMar>
          <w:top w:w="28" w:type="dxa"/>
          <w:left w:w="28" w:type="dxa"/>
          <w:bottom w:w="28" w:type="dxa"/>
          <w:right w:w="28" w:type="dxa"/>
        </w:tblCellMar>
      </w:tblPr>
      <w:tblGrid>
        <w:gridCol w:w="1936"/>
        <w:gridCol w:w="146"/>
        <w:gridCol w:w="283"/>
        <w:gridCol w:w="1292"/>
        <w:gridCol w:w="146"/>
        <w:gridCol w:w="146"/>
        <w:gridCol w:w="259"/>
        <w:gridCol w:w="852"/>
        <w:gridCol w:w="146"/>
        <w:gridCol w:w="146"/>
        <w:gridCol w:w="408"/>
        <w:gridCol w:w="1137"/>
        <w:gridCol w:w="146"/>
        <w:gridCol w:w="146"/>
        <w:gridCol w:w="211"/>
        <w:gridCol w:w="96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Acquisitions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Foreign Exchange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1,591,563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1,596,307</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70,287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25,008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96,418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sz w:val="20"/>
              </w:rPr>
            </w:pPr>
            <w:r>
              <w:rPr>
                <w:rFonts w:ascii="Arial;sans-serif" w:hAnsi="Arial;sans-serif"/>
                <w:b/>
                <w:sz w:val="20"/>
              </w:rPr>
              <w:t>Total</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1,661,850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29,752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1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1,692,725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Arial;sans-serif" w:hAnsi="Arial;sans-serif"/>
          <w:b w:val="false"/>
          <w:sz w:val="20"/>
        </w:rPr>
        <w:t>The Company performed a qualitative triggering analysis and determined there was no triggering event indicating a potential impairment to the carrying value of its goodwill at June 30, 2023</w:t>
      </w:r>
      <w:r>
        <w:rPr>
          <w:rFonts w:ascii="Times New Roman" w:hAnsi="Times New Roman"/>
          <w:sz w:val="20"/>
        </w:rPr>
        <w:t xml:space="preserve"> </w:t>
      </w:r>
      <w:r>
        <w:rPr>
          <w:rFonts w:ascii="Arial;sans-serif" w:hAnsi="Arial;sans-serif"/>
          <w:b w:val="false"/>
          <w:sz w:val="20"/>
        </w:rPr>
        <w:t>and concluded there has not been an impairment.</w:t>
      </w:r>
    </w:p>
    <w:p>
      <w:pPr>
        <w:pStyle w:val="TextBody"/>
        <w:bidi w:val="0"/>
        <w:spacing w:before="240" w:after="0"/>
        <w:jc w:val="center"/>
        <w:rPr>
          <w:rFonts w:ascii="Arial;sans-serif" w:hAnsi="Arial;sans-serif"/>
          <w:b w:val="false"/>
          <w:sz w:val="20"/>
        </w:rPr>
      </w:pPr>
      <w:r>
        <w:rPr>
          <w:rFonts w:ascii="Arial;sans-serif" w:hAnsi="Arial;sans-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Arial" w:hAnsi="Arial"/>
          <w:b/>
          <w:sz w:val="20"/>
        </w:rPr>
      </w:pPr>
      <w:r>
        <w:rPr>
          <w:rFonts w:ascii="Arial" w:hAnsi="Arial"/>
          <w:b/>
          <w:sz w:val="20"/>
        </w:rPr>
        <w:t>8.</w:t>
      </w:r>
    </w:p>
    <w:p>
      <w:pPr>
        <w:pStyle w:val="TextBody"/>
        <w:bidi w:val="0"/>
        <w:spacing w:before="360" w:after="283"/>
        <w:jc w:val="left"/>
        <w:rPr>
          <w:rFonts w:ascii="Arial;sans-serif" w:hAnsi="Arial;sans-serif"/>
          <w:b/>
          <w:sz w:val="20"/>
        </w:rPr>
      </w:pPr>
      <w:r>
        <w:rPr>
          <w:rFonts w:ascii="Arial;sans-serif" w:hAnsi="Arial;sans-serif"/>
          <w:b/>
          <w:sz w:val="20"/>
        </w:rPr>
        <w:t>Intangible Assets</w:t>
      </w:r>
    </w:p>
    <w:p>
      <w:pPr>
        <w:pStyle w:val="TextBody"/>
        <w:bidi w:val="0"/>
        <w:spacing w:before="120" w:after="0"/>
        <w:jc w:val="left"/>
        <w:rPr>
          <w:rFonts w:ascii="Times New Roman" w:hAnsi="Times New Roman"/>
          <w:sz w:val="20"/>
        </w:rPr>
      </w:pPr>
      <w:r>
        <w:rPr>
          <w:rFonts w:ascii="Arial;sans-serif" w:hAnsi="Arial;sans-serif"/>
          <w:b w:val="false"/>
          <w:sz w:val="20"/>
        </w:rPr>
        <w:t>The gross amount and accumulated amortization of intangible assets with finite useful lives included in “Intangible assets, net” on the consolidated balance sheets are as follows (in thousands except for years):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03"/>
        <w:gridCol w:w="146"/>
        <w:gridCol w:w="196"/>
        <w:gridCol w:w="691"/>
        <w:gridCol w:w="146"/>
        <w:gridCol w:w="146"/>
        <w:gridCol w:w="196"/>
        <w:gridCol w:w="751"/>
        <w:gridCol w:w="166"/>
        <w:gridCol w:w="146"/>
        <w:gridCol w:w="196"/>
        <w:gridCol w:w="691"/>
        <w:gridCol w:w="146"/>
        <w:gridCol w:w="146"/>
        <w:gridCol w:w="196"/>
        <w:gridCol w:w="691"/>
        <w:gridCol w:w="146"/>
        <w:gridCol w:w="146"/>
        <w:gridCol w:w="196"/>
        <w:gridCol w:w="751"/>
        <w:gridCol w:w="166"/>
        <w:gridCol w:w="146"/>
        <w:gridCol w:w="196"/>
        <w:gridCol w:w="691"/>
        <w:gridCol w:w="146"/>
        <w:gridCol w:w="146"/>
        <w:gridCol w:w="313"/>
        <w:gridCol w:w="618"/>
        <w:gridCol w:w="391"/>
      </w:tblGrid>
      <w:tr>
        <w:trPr/>
        <w:tc>
          <w:tcPr>
            <w:tcW w:w="1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32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32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Weighted</w:t>
              <w:br/>
              <w:t>Average</w:t>
            </w:r>
          </w:p>
        </w:tc>
        <w:tc>
          <w:tcPr>
            <w:tcW w:w="391" w:type="dxa"/>
            <w:tcBorders/>
            <w:vAlign w:val="center"/>
          </w:tcPr>
          <w:p>
            <w:pPr>
              <w:pStyle w:val="TableContents"/>
              <w:bidi w:val="0"/>
              <w:spacing w:before="0" w:after="0"/>
              <w:ind w:left="0" w:right="0" w:hanging="0"/>
              <w:jc w:val="center"/>
              <w:rPr/>
            </w:pPr>
            <w:r>
              <w:rPr/>
              <w:t> </w:t>
            </w:r>
          </w:p>
        </w:tc>
      </w:tr>
      <w:tr>
        <w:trPr/>
        <w:tc>
          <w:tcPr>
            <w:tcW w:w="15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4"/>
              </w:rPr>
            </w:pPr>
            <w:r>
              <w:rPr>
                <w:rFonts w:ascii="Arial;sans-serif" w:hAnsi="Arial;sans-serif"/>
                <w:b/>
                <w:sz w:val="14"/>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Arial;sans-serif" w:hAnsi="Arial;sans-serif"/>
                <w:b/>
                <w:sz w:val="14"/>
              </w:rPr>
              <w:t>Amortization</w:t>
              <w:br/>
              <w:t>Period</w:t>
              <w:br/>
            </w:r>
            <w:r>
              <w:rPr>
                <w:rFonts w:ascii="Arial;sans-serif" w:hAnsi="Arial;sans-serif"/>
                <w:b/>
                <w:i/>
                <w:sz w:val="14"/>
              </w:rPr>
              <w:t>(in years)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Backlog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142,200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(62,852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79,348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142,200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(45,903</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96,297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w:t>
            </w:r>
          </w:p>
        </w:tc>
        <w:tc>
          <w:tcPr>
            <w:tcW w:w="391" w:type="dxa"/>
            <w:tcBorders/>
            <w:vAlign w:val="center"/>
          </w:tcPr>
          <w:p>
            <w:pPr>
              <w:pStyle w:val="TableContents"/>
              <w:bidi w:val="0"/>
              <w:spacing w:before="0" w:after="0"/>
              <w:ind w:left="0" w:right="0" w:hanging="0"/>
              <w:jc w:val="left"/>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Customer relationships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313,720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(165,825</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147,895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293,730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(146,032</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147,698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w:t>
            </w:r>
          </w:p>
        </w:tc>
        <w:tc>
          <w:tcPr>
            <w:tcW w:w="391" w:type="dxa"/>
            <w:tcBorders/>
            <w:vAlign w:val="center"/>
          </w:tcPr>
          <w:p>
            <w:pPr>
              <w:pStyle w:val="TableContents"/>
              <w:bidi w:val="0"/>
              <w:spacing w:before="0" w:after="0"/>
              <w:ind w:left="0" w:right="0" w:hanging="0"/>
              <w:jc w:val="left"/>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(97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(87</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w:t>
            </w:r>
          </w:p>
        </w:tc>
        <w:tc>
          <w:tcPr>
            <w:tcW w:w="391" w:type="dxa"/>
            <w:tcBorders/>
            <w:vAlign w:val="center"/>
          </w:tcPr>
          <w:p>
            <w:pPr>
              <w:pStyle w:val="TableContents"/>
              <w:bidi w:val="0"/>
              <w:spacing w:before="0" w:after="0"/>
              <w:ind w:left="0" w:right="0" w:hanging="0"/>
              <w:jc w:val="left"/>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Developed technology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23,400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(13,054</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16,600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(11,560</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w:t>
            </w:r>
          </w:p>
        </w:tc>
        <w:tc>
          <w:tcPr>
            <w:tcW w:w="391" w:type="dxa"/>
            <w:tcBorders/>
            <w:vAlign w:val="center"/>
          </w:tcPr>
          <w:p>
            <w:pPr>
              <w:pStyle w:val="TableContents"/>
              <w:bidi w:val="0"/>
              <w:spacing w:before="0" w:after="0"/>
              <w:ind w:left="0" w:right="0" w:hanging="0"/>
              <w:jc w:val="left"/>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Trade name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(3,083</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w:t>
            </w:r>
          </w:p>
        </w:tc>
        <w:tc>
          <w:tcPr>
            <w:tcW w:w="391" w:type="dxa"/>
            <w:tcBorders/>
            <w:vAlign w:val="center"/>
          </w:tcPr>
          <w:p>
            <w:pPr>
              <w:pStyle w:val="TableContents"/>
              <w:bidi w:val="0"/>
              <w:spacing w:before="0" w:after="0"/>
              <w:ind w:left="0" w:right="0" w:hanging="0"/>
              <w:jc w:val="left"/>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Non-compete agreements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(2,581</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(2,074</w:t>
            </w:r>
          </w:p>
        </w:tc>
        <w:tc>
          <w:tcPr>
            <w:tcW w:w="16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w:t>
            </w:r>
          </w:p>
        </w:tc>
        <w:tc>
          <w:tcPr>
            <w:tcW w:w="391" w:type="dxa"/>
            <w:tcBorders/>
            <w:vAlign w:val="center"/>
          </w:tcPr>
          <w:p>
            <w:pPr>
              <w:pStyle w:val="TableContents"/>
              <w:bidi w:val="0"/>
              <w:spacing w:before="0" w:after="0"/>
              <w:ind w:left="0" w:right="0" w:hanging="0"/>
              <w:jc w:val="left"/>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 process research and development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n/a</w:t>
            </w:r>
          </w:p>
        </w:tc>
        <w:tc>
          <w:tcPr>
            <w:tcW w:w="391" w:type="dxa"/>
            <w:tcBorders/>
            <w:vAlign w:val="center"/>
          </w:tcPr>
          <w:p>
            <w:pPr>
              <w:pStyle w:val="TableContents"/>
              <w:bidi w:val="0"/>
              <w:spacing w:before="0" w:after="0"/>
              <w:ind w:left="0" w:right="0" w:hanging="0"/>
              <w:jc w:val="right"/>
              <w:rPr/>
            </w:pPr>
            <w:r>
              <w:rPr/>
              <w:t> </w:t>
            </w:r>
          </w:p>
        </w:tc>
      </w:tr>
      <w:tr>
        <w:trPr/>
        <w:tc>
          <w:tcPr>
            <w:tcW w:w="15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Other intangibles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330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10</w:t>
            </w:r>
          </w:p>
        </w:tc>
        <w:tc>
          <w:tcPr>
            <w:tcW w:w="391" w:type="dxa"/>
            <w:tcBorders/>
            <w:vAlign w:val="center"/>
          </w:tcPr>
          <w:p>
            <w:pPr>
              <w:pStyle w:val="TableContents"/>
              <w:bidi w:val="0"/>
              <w:spacing w:before="0" w:after="0"/>
              <w:ind w:left="0" w:right="0" w:firstLine="200"/>
              <w:jc w:val="left"/>
              <w:rPr/>
            </w:pPr>
            <w:r>
              <w:rPr/>
              <w:t> </w:t>
            </w:r>
          </w:p>
        </w:tc>
      </w:tr>
      <w:tr>
        <w:trPr/>
        <w:tc>
          <w:tcPr>
            <w:tcW w:w="1503" w:type="dxa"/>
            <w:tcBorders/>
            <w:vAlign w:val="center"/>
          </w:tcPr>
          <w:p>
            <w:pPr>
              <w:pStyle w:val="TableContents"/>
              <w:bidi w:val="0"/>
              <w:spacing w:before="0" w:after="0"/>
              <w:ind w:left="200" w:right="0" w:hanging="0"/>
              <w:jc w:val="left"/>
              <w:rPr>
                <w:rFonts w:ascii="Arial;sans-serif" w:hAnsi="Arial;sans-serif"/>
                <w:b w:val="false"/>
                <w:sz w:val="16"/>
              </w:rPr>
            </w:pPr>
            <w:r>
              <w:rPr>
                <w:rFonts w:ascii="Arial;sans-serif" w:hAnsi="Arial;sans-serif"/>
                <w:b w:val="false"/>
                <w:sz w:val="16"/>
              </w:rPr>
              <w:t>Total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484,920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(244,620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240,300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463,075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(208,948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6"/>
              </w:rPr>
            </w:pPr>
            <w:r>
              <w:rPr>
                <w:rFonts w:ascii="Arial;sans-serif" w:hAnsi="Arial;sans-serif"/>
                <w:b w:val="false"/>
                <w:sz w:val="16"/>
              </w:rPr>
              <w:t>254,127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rFonts w:ascii="Times New Roman" w:hAnsi="Times New Roman"/>
          <w:sz w:val="20"/>
        </w:rPr>
      </w:pPr>
      <w:r>
        <w:rPr>
          <w:rFonts w:ascii="Arial;sans-serif" w:hAnsi="Arial;sans-serif"/>
          <w:b w:val="false"/>
          <w:sz w:val="20"/>
        </w:rPr>
        <w:t>The aggregate amortization expense of intangible assets for the three months ended June 30, 2023 and June 30, 2022 was $18.1</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$19.7</w:t>
      </w:r>
      <w:r>
        <w:rPr>
          <w:rFonts w:ascii="Times New Roman" w:hAnsi="Times New Roman"/>
          <w:sz w:val="20"/>
        </w:rPr>
        <w:t xml:space="preserve"> </w:t>
      </w:r>
      <w:r>
        <w:rPr>
          <w:rFonts w:ascii="Arial;sans-serif" w:hAnsi="Arial;sans-serif"/>
          <w:b w:val="false"/>
          <w:sz w:val="20"/>
        </w:rPr>
        <w:t>million, respectively, and $36.1</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$39.8</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for the six months ended June 30, 2023 and June 30, 2022, respectively.</w:t>
      </w:r>
    </w:p>
    <w:p>
      <w:pPr>
        <w:pStyle w:val="TextBody"/>
        <w:bidi w:val="0"/>
        <w:spacing w:before="240" w:after="0"/>
        <w:jc w:val="left"/>
        <w:rPr>
          <w:rFonts w:ascii="Times New Roman" w:hAnsi="Times New Roman"/>
          <w:sz w:val="20"/>
        </w:rPr>
      </w:pPr>
      <w:r>
        <w:rPr>
          <w:rFonts w:ascii="Arial;sans-serif" w:hAnsi="Arial;sans-serif"/>
          <w:b w:val="false"/>
          <w:sz w:val="20"/>
        </w:rPr>
        <w:t>Estimated amortization expense for the remainder of the current fiscal year, each of the next four years and beyond is as follows (in thousands):</w:t>
      </w:r>
      <w:r>
        <w:rPr>
          <w:rFonts w:ascii="Times New Roman" w:hAnsi="Times New Roman"/>
          <w:sz w:val="20"/>
        </w:rPr>
        <w:t xml:space="preserve"> </w:t>
      </w:r>
    </w:p>
    <w:p>
      <w:pPr>
        <w:pStyle w:val="TextBody"/>
        <w:bidi w:val="0"/>
        <w:spacing w:before="0" w:after="0"/>
        <w:jc w:val="left"/>
        <w:rPr/>
      </w:pPr>
      <w:r>
        <w:rPr/>
        <w:t> </w:t>
      </w:r>
    </w:p>
    <w:tbl>
      <w:tblPr>
        <w:tblW w:w="2513" w:type="dxa"/>
        <w:jc w:val="left"/>
        <w:tblInd w:w="0" w:type="dxa"/>
        <w:tblLayout w:type="fixed"/>
        <w:tblCellMar>
          <w:top w:w="28" w:type="dxa"/>
          <w:left w:w="28" w:type="dxa"/>
          <w:bottom w:w="28" w:type="dxa"/>
          <w:right w:w="28" w:type="dxa"/>
        </w:tblCellMar>
      </w:tblPr>
      <w:tblGrid>
        <w:gridCol w:w="1006"/>
        <w:gridCol w:w="146"/>
        <w:gridCol w:w="245"/>
        <w:gridCol w:w="925"/>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33,448</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36,970</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31,377</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27,797</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26,880</w:t>
            </w:r>
          </w:p>
        </w:tc>
        <w:tc>
          <w:tcPr>
            <w:tcW w:w="191"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82,028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238,500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Arial" w:hAnsi="Arial"/>
          <w:b/>
          <w:sz w:val="20"/>
        </w:rPr>
      </w:pPr>
      <w:r>
        <w:rPr>
          <w:rFonts w:ascii="Arial" w:hAnsi="Arial"/>
          <w:b/>
          <w:sz w:val="20"/>
        </w:rPr>
        <w:t>9.</w:t>
      </w:r>
    </w:p>
    <w:p>
      <w:pPr>
        <w:pStyle w:val="TextBody"/>
        <w:bidi w:val="0"/>
        <w:spacing w:before="120" w:after="283"/>
        <w:jc w:val="left"/>
        <w:rPr>
          <w:rFonts w:ascii="Arial;sans-serif" w:hAnsi="Arial;sans-serif"/>
          <w:b/>
          <w:sz w:val="20"/>
        </w:rPr>
      </w:pPr>
      <w:r>
        <w:rPr>
          <w:rFonts w:ascii="Arial;sans-serif" w:hAnsi="Arial;sans-serif"/>
          <w:b/>
          <w:sz w:val="20"/>
        </w:rPr>
        <w:t>Property and Equipment, Net</w:t>
      </w:r>
    </w:p>
    <w:p>
      <w:pPr>
        <w:pStyle w:val="TextBody"/>
        <w:bidi w:val="0"/>
        <w:spacing w:before="120" w:after="0"/>
        <w:jc w:val="left"/>
        <w:rPr>
          <w:rFonts w:ascii="Times New Roman" w:hAnsi="Times New Roman"/>
          <w:sz w:val="20"/>
        </w:rPr>
      </w:pPr>
      <w:r>
        <w:rPr>
          <w:rFonts w:ascii="Arial;sans-serif" w:hAnsi="Arial;sans-serif"/>
          <w:b w:val="false"/>
          <w:sz w:val="20"/>
        </w:rPr>
        <w:t>Property and equipment consisted of the following at June 30, 2023 and December 31, 2022 (in thousands):</w:t>
      </w:r>
      <w:r>
        <w:rPr>
          <w:rFonts w:ascii="Times New Roman" w:hAnsi="Times New Roman"/>
          <w:sz w:val="20"/>
        </w:rPr>
        <w:t xml:space="preserve"> </w:t>
      </w:r>
    </w:p>
    <w:p>
      <w:pPr>
        <w:pStyle w:val="TextBody"/>
        <w:bidi w:val="0"/>
        <w:spacing w:before="0" w:after="0"/>
        <w:jc w:val="left"/>
        <w:rPr/>
      </w:pPr>
      <w:r>
        <w:rPr/>
        <w:t> </w:t>
      </w:r>
    </w:p>
    <w:tbl>
      <w:tblPr>
        <w:tblW w:w="7927" w:type="dxa"/>
        <w:jc w:val="left"/>
        <w:tblInd w:w="0" w:type="dxa"/>
        <w:tblLayout w:type="fixed"/>
        <w:tblCellMar>
          <w:top w:w="28" w:type="dxa"/>
          <w:left w:w="28" w:type="dxa"/>
          <w:bottom w:w="28" w:type="dxa"/>
          <w:right w:w="28" w:type="dxa"/>
        </w:tblCellMar>
      </w:tblPr>
      <w:tblGrid>
        <w:gridCol w:w="3466"/>
        <w:gridCol w:w="146"/>
        <w:gridCol w:w="231"/>
        <w:gridCol w:w="939"/>
        <w:gridCol w:w="166"/>
        <w:gridCol w:w="146"/>
        <w:gridCol w:w="311"/>
        <w:gridCol w:w="1264"/>
        <w:gridCol w:w="166"/>
        <w:gridCol w:w="146"/>
        <w:gridCol w:w="94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Useful life</w:t>
              <w:br/>
              <w:t>(years)</w:t>
            </w:r>
          </w:p>
        </w:tc>
      </w:tr>
      <w:tr>
        <w:trPr/>
        <w:tc>
          <w:tcPr>
            <w:tcW w:w="34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Buildings and leasehold improvements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w:t>
            </w:r>
          </w:p>
        </w:tc>
      </w:tr>
      <w:tr>
        <w:trPr/>
        <w:tc>
          <w:tcPr>
            <w:tcW w:w="34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Furniture and equipment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87,552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85,088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w:t>
            </w:r>
          </w:p>
        </w:tc>
      </w:tr>
      <w:tr>
        <w:trPr/>
        <w:tc>
          <w:tcPr>
            <w:tcW w:w="34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Computer systems and equipment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162,823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152,511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w:t>
            </w:r>
          </w:p>
        </w:tc>
      </w:tr>
      <w:tr>
        <w:trPr/>
        <w:tc>
          <w:tcPr>
            <w:tcW w:w="34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Construction equipment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w:t>
            </w:r>
          </w:p>
        </w:tc>
      </w:tr>
      <w:tr>
        <w:trPr/>
        <w:tc>
          <w:tcPr>
            <w:tcW w:w="34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21,833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21,952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383,240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367,893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34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Accumulated depreciation</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(287,974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(271,843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firstLine="280"/>
              <w:jc w:val="right"/>
              <w:rPr/>
            </w:pPr>
            <w:r>
              <w:rPr/>
              <w:t> </w:t>
            </w:r>
          </w:p>
        </w:tc>
      </w:tr>
      <w:tr>
        <w:trPr/>
        <w:tc>
          <w:tcPr>
            <w:tcW w:w="34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95,266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96,050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Depreciation expense for the three months ended June 30, 2023 and June 30, 2022 was $9.5</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$9.9</w:t>
      </w:r>
      <w:r>
        <w:rPr>
          <w:rFonts w:ascii="Times New Roman" w:hAnsi="Times New Roman"/>
          <w:sz w:val="20"/>
        </w:rPr>
        <w:t xml:space="preserve"> </w:t>
      </w:r>
      <w:r>
        <w:rPr>
          <w:rFonts w:ascii="Arial;sans-serif" w:hAnsi="Arial;sans-serif"/>
          <w:b w:val="false"/>
          <w:sz w:val="20"/>
        </w:rPr>
        <w:t>million, respectively, and $18.9</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$19.6</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for the six months ended June 30, 2023 and June 30, 2022, respectively.</w:t>
      </w:r>
    </w:p>
    <w:p>
      <w:pPr>
        <w:pStyle w:val="TextBody"/>
        <w:bidi w:val="0"/>
        <w:spacing w:before="240" w:after="0"/>
        <w:jc w:val="center"/>
        <w:rPr>
          <w:rFonts w:ascii="Arial;sans-serif" w:hAnsi="Arial;sans-serif"/>
          <w:b w:val="false"/>
          <w:sz w:val="20"/>
        </w:rPr>
      </w:pPr>
      <w:r>
        <w:rPr>
          <w:rFonts w:ascii="Arial;sans-serif" w:hAnsi="Arial;sans-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Arial" w:hAnsi="Arial"/>
          <w:b/>
          <w:sz w:val="20"/>
        </w:rPr>
      </w:pPr>
      <w:r>
        <w:rPr>
          <w:rFonts w:ascii="Arial" w:hAnsi="Arial"/>
          <w:b/>
          <w:sz w:val="20"/>
        </w:rPr>
        <w:t>10.</w:t>
      </w:r>
    </w:p>
    <w:p>
      <w:pPr>
        <w:pStyle w:val="TextBody"/>
        <w:bidi w:val="0"/>
        <w:spacing w:before="120" w:after="283"/>
        <w:jc w:val="left"/>
        <w:rPr>
          <w:rFonts w:ascii="Arial;sans-serif" w:hAnsi="Arial;sans-serif"/>
          <w:b/>
          <w:sz w:val="20"/>
        </w:rPr>
      </w:pPr>
      <w:r>
        <w:rPr>
          <w:rFonts w:ascii="Arial;sans-serif" w:hAnsi="Arial;sans-serif"/>
          <w:b/>
          <w:sz w:val="20"/>
        </w:rPr>
        <w:t xml:space="preserve">Debt and Credit Facilities </w:t>
      </w:r>
    </w:p>
    <w:p>
      <w:pPr>
        <w:pStyle w:val="TextBody"/>
        <w:bidi w:val="0"/>
        <w:spacing w:before="120" w:after="0"/>
        <w:jc w:val="left"/>
        <w:rPr>
          <w:rFonts w:ascii="Times New Roman" w:hAnsi="Times New Roman"/>
          <w:sz w:val="20"/>
        </w:rPr>
      </w:pPr>
      <w:r>
        <w:rPr>
          <w:rFonts w:ascii="Arial;sans-serif" w:hAnsi="Arial;sans-serif"/>
          <w:b w:val="false"/>
          <w:sz w:val="20"/>
        </w:rPr>
        <w:t>Debt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5755" w:type="dxa"/>
        <w:jc w:val="left"/>
        <w:tblInd w:w="0" w:type="dxa"/>
        <w:tblLayout w:type="fixed"/>
        <w:tblCellMar>
          <w:top w:w="28" w:type="dxa"/>
          <w:left w:w="28" w:type="dxa"/>
          <w:bottom w:w="28" w:type="dxa"/>
          <w:right w:w="28" w:type="dxa"/>
        </w:tblCellMar>
      </w:tblPr>
      <w:tblGrid>
        <w:gridCol w:w="2221"/>
        <w:gridCol w:w="146"/>
        <w:gridCol w:w="245"/>
        <w:gridCol w:w="925"/>
        <w:gridCol w:w="166"/>
        <w:gridCol w:w="146"/>
        <w:gridCol w:w="330"/>
        <w:gridCol w:w="1245"/>
        <w:gridCol w:w="33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firstLine="140"/>
              <w:jc w:val="left"/>
              <w:rPr/>
            </w:pPr>
            <w:r>
              <w:rPr/>
              <w:t> </w:t>
            </w:r>
          </w:p>
        </w:tc>
      </w:tr>
      <w:tr>
        <w:trPr/>
        <w:tc>
          <w:tcPr>
            <w:tcW w:w="2221" w:type="dxa"/>
            <w:tcBorders/>
            <w:vAlign w:val="center"/>
          </w:tcPr>
          <w:p>
            <w:pPr>
              <w:pStyle w:val="TableContents"/>
              <w:bidi w:val="0"/>
              <w:spacing w:before="0" w:after="0"/>
              <w:ind w:left="140" w:right="0" w:hanging="0"/>
              <w:jc w:val="left"/>
              <w:rPr>
                <w:rFonts w:ascii="Arial;sans-serif" w:hAnsi="Arial;sans-serif"/>
                <w:b w:val="false"/>
                <w:sz w:val="20"/>
              </w:rPr>
            </w:pPr>
            <w:r>
              <w:rPr>
                <w:rFonts w:ascii="Arial;sans-serif" w:hAnsi="Arial;sans-serif"/>
                <w:b w:val="false"/>
                <w:sz w:val="20"/>
              </w:rPr>
              <w:t>Delayed draw term loan</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350,000</w:t>
            </w:r>
          </w:p>
        </w:tc>
        <w:tc>
          <w:tcPr>
            <w:tcW w:w="331" w:type="dxa"/>
            <w:tcBorders/>
            <w:vAlign w:val="center"/>
          </w:tcPr>
          <w:p>
            <w:pPr>
              <w:pStyle w:val="TableContents"/>
              <w:bidi w:val="0"/>
              <w:spacing w:before="0" w:after="0"/>
              <w:ind w:left="0" w:right="0" w:firstLine="140"/>
              <w:jc w:val="left"/>
              <w:rPr/>
            </w:pPr>
            <w:r>
              <w:rPr/>
              <w:t> </w:t>
            </w:r>
          </w:p>
        </w:tc>
      </w:tr>
      <w:tr>
        <w:trPr/>
        <w:tc>
          <w:tcPr>
            <w:tcW w:w="2221" w:type="dxa"/>
            <w:tcBorders/>
            <w:vAlign w:val="center"/>
          </w:tcPr>
          <w:p>
            <w:pPr>
              <w:pStyle w:val="TableContents"/>
              <w:bidi w:val="0"/>
              <w:spacing w:before="0" w:after="0"/>
              <w:ind w:left="140" w:right="0" w:hanging="0"/>
              <w:jc w:val="left"/>
              <w:rPr>
                <w:rFonts w:ascii="Arial;sans-serif" w:hAnsi="Arial;sans-serif"/>
                <w:b w:val="false"/>
                <w:sz w:val="20"/>
              </w:rPr>
            </w:pPr>
            <w:r>
              <w:rPr>
                <w:rFonts w:ascii="Arial;sans-serif" w:hAnsi="Arial;sans-serif"/>
                <w:b w:val="false"/>
                <w:sz w:val="20"/>
              </w:rPr>
              <w:t>Convertible senior notes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400,000</w:t>
            </w:r>
          </w:p>
        </w:tc>
        <w:tc>
          <w:tcPr>
            <w:tcW w:w="331" w:type="dxa"/>
            <w:tcBorders/>
            <w:vAlign w:val="center"/>
          </w:tcPr>
          <w:p>
            <w:pPr>
              <w:pStyle w:val="TableContents"/>
              <w:bidi w:val="0"/>
              <w:spacing w:before="0" w:after="0"/>
              <w:ind w:left="0" w:right="0" w:firstLine="140"/>
              <w:jc w:val="left"/>
              <w:rPr/>
            </w:pPr>
            <w:r>
              <w:rPr/>
              <w:t> </w:t>
            </w:r>
          </w:p>
        </w:tc>
      </w:tr>
      <w:tr>
        <w:trPr/>
        <w:tc>
          <w:tcPr>
            <w:tcW w:w="2221" w:type="dxa"/>
            <w:tcBorders/>
            <w:vAlign w:val="center"/>
          </w:tcPr>
          <w:p>
            <w:pPr>
              <w:pStyle w:val="TableContents"/>
              <w:bidi w:val="0"/>
              <w:spacing w:before="0" w:after="0"/>
              <w:ind w:left="140" w:right="0" w:hanging="0"/>
              <w:jc w:val="left"/>
              <w:rPr>
                <w:rFonts w:ascii="Arial;sans-serif" w:hAnsi="Arial;sans-serif"/>
                <w:b w:val="false"/>
                <w:sz w:val="20"/>
              </w:rPr>
            </w:pPr>
            <w:r>
              <w:rPr>
                <w:rFonts w:ascii="Arial;sans-serif" w:hAnsi="Arial;sans-serif"/>
                <w:b w:val="false"/>
                <w:sz w:val="20"/>
              </w:rPr>
              <w:t>Revolving credit facility</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331" w:type="dxa"/>
            <w:tcBorders/>
            <w:vAlign w:val="center"/>
          </w:tcPr>
          <w:p>
            <w:pPr>
              <w:pStyle w:val="TableContents"/>
              <w:bidi w:val="0"/>
              <w:spacing w:before="0" w:after="0"/>
              <w:ind w:left="0" w:right="0" w:firstLine="140"/>
              <w:jc w:val="left"/>
              <w:rPr/>
            </w:pPr>
            <w:r>
              <w:rPr/>
              <w:t> </w:t>
            </w:r>
          </w:p>
        </w:tc>
      </w:tr>
      <w:tr>
        <w:trPr/>
        <w:tc>
          <w:tcPr>
            <w:tcW w:w="2221" w:type="dxa"/>
            <w:tcBorders/>
            <w:vAlign w:val="center"/>
          </w:tcPr>
          <w:p>
            <w:pPr>
              <w:pStyle w:val="TableContents"/>
              <w:bidi w:val="0"/>
              <w:spacing w:before="0" w:after="0"/>
              <w:ind w:left="140" w:right="0" w:hanging="0"/>
              <w:jc w:val="left"/>
              <w:rPr>
                <w:rFonts w:ascii="Arial;sans-serif" w:hAnsi="Arial;sans-serif"/>
                <w:b w:val="false"/>
                <w:sz w:val="20"/>
              </w:rPr>
            </w:pPr>
            <w:r>
              <w:rPr>
                <w:rFonts w:ascii="Arial;sans-serif" w:hAnsi="Arial;sans-serif"/>
                <w:b w:val="false"/>
                <w:sz w:val="20"/>
              </w:rPr>
              <w:t>Debt issuance costs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(6,395</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22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744,777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743,605</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Arial;sans-serif" w:hAnsi="Arial;sans-serif"/>
          <w:b/>
          <w:sz w:val="20"/>
        </w:rPr>
      </w:pPr>
      <w:r>
        <w:rPr>
          <w:rFonts w:ascii="Arial;sans-serif" w:hAnsi="Arial;sans-serif"/>
          <w:b/>
          <w:sz w:val="20"/>
        </w:rPr>
        <w:t>Delayed Draw Term Loan</w:t>
      </w:r>
    </w:p>
    <w:p>
      <w:pPr>
        <w:pStyle w:val="TextBody"/>
        <w:bidi w:val="0"/>
        <w:spacing w:before="240" w:after="0"/>
        <w:jc w:val="left"/>
        <w:rPr>
          <w:rFonts w:ascii="Times New Roman" w:hAnsi="Times New Roman"/>
          <w:sz w:val="20"/>
        </w:rPr>
      </w:pPr>
      <w:r>
        <w:rPr>
          <w:rFonts w:ascii="Arial;sans-serif" w:hAnsi="Arial;sans-serif"/>
          <w:b w:val="false"/>
          <w:sz w:val="20"/>
        </w:rPr>
        <w:t>In September 2022, the Company entered into a $350</w:t>
      </w:r>
      <w:r>
        <w:rPr>
          <w:rFonts w:ascii="Times New Roman" w:hAnsi="Times New Roman"/>
          <w:sz w:val="20"/>
        </w:rPr>
        <w:t xml:space="preserve"> </w:t>
      </w:r>
      <w:r>
        <w:rPr>
          <w:rFonts w:ascii="Arial;sans-serif" w:hAnsi="Arial;sans-serif"/>
          <w:b w:val="false"/>
          <w:sz w:val="20"/>
        </w:rPr>
        <w:t>million unsecured Delayed Draw Term Loan with an increase option of up to $150</w:t>
      </w:r>
      <w:r>
        <w:rPr>
          <w:rFonts w:ascii="Times New Roman" w:hAnsi="Times New Roman"/>
          <w:sz w:val="20"/>
        </w:rPr>
        <w:t xml:space="preserve"> </w:t>
      </w:r>
      <w:r>
        <w:rPr>
          <w:rFonts w:ascii="Arial;sans-serif" w:hAnsi="Arial;sans-serif"/>
          <w:b w:val="false"/>
          <w:sz w:val="20"/>
        </w:rPr>
        <w:t>million (the “2022 Delayed Draw Term Loan”). Proceeds of the 2022 Delayed Draw Term Loan Agreement may be used (a) to pay off in full, or partially payoff, the Company’s existing Senior Notes, (b) to prepay revolving loans outstanding under the Revolving Credit Agreement (as defined below), or (c) for working capital, capital expenditures and other lawful corporate purposes. The Company drew $350.0</w:t>
      </w:r>
      <w:r>
        <w:rPr>
          <w:rFonts w:ascii="Times New Roman" w:hAnsi="Times New Roman"/>
          <w:sz w:val="20"/>
        </w:rPr>
        <w:t xml:space="preserve"> </w:t>
      </w:r>
      <w:r>
        <w:rPr>
          <w:rFonts w:ascii="Arial;sans-serif" w:hAnsi="Arial;sans-serif"/>
          <w:b w:val="false"/>
          <w:sz w:val="20"/>
        </w:rPr>
        <w:t>million from the 2022 Delayed Draw Term Loan in November 2022. The Company incurred $0.9</w:t>
      </w:r>
      <w:r>
        <w:rPr>
          <w:rFonts w:ascii="Times New Roman" w:hAnsi="Times New Roman"/>
          <w:sz w:val="20"/>
        </w:rPr>
        <w:t xml:space="preserve"> </w:t>
      </w:r>
      <w:r>
        <w:rPr>
          <w:rFonts w:ascii="Arial;sans-serif" w:hAnsi="Arial;sans-serif"/>
          <w:b w:val="false"/>
          <w:sz w:val="20"/>
        </w:rPr>
        <w:t>million of debt issuance costs in connection with the delayed draw term loan as of December 31, 2022. These costs are presented as a direct deduction from long-term debt on the face of the balance sheet. Interest expense related to the Delayed Draw Term Loan was $5.6</w:t>
      </w:r>
      <w:r>
        <w:rPr>
          <w:rFonts w:ascii="Times New Roman" w:hAnsi="Times New Roman"/>
          <w:sz w:val="20"/>
        </w:rPr>
        <w:t xml:space="preserve"> </w:t>
      </w:r>
      <w:r>
        <w:rPr>
          <w:rFonts w:ascii="Arial;sans-serif" w:hAnsi="Arial;sans-serif"/>
          <w:b w:val="false"/>
          <w:sz w:val="20"/>
        </w:rPr>
        <w:t>million and $10.7</w:t>
      </w:r>
      <w:r>
        <w:rPr>
          <w:rFonts w:ascii="Times New Roman" w:hAnsi="Times New Roman"/>
          <w:sz w:val="20"/>
        </w:rPr>
        <w:t xml:space="preserve"> </w:t>
      </w:r>
      <w:r>
        <w:rPr>
          <w:rFonts w:ascii="Arial;sans-serif" w:hAnsi="Arial;sans-serif"/>
          <w:b w:val="false"/>
          <w:sz w:val="20"/>
        </w:rPr>
        <w:t>million for the three and six months ended June 30, 2023, respectively. The amortization of debt issuance costs and interest expense is recorded in “Interest expense” on the consolidated statements of income. As of June 30, 2023</w:t>
      </w:r>
      <w:r>
        <w:rPr>
          <w:rFonts w:ascii="Times New Roman" w:hAnsi="Times New Roman"/>
          <w:sz w:val="20"/>
        </w:rPr>
        <w:t xml:space="preserve"> </w:t>
      </w:r>
      <w:r>
        <w:rPr>
          <w:rFonts w:ascii="Arial;sans-serif" w:hAnsi="Arial;sans-serif"/>
          <w:b w:val="false"/>
          <w:sz w:val="20"/>
        </w:rPr>
        <w:t>and December 31, 2022, there was $350.0</w:t>
      </w:r>
      <w:r>
        <w:rPr>
          <w:rFonts w:ascii="Times New Roman" w:hAnsi="Times New Roman"/>
          <w:sz w:val="20"/>
        </w:rPr>
        <w:t xml:space="preserve"> </w:t>
      </w:r>
      <w:r>
        <w:rPr>
          <w:rFonts w:ascii="Arial;sans-serif" w:hAnsi="Arial;sans-serif"/>
          <w:b w:val="false"/>
          <w:sz w:val="20"/>
        </w:rPr>
        <w:t>million outstanding under the Delayed Draw Term Loan. The interest rates on June 30, 2023 and December 31, 2022 were 6.5% and 5.7%, respectively.</w:t>
      </w:r>
    </w:p>
    <w:p>
      <w:pPr>
        <w:pStyle w:val="TextBody"/>
        <w:bidi w:val="0"/>
        <w:spacing w:before="240" w:after="0"/>
        <w:jc w:val="left"/>
        <w:rPr>
          <w:rFonts w:ascii="Times New Roman" w:hAnsi="Times New Roman"/>
          <w:sz w:val="20"/>
        </w:rPr>
      </w:pPr>
      <w:r>
        <w:rPr>
          <w:rFonts w:ascii="Arial;sans-serif" w:hAnsi="Arial;sans-serif"/>
          <w:b w:val="false"/>
          <w:sz w:val="20"/>
        </w:rPr>
        <w:t>The 2022 Delayed Draw Term Loan has a three-year</w:t>
      </w:r>
      <w:r>
        <w:rPr>
          <w:rFonts w:ascii="Times New Roman" w:hAnsi="Times New Roman"/>
          <w:sz w:val="20"/>
        </w:rPr>
        <w:t xml:space="preserve"> </w:t>
      </w:r>
      <w:r>
        <w:rPr>
          <w:rFonts w:ascii="Arial;sans-serif" w:hAnsi="Arial;sans-serif"/>
          <w:b w:val="false"/>
          <w:sz w:val="20"/>
        </w:rPr>
        <w:t>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w:t>
      </w:r>
    </w:p>
    <w:p>
      <w:pPr>
        <w:pStyle w:val="TextBody"/>
        <w:bidi w:val="0"/>
        <w:spacing w:before="160" w:after="0"/>
        <w:jc w:val="left"/>
        <w:rPr>
          <w:rFonts w:ascii="Arial;sans-serif" w:hAnsi="Arial;sans-serif"/>
          <w:b/>
          <w:i/>
          <w:sz w:val="20"/>
        </w:rPr>
      </w:pPr>
      <w:r>
        <w:rPr>
          <w:rFonts w:ascii="Arial;sans-serif" w:hAnsi="Arial;sans-serif"/>
          <w:b/>
          <w:i/>
          <w:sz w:val="20"/>
        </w:rPr>
        <w:t>Convertible Senior Notes</w:t>
      </w:r>
    </w:p>
    <w:p>
      <w:pPr>
        <w:pStyle w:val="TextBody"/>
        <w:bidi w:val="0"/>
        <w:spacing w:before="120" w:after="0"/>
        <w:jc w:val="left"/>
        <w:rPr>
          <w:rFonts w:ascii="Times New Roman" w:hAnsi="Times New Roman"/>
          <w:sz w:val="20"/>
        </w:rPr>
      </w:pPr>
      <w:r>
        <w:rPr>
          <w:rFonts w:ascii="Arial;sans-serif" w:hAnsi="Arial;sans-serif"/>
          <w:b w:val="false"/>
          <w:sz w:val="20"/>
        </w:rPr>
        <w:t>In August 2020, the Company issued an aggregate $400.0</w:t>
      </w:r>
      <w:r>
        <w:rPr>
          <w:rFonts w:ascii="Times New Roman" w:hAnsi="Times New Roman"/>
          <w:sz w:val="20"/>
        </w:rPr>
        <w:t xml:space="preserve"> </w:t>
      </w:r>
      <w:r>
        <w:rPr>
          <w:rFonts w:ascii="Arial;sans-serif" w:hAnsi="Arial;sans-serif"/>
          <w:b w:val="false"/>
          <w:sz w:val="20"/>
        </w:rPr>
        <w:t>million of 0.25% Convertible Senior Notes due 2025, including the exercise of a $50.0</w:t>
      </w:r>
      <w:r>
        <w:rPr>
          <w:rFonts w:ascii="Times New Roman" w:hAnsi="Times New Roman"/>
          <w:sz w:val="20"/>
        </w:rPr>
        <w:t xml:space="preserve"> </w:t>
      </w:r>
      <w:r>
        <w:rPr>
          <w:rFonts w:ascii="Arial;sans-serif" w:hAnsi="Arial;sans-serif"/>
          <w:b w:val="false"/>
          <w:sz w:val="20"/>
        </w:rPr>
        <w:t>million initial purchasers’ option. The Company received proceeds from the issuance and sale of the Convertible Senior Notes of $389.7</w:t>
      </w:r>
      <w:r>
        <w:rPr>
          <w:rFonts w:ascii="Times New Roman" w:hAnsi="Times New Roman"/>
          <w:sz w:val="20"/>
        </w:rPr>
        <w:t xml:space="preserve"> </w:t>
      </w:r>
      <w:r>
        <w:rPr>
          <w:rFonts w:ascii="Arial;sans-serif" w:hAnsi="Arial;sans-serif"/>
          <w:b w:val="false"/>
          <w:sz w:val="20"/>
        </w:rPr>
        <w:t>million, net of $10.3</w:t>
      </w:r>
      <w:r>
        <w:rPr>
          <w:rFonts w:ascii="Times New Roman" w:hAnsi="Times New Roman"/>
          <w:sz w:val="20"/>
        </w:rPr>
        <w:t xml:space="preserve"> </w:t>
      </w:r>
      <w:r>
        <w:rPr>
          <w:rFonts w:ascii="Arial;sans-serif" w:hAnsi="Arial;sans-serif"/>
          <w:b w:val="false"/>
          <w:sz w:val="20"/>
        </w:rPr>
        <w:t>million of transaction fees and other third-party offering expenses. The Convertible Senior Notes accrue interest at a rate of 0.25% per annum, payable semi-annually</w:t>
      </w:r>
      <w:r>
        <w:rPr>
          <w:rFonts w:ascii="Arial;sans-serif" w:hAnsi="Arial;sans-serif"/>
          <w:sz w:val="20"/>
        </w:rPr>
        <w:t xml:space="preserve"> </w:t>
      </w:r>
      <w:r>
        <w:rPr>
          <w:rFonts w:ascii="Arial;sans-serif" w:hAnsi="Arial;sans-serif"/>
          <w:b w:val="false"/>
          <w:sz w:val="20"/>
        </w:rPr>
        <w:t>on February 15 and August 15 of each year beginning on February 15, 2021, and will mature on August 15, 2025, unless earlier repurchased, redeemed or converted.</w:t>
      </w:r>
    </w:p>
    <w:p>
      <w:pPr>
        <w:pStyle w:val="TextBody"/>
        <w:bidi w:val="0"/>
        <w:spacing w:before="240" w:after="0"/>
        <w:jc w:val="left"/>
        <w:rPr>
          <w:rFonts w:ascii="Arial;sans-serif" w:hAnsi="Arial;sans-serif"/>
          <w:b w:val="false"/>
          <w:sz w:val="20"/>
        </w:rPr>
      </w:pPr>
      <w:r>
        <w:rPr>
          <w:rFonts w:ascii="Arial;sans-serif" w:hAnsi="Arial;sans-serif"/>
          <w:b w:val="false"/>
          <w:sz w:val="20"/>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pStyle w:val="TextBody"/>
        <w:bidi w:val="0"/>
        <w:spacing w:before="240" w:after="0"/>
        <w:jc w:val="left"/>
        <w:rPr>
          <w:rFonts w:ascii="Times New Roman" w:hAnsi="Times New Roman"/>
          <w:sz w:val="20"/>
        </w:rPr>
      </w:pPr>
      <w:r>
        <w:rPr>
          <w:rFonts w:ascii="Arial;sans-serif" w:hAnsi="Arial;sans-serif"/>
          <w:b w:val="false"/>
          <w:sz w:val="20"/>
        </w:rPr>
        <w:t>Each $1,000</w:t>
      </w:r>
      <w:r>
        <w:rPr>
          <w:rFonts w:ascii="Times New Roman" w:hAnsi="Times New Roman"/>
          <w:sz w:val="20"/>
        </w:rPr>
        <w:t xml:space="preserve"> </w:t>
      </w:r>
      <w:r>
        <w:rPr>
          <w:rFonts w:ascii="Arial;sans-serif" w:hAnsi="Arial;sans-serif"/>
          <w:b w:val="false"/>
          <w:sz w:val="20"/>
        </w:rPr>
        <w:t>of principal of the Notes will initially be convertible into 22.2913</w:t>
      </w:r>
      <w:r>
        <w:rPr>
          <w:rFonts w:ascii="Times New Roman" w:hAnsi="Times New Roman"/>
          <w:sz w:val="20"/>
        </w:rPr>
        <w:t xml:space="preserve"> </w:t>
      </w:r>
      <w:r>
        <w:rPr>
          <w:rFonts w:ascii="Arial;sans-serif" w:hAnsi="Arial;sans-serif"/>
          <w:b w:val="false"/>
          <w:sz w:val="20"/>
        </w:rPr>
        <w:t>shares of our common stock, which is equivalent to an initial conversion price of $44.86</w:t>
      </w:r>
      <w:r>
        <w:rPr>
          <w:rFonts w:ascii="Times New Roman" w:hAnsi="Times New Roman"/>
          <w:sz w:val="20"/>
        </w:rPr>
        <w:t xml:space="preserve"> </w:t>
      </w:r>
      <w:r>
        <w:rPr>
          <w:rFonts w:ascii="Arial;sans-serif" w:hAnsi="Arial;sans-serif"/>
          <w:b w:val="false"/>
          <w:sz w:val="20"/>
        </w:rPr>
        <w:t>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Arial;sans-serif" w:hAnsi="Arial;sans-serif"/>
          <w:b w:val="false"/>
          <w:sz w:val="20"/>
        </w:rPr>
      </w:pPr>
      <w:r>
        <w:rPr>
          <w:rFonts w:ascii="Arial;sans-serif" w:hAnsi="Arial;sans-serif"/>
          <w:b w:val="false"/>
          <w:sz w:val="20"/>
        </w:rPr>
        <w:t>Prior to the close of business on the business day immediately preceding March 15, 2025, the Notes will be convertible at the option of the holders thereof only under the following circumstances:</w:t>
      </w:r>
    </w:p>
    <w:p>
      <w:pPr>
        <w:pStyle w:val="TextBody"/>
        <w:bidi w:val="0"/>
        <w:spacing w:before="240" w:after="0"/>
        <w:jc w:val="left"/>
        <w:rPr/>
      </w:pPr>
      <w:r>
        <w:rPr/>
        <w:t>•</w:t>
      </w:r>
    </w:p>
    <w:p>
      <w:pPr>
        <w:pStyle w:val="TextBody"/>
        <w:bidi w:val="0"/>
        <w:spacing w:before="240" w:after="0"/>
        <w:jc w:val="left"/>
        <w:rPr>
          <w:rFonts w:ascii="Times New Roman;serif" w:hAnsi="Times New Roman;serif"/>
          <w:sz w:val="24"/>
        </w:rPr>
      </w:pPr>
      <w:r>
        <w:rPr>
          <w:rFonts w:ascii="Arial;sans-serif" w:hAnsi="Arial;sans-serif"/>
          <w:b w:val="false"/>
          <w:sz w:val="20"/>
        </w:rPr>
        <w:t>during any calendar quarter commencing after the calendar quarter ending on December 31, 2021, if the last reported sale price of the Company’s common stock for at least 20</w:t>
      </w:r>
      <w:r>
        <w:rPr>
          <w:rFonts w:ascii="Times New Roman;serif" w:hAnsi="Times New Roman;serif"/>
          <w:sz w:val="24"/>
        </w:rPr>
        <w:t xml:space="preserve"> </w:t>
      </w:r>
      <w:r>
        <w:rPr>
          <w:rFonts w:ascii="Arial;sans-serif" w:hAnsi="Arial;sans-serif"/>
          <w:b w:val="false"/>
          <w:sz w:val="20"/>
        </w:rPr>
        <w:t>trading days, whether or not consecutive, during a period of 30</w:t>
      </w:r>
      <w:r>
        <w:rPr>
          <w:rFonts w:ascii="Times New Roman;serif" w:hAnsi="Times New Roman;serif"/>
          <w:sz w:val="24"/>
        </w:rPr>
        <w:t xml:space="preserve"> </w:t>
      </w:r>
      <w:r>
        <w:rPr>
          <w:rFonts w:ascii="Arial;sans-serif" w:hAnsi="Arial;sans-serif"/>
          <w:b w:val="false"/>
          <w:sz w:val="20"/>
        </w:rPr>
        <w:t>consecutive trading days ending on, and including the last trading day of the immediately preceding calendar quarter, is greater than or equal to 130% of the conversion price on each applicable trading day;</w:t>
      </w:r>
    </w:p>
    <w:p>
      <w:pPr>
        <w:pStyle w:val="TextBody"/>
        <w:bidi w:val="0"/>
        <w:spacing w:before="240" w:after="0"/>
        <w:jc w:val="left"/>
        <w:rPr/>
      </w:pPr>
      <w:r>
        <w:rPr/>
        <w:t>•</w:t>
      </w:r>
    </w:p>
    <w:p>
      <w:pPr>
        <w:pStyle w:val="TextBody"/>
        <w:bidi w:val="0"/>
        <w:spacing w:before="240" w:after="0"/>
        <w:jc w:val="left"/>
        <w:rPr>
          <w:rFonts w:ascii="Times New Roman;serif" w:hAnsi="Times New Roman;serif"/>
          <w:sz w:val="24"/>
        </w:rPr>
      </w:pPr>
      <w:r>
        <w:rPr>
          <w:rFonts w:ascii="Arial;sans-serif" w:hAnsi="Arial;sans-serif"/>
          <w:b w:val="false"/>
          <w:sz w:val="20"/>
        </w:rPr>
        <w:t>during the five</w:t>
      </w:r>
      <w:r>
        <w:rPr>
          <w:rFonts w:ascii="Times New Roman;serif" w:hAnsi="Times New Roman;serif"/>
          <w:sz w:val="24"/>
        </w:rPr>
        <w:t xml:space="preserve"> </w:t>
      </w:r>
      <w:r>
        <w:rPr>
          <w:rFonts w:ascii="Arial;sans-serif" w:hAnsi="Arial;sans-serif"/>
          <w:b w:val="false"/>
          <w:sz w:val="20"/>
        </w:rPr>
        <w:t>business day period after any five</w:t>
      </w:r>
      <w:r>
        <w:rPr>
          <w:rFonts w:ascii="Times New Roman;serif" w:hAnsi="Times New Roman;serif"/>
          <w:sz w:val="24"/>
        </w:rPr>
        <w:t xml:space="preserve"> </w:t>
      </w:r>
      <w:r>
        <w:rPr>
          <w:rFonts w:ascii="Arial;sans-serif" w:hAnsi="Arial;sans-serif"/>
          <w:b w:val="false"/>
          <w:sz w:val="20"/>
        </w:rPr>
        <w:t>consecutive trading day period in which, for each trading day of that period, the trading price per $1,000</w:t>
      </w:r>
      <w:r>
        <w:rPr>
          <w:rFonts w:ascii="Times New Roman;serif" w:hAnsi="Times New Roman;serif"/>
          <w:sz w:val="24"/>
        </w:rPr>
        <w:t xml:space="preserve"> </w:t>
      </w:r>
      <w:r>
        <w:rPr>
          <w:rFonts w:ascii="Arial;sans-serif" w:hAnsi="Arial;sans-serif"/>
          <w:b w:val="false"/>
          <w:sz w:val="20"/>
        </w:rPr>
        <w:t>principal amount of Convertible Senior Notes for such trading day was less than 98% of the product of the last reported sale price of the Company’s common stock and the conversion rate on each such trading day;</w:t>
      </w:r>
    </w:p>
    <w:p>
      <w:pPr>
        <w:pStyle w:val="TextBody"/>
        <w:bidi w:val="0"/>
        <w:spacing w:before="240" w:after="0"/>
        <w:jc w:val="left"/>
        <w:rPr/>
      </w:pPr>
      <w:r>
        <w:rPr/>
        <w:t>•</w:t>
      </w:r>
    </w:p>
    <w:p>
      <w:pPr>
        <w:pStyle w:val="TextBody"/>
        <w:bidi w:val="0"/>
        <w:spacing w:before="240" w:after="0"/>
        <w:jc w:val="left"/>
        <w:rPr>
          <w:rFonts w:ascii="Arial;sans-serif" w:hAnsi="Arial;sans-serif"/>
          <w:b w:val="false"/>
          <w:sz w:val="20"/>
        </w:rPr>
      </w:pPr>
      <w:r>
        <w:rPr>
          <w:rFonts w:ascii="Arial;sans-serif" w:hAnsi="Arial;sans-serif"/>
          <w:b w:val="false"/>
          <w:sz w:val="20"/>
        </w:rPr>
        <w:t>if the Company calls such Convertible Senior Notes for redemption; or</w:t>
      </w:r>
    </w:p>
    <w:p>
      <w:pPr>
        <w:pStyle w:val="TextBody"/>
        <w:bidi w:val="0"/>
        <w:spacing w:before="240" w:after="0"/>
        <w:jc w:val="left"/>
        <w:rPr/>
      </w:pPr>
      <w:r>
        <w:rPr/>
        <w:t>•</w:t>
      </w:r>
    </w:p>
    <w:p>
      <w:pPr>
        <w:pStyle w:val="TextBody"/>
        <w:bidi w:val="0"/>
        <w:spacing w:before="240" w:after="283"/>
        <w:jc w:val="left"/>
        <w:rPr>
          <w:rFonts w:ascii="Arial;sans-serif" w:hAnsi="Arial;sans-serif"/>
          <w:b w:val="false"/>
          <w:sz w:val="20"/>
        </w:rPr>
      </w:pPr>
      <w:r>
        <w:rPr>
          <w:rFonts w:ascii="Arial;sans-serif" w:hAnsi="Arial;sans-serif"/>
          <w:b w:val="false"/>
          <w:sz w:val="20"/>
        </w:rPr>
        <w:t xml:space="preserve">upon the occurrence of specified corporate events described in the Indenture. </w:t>
      </w:r>
    </w:p>
    <w:p>
      <w:pPr>
        <w:pStyle w:val="TextBody"/>
        <w:bidi w:val="0"/>
        <w:spacing w:before="240" w:after="0"/>
        <w:jc w:val="left"/>
        <w:rPr>
          <w:rFonts w:ascii="Times New Roman" w:hAnsi="Times New Roman"/>
          <w:sz w:val="20"/>
        </w:rPr>
      </w:pPr>
      <w:r>
        <w:rPr>
          <w:rFonts w:ascii="Arial;sans-serif" w:hAnsi="Arial;sans-serif"/>
          <w:b w:val="false"/>
          <w:sz w:val="20"/>
        </w:rPr>
        <w:t>The Company may redeem all or any portion of the Convertible Senior Notes for cash, at its option, on or after August 21, 2023 and before the 51</w:t>
      </w:r>
      <w:r>
        <w:rPr>
          <w:rFonts w:ascii="Arial;sans-serif" w:hAnsi="Arial;sans-serif"/>
          <w:b w:val="false"/>
          <w:sz w:val="13"/>
        </w:rPr>
        <w:t>st</w:t>
      </w:r>
      <w:r>
        <w:rPr>
          <w:rFonts w:ascii="Times New Roman" w:hAnsi="Times New Roman"/>
          <w:sz w:val="20"/>
        </w:rPr>
        <w:t xml:space="preserve"> </w:t>
      </w:r>
      <w:r>
        <w:rPr>
          <w:rFonts w:ascii="Arial;sans-serif" w:hAnsi="Arial;sans-serif"/>
          <w:b w:val="false"/>
          <w:sz w:val="20"/>
        </w:rPr>
        <w:t>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pStyle w:val="TextBody"/>
        <w:bidi w:val="0"/>
        <w:spacing w:before="240" w:after="0"/>
        <w:jc w:val="left"/>
        <w:rPr>
          <w:rFonts w:ascii="Arial;sans-serif" w:hAnsi="Arial;sans-serif"/>
          <w:b w:val="false"/>
          <w:sz w:val="20"/>
        </w:rPr>
      </w:pPr>
      <w:r>
        <w:rPr>
          <w:rFonts w:ascii="Arial;sans-serif" w:hAnsi="Arial;sans-serif"/>
          <w:b w:val="false"/>
          <w:sz w:val="20"/>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pStyle w:val="TextBody"/>
        <w:bidi w:val="0"/>
        <w:spacing w:before="240" w:after="0"/>
        <w:jc w:val="left"/>
        <w:rPr>
          <w:rFonts w:ascii="Arial;sans-serif" w:hAnsi="Arial;sans-serif"/>
          <w:b w:val="false"/>
          <w:sz w:val="20"/>
        </w:rPr>
      </w:pPr>
      <w:r>
        <w:rPr>
          <w:rFonts w:ascii="Arial;sans-serif" w:hAnsi="Arial;sans-serif"/>
          <w:b w:val="false"/>
          <w:sz w:val="20"/>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pStyle w:val="TextBody"/>
        <w:bidi w:val="0"/>
        <w:spacing w:before="240" w:after="0"/>
        <w:jc w:val="left"/>
        <w:rPr>
          <w:rFonts w:ascii="Times New Roman" w:hAnsi="Times New Roman"/>
          <w:sz w:val="20"/>
        </w:rPr>
      </w:pPr>
      <w:r>
        <w:rPr>
          <w:rFonts w:ascii="Arial;sans-serif" w:hAnsi="Arial;sans-serif"/>
          <w:b w:val="false"/>
          <w:sz w:val="20"/>
        </w:rPr>
        <w:t>The Company recognized interest expense of approximately $0.7</w:t>
      </w:r>
      <w:r>
        <w:rPr>
          <w:rFonts w:ascii="Times New Roman" w:hAnsi="Times New Roman"/>
          <w:sz w:val="20"/>
        </w:rPr>
        <w:t xml:space="preserve"> </w:t>
      </w:r>
      <w:r>
        <w:rPr>
          <w:rFonts w:ascii="Arial;sans-serif" w:hAnsi="Arial;sans-serif"/>
          <w:b w:val="false"/>
          <w:sz w:val="20"/>
        </w:rPr>
        <w:t>million for both the three months ended June 30, 2023 and June 30, 2022</w:t>
      </w:r>
      <w:r>
        <w:rPr>
          <w:rFonts w:ascii="Times New Roman" w:hAnsi="Times New Roman"/>
          <w:sz w:val="20"/>
        </w:rPr>
        <w:t xml:space="preserve"> </w:t>
      </w:r>
      <w:r>
        <w:rPr>
          <w:rFonts w:ascii="Arial;sans-serif" w:hAnsi="Arial;sans-serif"/>
          <w:b w:val="false"/>
          <w:sz w:val="20"/>
        </w:rPr>
        <w:t>and $1.5</w:t>
      </w:r>
      <w:r>
        <w:rPr>
          <w:rFonts w:ascii="Times New Roman" w:hAnsi="Times New Roman"/>
          <w:sz w:val="20"/>
        </w:rPr>
        <w:t xml:space="preserve"> </w:t>
      </w:r>
      <w:r>
        <w:rPr>
          <w:rFonts w:ascii="Arial;sans-serif" w:hAnsi="Arial;sans-serif"/>
          <w:b w:val="false"/>
          <w:sz w:val="20"/>
        </w:rPr>
        <w:t>million for both the six months ended June 30, 2023 and June 30, 2022. As of June 30, 2023 and December 31, 2022, the carrying value of the Notes was $400.0</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p>
    <w:p>
      <w:pPr>
        <w:pStyle w:val="TextBody"/>
        <w:bidi w:val="0"/>
        <w:spacing w:before="160" w:after="0"/>
        <w:jc w:val="left"/>
        <w:rPr>
          <w:rFonts w:ascii="Arial;sans-serif" w:hAnsi="Arial;sans-serif"/>
          <w:b/>
          <w:i/>
          <w:sz w:val="20"/>
        </w:rPr>
      </w:pPr>
      <w:r>
        <w:rPr>
          <w:rFonts w:ascii="Arial;sans-serif" w:hAnsi="Arial;sans-serif"/>
          <w:b/>
          <w:i/>
          <w:sz w:val="20"/>
        </w:rPr>
        <w:t>Revolving Credit Facility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In June 2021, the Company entered into a $650</w:t>
      </w:r>
      <w:r>
        <w:rPr>
          <w:rFonts w:ascii="Times New Roman" w:hAnsi="Times New Roman"/>
          <w:sz w:val="20"/>
        </w:rPr>
        <w:t xml:space="preserve"> </w:t>
      </w:r>
      <w:r>
        <w:rPr>
          <w:rFonts w:ascii="Arial;sans-serif" w:hAnsi="Arial;sans-serif"/>
          <w:b w:val="false"/>
          <w:sz w:val="20"/>
        </w:rPr>
        <w:t>million unsecured revolving credit facility (the “Credit Agreement”). The Company incurred $1.9</w:t>
      </w:r>
      <w:r>
        <w:rPr>
          <w:rFonts w:ascii="Times New Roman" w:hAnsi="Times New Roman"/>
          <w:sz w:val="20"/>
        </w:rPr>
        <w:t xml:space="preserve"> </w:t>
      </w:r>
      <w:r>
        <w:rPr>
          <w:rFonts w:ascii="Arial;sans-serif" w:hAnsi="Arial;sans-serif"/>
          <w:b w:val="false"/>
          <w:sz w:val="20"/>
        </w:rPr>
        <w:t>million of costs in connection with this Credit Agreement. The 2021 Credit Agreement replaced an existing Fifth Amended and Restated Credit Agreement dated as of November 15, 2017. Under the new agreement, the Company’s revolving credit facility was increased from $550</w:t>
      </w:r>
      <w:r>
        <w:rPr>
          <w:rFonts w:ascii="Times New Roman" w:hAnsi="Times New Roman"/>
          <w:sz w:val="20"/>
        </w:rPr>
        <w:t xml:space="preserve"> </w:t>
      </w:r>
      <w:r>
        <w:rPr>
          <w:rFonts w:ascii="Arial;sans-serif" w:hAnsi="Arial;sans-serif"/>
          <w:b w:val="false"/>
          <w:sz w:val="20"/>
        </w:rPr>
        <w:t>million to $650</w:t>
      </w:r>
      <w:r>
        <w:rPr>
          <w:rFonts w:ascii="Times New Roman" w:hAnsi="Times New Roman"/>
          <w:sz w:val="20"/>
        </w:rPr>
        <w:t xml:space="preserve"> </w:t>
      </w:r>
      <w:r>
        <w:rPr>
          <w:rFonts w:ascii="Arial;sans-serif" w:hAnsi="Arial;sans-serif"/>
          <w:b w:val="false"/>
          <w:sz w:val="20"/>
        </w:rPr>
        <w:t>million. The credit facility has a five-year</w:t>
      </w:r>
      <w:r>
        <w:rPr>
          <w:rFonts w:ascii="Times New Roman" w:hAnsi="Times New Roman"/>
          <w:sz w:val="20"/>
        </w:rPr>
        <w:t xml:space="preserve"> </w:t>
      </w:r>
      <w:r>
        <w:rPr>
          <w:rFonts w:ascii="Arial;sans-serif" w:hAnsi="Arial;sans-serif"/>
          <w:b w:val="false"/>
          <w:sz w:val="20"/>
        </w:rPr>
        <w:t>maturity, which may be extended up to two</w:t>
      </w:r>
      <w:r>
        <w:rPr>
          <w:rFonts w:ascii="Times New Roman" w:hAnsi="Times New Roman"/>
          <w:sz w:val="20"/>
        </w:rPr>
        <w:t xml:space="preserve"> </w:t>
      </w:r>
      <w:r>
        <w:rPr>
          <w:rFonts w:ascii="Arial;sans-serif" w:hAnsi="Arial;sans-serif"/>
          <w:b w:val="false"/>
          <w:sz w:val="20"/>
        </w:rPr>
        <w:t>times for periods determined by the Company and the applicable extending lenders, and permits the Company to borrow in U.S. dollars, certain specified foreign currencies, and each other currency that may be approved in accordance with the 2021 Facility.</w:t>
      </w:r>
      <w:r>
        <w:rPr>
          <w:rFonts w:ascii="Times New Roman" w:hAnsi="Times New Roman"/>
          <w:sz w:val="20"/>
        </w:rPr>
        <w:t xml:space="preserve"> </w:t>
      </w:r>
      <w:r>
        <w:rPr>
          <w:rFonts w:ascii="Arial;sans-serif" w:hAnsi="Arial;sans-serif"/>
          <w:b w:val="false"/>
          <w:sz w:val="20"/>
        </w:rPr>
        <w:t>The borrowings under the Credit Agreement bear interest at either the Term SOFR rate plus a margin between 1.0% and 1.625% or a base rate (as defined in the Credit Agreement) plus a margin of between 0% and 0.625%.</w:t>
      </w:r>
      <w:r>
        <w:rPr>
          <w:rFonts w:ascii="Times New Roman" w:hAnsi="Times New Roman"/>
          <w:sz w:val="20"/>
        </w:rPr>
        <w:t xml:space="preserve"> </w:t>
      </w:r>
      <w:r>
        <w:rPr>
          <w:rFonts w:ascii="Arial;sans-serif" w:hAnsi="Arial;sans-serif"/>
          <w:b w:val="false"/>
          <w:sz w:val="20"/>
        </w:rPr>
        <w:t>The rates on June 30, 2023 and December 31, 2022</w:t>
      </w:r>
      <w:r>
        <w:rPr>
          <w:rFonts w:ascii="Times New Roman" w:hAnsi="Times New Roman"/>
          <w:sz w:val="20"/>
        </w:rPr>
        <w:t xml:space="preserve"> </w:t>
      </w:r>
      <w:r>
        <w:rPr>
          <w:rFonts w:ascii="Arial;sans-serif" w:hAnsi="Arial;sans-serif"/>
          <w:b w:val="false"/>
          <w:sz w:val="20"/>
        </w:rPr>
        <w:t>were 8.5% and 5.7%, respectively. Borrowings under this Credit Agreement are guaranteed by certain Company operating subsidiaries. Letters of credit commitments outstanding under this agreement aggregated to $43.9</w:t>
      </w:r>
      <w:r>
        <w:rPr>
          <w:rFonts w:ascii="Times New Roman" w:hAnsi="Times New Roman"/>
          <w:sz w:val="20"/>
        </w:rPr>
        <w:t xml:space="preserve"> </w:t>
      </w:r>
      <w:r>
        <w:rPr>
          <w:rFonts w:ascii="Arial;sans-serif" w:hAnsi="Arial;sans-serif"/>
          <w:b w:val="false"/>
          <w:sz w:val="20"/>
        </w:rPr>
        <w:t>million and $44.5</w:t>
      </w:r>
      <w:r>
        <w:rPr>
          <w:rFonts w:ascii="Times New Roman" w:hAnsi="Times New Roman"/>
          <w:sz w:val="20"/>
        </w:rPr>
        <w:t xml:space="preserve"> </w:t>
      </w:r>
      <w:r>
        <w:rPr>
          <w:rFonts w:ascii="Arial;sans-serif" w:hAnsi="Arial;sans-serif"/>
          <w:b w:val="false"/>
          <w:sz w:val="20"/>
        </w:rPr>
        <w:t>million at March 31, 2023 and December 31, 2022, respectively, which reduced borrowing limits available to the Company. Interest expense related to the Credit Agreement was $0.3</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w:t>
      </w:r>
      <w:r>
        <w:rPr>
          <w:rFonts w:ascii="Times New Roman" w:hAnsi="Times New Roman"/>
          <w:sz w:val="20"/>
        </w:rPr>
        <w:t xml:space="preserve"> </w:t>
      </w:r>
      <w:r>
        <w:rPr>
          <w:rFonts w:ascii="Arial;sans-serif" w:hAnsi="Arial;sans-serif"/>
          <w:b w:val="false"/>
          <w:sz w:val="20"/>
        </w:rPr>
        <w:t>$0.8</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for the three months ended June 30, 2023 and June 30, 2022, respectively and $0.5</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$0.9</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for the six months ended June 30, 2023 and June 30, 2022, respectively. There were no</w:t>
      </w:r>
      <w:r>
        <w:rPr>
          <w:rFonts w:ascii="Times New Roman" w:hAnsi="Times New Roman"/>
          <w:sz w:val="20"/>
        </w:rPr>
        <w:t xml:space="preserve"> </w:t>
      </w:r>
      <w:r>
        <w:rPr>
          <w:rFonts w:ascii="Arial;sans-serif" w:hAnsi="Arial;sans-serif"/>
          <w:b w:val="false"/>
          <w:sz w:val="20"/>
        </w:rPr>
        <w:t>loan amounts outstanding under the Credit Agreement at June 30, 2023.</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The Credit Agreement includes various covenants, including restrictions on indebtedness, liens, acquisitions, investments or dispositions, payment of dividends and maintenance of certain financial ratios and conditions. The Company was in compliance with these covenants at June 30, 2023 and December 31, 2022.</w:t>
      </w:r>
      <w:r>
        <w:rPr>
          <w:rFonts w:ascii="Times New Roman" w:hAnsi="Times New Roman"/>
          <w:sz w:val="20"/>
        </w:rPr>
        <w:t xml:space="preserve"> </w:t>
      </w:r>
    </w:p>
    <w:p>
      <w:pPr>
        <w:pStyle w:val="TextBody"/>
        <w:bidi w:val="0"/>
        <w:spacing w:before="240" w:after="0"/>
        <w:jc w:val="left"/>
        <w:rPr>
          <w:rFonts w:ascii="Arial;sans-serif" w:hAnsi="Arial;sans-serif"/>
          <w:b/>
          <w:sz w:val="20"/>
        </w:rPr>
      </w:pPr>
      <w:r>
        <w:rPr>
          <w:rFonts w:ascii="Arial;sans-serif" w:hAnsi="Arial;sans-serif"/>
          <w:b/>
          <w:sz w:val="20"/>
        </w:rPr>
        <w:t>Letters of Credit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Company also has in place several secondary bank credit lines for issuing letters of credit, principally for foreign contracts, to support performance and completion guarantees. Letters of credit commitments outstanding under these bank lines aggregated approximately $243.0</w:t>
      </w:r>
      <w:r>
        <w:rPr>
          <w:rFonts w:ascii="Times New Roman" w:hAnsi="Times New Roman"/>
          <w:sz w:val="20"/>
        </w:rPr>
        <w:t xml:space="preserve"> </w:t>
      </w:r>
      <w:r>
        <w:rPr>
          <w:rFonts w:ascii="Arial;sans-serif" w:hAnsi="Arial;sans-serif"/>
          <w:b w:val="false"/>
          <w:sz w:val="20"/>
        </w:rPr>
        <w:t>million and $222.5</w:t>
      </w:r>
      <w:r>
        <w:rPr>
          <w:rFonts w:ascii="Times New Roman" w:hAnsi="Times New Roman"/>
          <w:sz w:val="20"/>
        </w:rPr>
        <w:t xml:space="preserve"> </w:t>
      </w:r>
      <w:r>
        <w:rPr>
          <w:rFonts w:ascii="Arial;sans-serif" w:hAnsi="Arial;sans-serif"/>
          <w:b w:val="false"/>
          <w:sz w:val="20"/>
        </w:rPr>
        <w:t>million at June 30, 2023 and December 31, 2022, respectively.</w:t>
      </w:r>
    </w:p>
    <w:p>
      <w:pPr>
        <w:pStyle w:val="TextBody"/>
        <w:bidi w:val="0"/>
        <w:spacing w:before="240" w:after="0"/>
        <w:jc w:val="left"/>
        <w:rPr>
          <w:rFonts w:ascii="Times New Roman" w:hAnsi="Times New Roman"/>
          <w:sz w:val="20"/>
        </w:rPr>
      </w:pPr>
      <w:r>
        <w:rPr>
          <w:rFonts w:ascii="Arial;sans-serif" w:hAnsi="Arial;sans-serif"/>
          <w:b/>
          <w:i/>
          <w:sz w:val="20"/>
        </w:rPr>
        <w:t>Convertible Note Hedge and Warrant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In connection with the sale of the Convertible Senior Notes, the Company purchased a bond hedge designed to mitigate the potential dilution from the conversion of the Convertible Senior Notes. Under the five-year</w:t>
      </w:r>
      <w:r>
        <w:rPr>
          <w:rFonts w:ascii="Times New Roman" w:hAnsi="Times New Roman"/>
          <w:sz w:val="20"/>
        </w:rPr>
        <w:t xml:space="preserve"> </w:t>
      </w:r>
      <w:r>
        <w:rPr>
          <w:rFonts w:ascii="Arial;sans-serif" w:hAnsi="Arial;sans-serif"/>
          <w:b w:val="false"/>
          <w:sz w:val="20"/>
        </w:rPr>
        <w:t>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w:t>
      </w:r>
      <w:r>
        <w:rPr>
          <w:rFonts w:ascii="Times New Roman" w:hAnsi="Times New Roman"/>
          <w:sz w:val="20"/>
        </w:rPr>
        <w:t xml:space="preserve"> </w:t>
      </w:r>
      <w:r>
        <w:rPr>
          <w:rFonts w:ascii="Arial;sans-serif" w:hAnsi="Arial;sans-serif"/>
          <w:b w:val="false"/>
          <w:sz w:val="20"/>
        </w:rPr>
        <w:t>million shares. The cost of the convertible note hedge transactions was $55.0</w:t>
      </w:r>
      <w:r>
        <w:rPr>
          <w:rFonts w:ascii="Times New Roman" w:hAnsi="Times New Roman"/>
          <w:sz w:val="20"/>
        </w:rPr>
        <w:t xml:space="preserve"> </w:t>
      </w:r>
      <w:r>
        <w:rPr>
          <w:rFonts w:ascii="Arial;sans-serif" w:hAnsi="Arial;sans-serif"/>
          <w:b w:val="false"/>
          <w:sz w:val="20"/>
        </w:rPr>
        <w:t>million.</w:t>
      </w:r>
    </w:p>
    <w:p>
      <w:pPr>
        <w:pStyle w:val="TextBody"/>
        <w:bidi w:val="0"/>
        <w:spacing w:before="240" w:after="0"/>
        <w:jc w:val="left"/>
        <w:rPr>
          <w:rFonts w:ascii="Times New Roman" w:hAnsi="Times New Roman"/>
          <w:sz w:val="20"/>
        </w:rPr>
      </w:pPr>
      <w:r>
        <w:rPr>
          <w:rFonts w:ascii="Arial;sans-serif" w:hAnsi="Arial;sans-serif"/>
          <w:b w:val="false"/>
          <w:sz w:val="20"/>
        </w:rPr>
        <w:t>The cost of the convertible note hedge was partially offset by the Company’s sale of warrants to acquire approximately 8.9</w:t>
      </w:r>
      <w:r>
        <w:rPr>
          <w:rFonts w:ascii="Times New Roman" w:hAnsi="Times New Roman"/>
          <w:sz w:val="20"/>
        </w:rPr>
        <w:t xml:space="preserve"> </w:t>
      </w:r>
      <w:r>
        <w:rPr>
          <w:rFonts w:ascii="Arial;sans-serif" w:hAnsi="Arial;sans-serif"/>
          <w:b w:val="false"/>
          <w:sz w:val="20"/>
        </w:rPr>
        <w:t>million shares of the Company’s common stock. The warrants were initially exercisable at a price of at least $66.46</w:t>
      </w:r>
      <w:r>
        <w:rPr>
          <w:rFonts w:ascii="Times New Roman" w:hAnsi="Times New Roman"/>
          <w:sz w:val="20"/>
        </w:rPr>
        <w:t xml:space="preserve"> </w:t>
      </w:r>
      <w:r>
        <w:rPr>
          <w:rFonts w:ascii="Arial;sans-serif" w:hAnsi="Arial;sans-serif"/>
          <w:b w:val="false"/>
          <w:sz w:val="20"/>
        </w:rPr>
        <w:t>per share and are subject to customary adjustments upon the occurrence of certain events, such as the payment of dividends. The Company received $13.8</w:t>
      </w:r>
      <w:r>
        <w:rPr>
          <w:rFonts w:ascii="Times New Roman" w:hAnsi="Times New Roman"/>
          <w:sz w:val="20"/>
        </w:rPr>
        <w:t xml:space="preserve"> </w:t>
      </w:r>
      <w:r>
        <w:rPr>
          <w:rFonts w:ascii="Arial;sans-serif" w:hAnsi="Arial;sans-serif"/>
          <w:b w:val="false"/>
          <w:sz w:val="20"/>
        </w:rPr>
        <w:t>million in cash proceeds from the sales of these warrants.</w:t>
      </w:r>
    </w:p>
    <w:p>
      <w:pPr>
        <w:pStyle w:val="TextBody"/>
        <w:bidi w:val="0"/>
        <w:spacing w:before="240" w:after="0"/>
        <w:jc w:val="left"/>
        <w:rPr>
          <w:rFonts w:ascii="Times New Roman" w:hAnsi="Times New Roman"/>
          <w:sz w:val="20"/>
        </w:rPr>
      </w:pPr>
      <w:r>
        <w:rPr>
          <w:rFonts w:ascii="Arial;sans-serif" w:hAnsi="Arial;sans-serif"/>
          <w:b w:val="false"/>
          <w:sz w:val="20"/>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bond hedges and warrants are indexed to, and potentially settled in, shares of the Company’s common stock. The net cost of $41.2</w:t>
      </w:r>
      <w:r>
        <w:rPr>
          <w:rFonts w:ascii="Times New Roman" w:hAnsi="Times New Roman"/>
          <w:sz w:val="20"/>
        </w:rPr>
        <w:t xml:space="preserve"> </w:t>
      </w:r>
      <w:r>
        <w:rPr>
          <w:rFonts w:ascii="Arial;sans-serif" w:hAnsi="Arial;sans-serif"/>
          <w:b w:val="false"/>
          <w:sz w:val="20"/>
        </w:rPr>
        <w:t>million for the purchase of the bond hedges and sale of the warrants was recorded as a reduction to additional paid-in capital in the consolidated balance sheets.</w:t>
      </w:r>
    </w:p>
    <w:p>
      <w:pPr>
        <w:pStyle w:val="TextBody"/>
        <w:bidi w:val="0"/>
        <w:spacing w:before="240" w:after="0"/>
        <w:jc w:val="left"/>
        <w:rPr>
          <w:rFonts w:ascii="Times New Roman" w:hAnsi="Times New Roman"/>
          <w:sz w:val="20"/>
        </w:rPr>
      </w:pPr>
      <w:r>
        <w:rPr>
          <w:rFonts w:ascii="Arial;sans-serif" w:hAnsi="Arial;sans-serif"/>
          <w:b w:val="false"/>
          <w:sz w:val="20"/>
        </w:rPr>
        <w:t>At issuance, the Company recorded a deferred tax liability of $16.2</w:t>
      </w:r>
      <w:r>
        <w:rPr>
          <w:rFonts w:ascii="Times New Roman" w:hAnsi="Times New Roman"/>
          <w:sz w:val="20"/>
        </w:rPr>
        <w:t xml:space="preserve"> </w:t>
      </w:r>
      <w:r>
        <w:rPr>
          <w:rFonts w:ascii="Arial;sans-serif" w:hAnsi="Arial;sans-serif"/>
          <w:b w:val="false"/>
          <w:sz w:val="20"/>
        </w:rPr>
        <w:t>million related to the Convertible Senior Notes debt discount and the capitalized debt issuance costs. The Company also recorded a deferred tax asset of $16.5</w:t>
      </w:r>
      <w:r>
        <w:rPr>
          <w:rFonts w:ascii="Times New Roman" w:hAnsi="Times New Roman"/>
          <w:sz w:val="20"/>
        </w:rPr>
        <w:t xml:space="preserve"> </w:t>
      </w:r>
      <w:r>
        <w:rPr>
          <w:rFonts w:ascii="Arial;sans-serif" w:hAnsi="Arial;sans-serif"/>
          <w:b w:val="false"/>
          <w:sz w:val="20"/>
        </w:rPr>
        <w:t>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w:t>
      </w:r>
      <w:r>
        <w:rPr>
          <w:rFonts w:ascii="Times New Roman" w:hAnsi="Times New Roman"/>
          <w:sz w:val="20"/>
        </w:rPr>
        <w:t xml:space="preserve"> </w:t>
      </w:r>
      <w:r>
        <w:rPr>
          <w:rFonts w:ascii="Arial;sans-serif" w:hAnsi="Arial;sans-serif"/>
          <w:b w:val="false"/>
          <w:sz w:val="20"/>
        </w:rPr>
        <w:t>million that the Company had recorded at issuance related to the Convertible Senior Note debt discount and recorded an additional deferred tax liability of $0.4</w:t>
      </w:r>
      <w:r>
        <w:rPr>
          <w:rFonts w:ascii="Times New Roman" w:hAnsi="Times New Roman"/>
          <w:sz w:val="20"/>
        </w:rPr>
        <w:t xml:space="preserve"> </w:t>
      </w:r>
      <w:r>
        <w:rPr>
          <w:rFonts w:ascii="Arial;sans-serif" w:hAnsi="Arial;sans-serif"/>
          <w:b w:val="false"/>
          <w:sz w:val="20"/>
        </w:rPr>
        <w:t>million related to the capitalized debt issuance costs. In addition, the Company recorded a $0.9</w:t>
      </w:r>
      <w:r>
        <w:rPr>
          <w:rFonts w:ascii="Times New Roman" w:hAnsi="Times New Roman"/>
          <w:sz w:val="20"/>
        </w:rPr>
        <w:t xml:space="preserve"> </w:t>
      </w:r>
      <w:r>
        <w:rPr>
          <w:rFonts w:ascii="Arial;sans-serif" w:hAnsi="Arial;sans-serif"/>
          <w:b w:val="false"/>
          <w:sz w:val="20"/>
        </w:rPr>
        <w:t>million adjustment to the deferred tax asset through retained earnings related to the tax effect of book accretion recorded in 2020 and reversed upon adoption.</w:t>
      </w:r>
    </w:p>
    <w:p>
      <w:pPr>
        <w:pStyle w:val="TextBody"/>
        <w:bidi w:val="0"/>
        <w:spacing w:before="360" w:after="0"/>
        <w:jc w:val="left"/>
        <w:rPr>
          <w:rFonts w:ascii="Arial" w:hAnsi="Arial"/>
          <w:b/>
          <w:sz w:val="20"/>
        </w:rPr>
      </w:pPr>
      <w:r>
        <w:rPr>
          <w:rFonts w:ascii="Arial" w:hAnsi="Arial"/>
          <w:b/>
          <w:sz w:val="20"/>
        </w:rPr>
        <w:t>11.</w:t>
      </w:r>
    </w:p>
    <w:p>
      <w:pPr>
        <w:pStyle w:val="TextBody"/>
        <w:bidi w:val="0"/>
        <w:spacing w:before="360" w:after="283"/>
        <w:jc w:val="left"/>
        <w:rPr>
          <w:rFonts w:ascii="Arial;sans-serif" w:hAnsi="Arial;sans-serif"/>
          <w:b/>
          <w:sz w:val="20"/>
        </w:rPr>
      </w:pPr>
      <w:r>
        <w:rPr>
          <w:rFonts w:ascii="Arial;sans-serif" w:hAnsi="Arial;sans-serif"/>
          <w:b/>
          <w:sz w:val="20"/>
        </w:rPr>
        <w:t>Income Taxes</w:t>
      </w:r>
    </w:p>
    <w:p>
      <w:pPr>
        <w:pStyle w:val="TextBody"/>
        <w:bidi w:val="0"/>
        <w:spacing w:before="240" w:after="0"/>
        <w:jc w:val="left"/>
        <w:rPr>
          <w:rFonts w:ascii="Times New Roman" w:hAnsi="Times New Roman"/>
          <w:sz w:val="20"/>
        </w:rPr>
      </w:pPr>
      <w:r>
        <w:rPr>
          <w:rFonts w:ascii="Arial;sans-serif" w:hAnsi="Arial;sans-serif"/>
          <w:b w:val="false"/>
          <w:sz w:val="20"/>
        </w:rPr>
        <w:t>The Company’s effective tax rate was 21.8% and 20.1% and income tax expense was $15.2</w:t>
      </w:r>
      <w:r>
        <w:rPr>
          <w:rFonts w:ascii="Times New Roman" w:hAnsi="Times New Roman"/>
          <w:sz w:val="20"/>
        </w:rPr>
        <w:t xml:space="preserve"> </w:t>
      </w:r>
      <w:r>
        <w:rPr>
          <w:rFonts w:ascii="Arial;sans-serif" w:hAnsi="Arial;sans-serif"/>
          <w:b w:val="false"/>
          <w:sz w:val="20"/>
        </w:rPr>
        <w:t>million and $5.7</w:t>
      </w:r>
      <w:r>
        <w:rPr>
          <w:rFonts w:ascii="Times New Roman" w:hAnsi="Times New Roman"/>
          <w:sz w:val="20"/>
        </w:rPr>
        <w:t xml:space="preserve"> </w:t>
      </w:r>
      <w:r>
        <w:rPr>
          <w:rFonts w:ascii="Arial;sans-serif" w:hAnsi="Arial;sans-serif"/>
          <w:b w:val="false"/>
          <w:sz w:val="20"/>
        </w:rPr>
        <w:t xml:space="preserve">million for the three months ended June 30, 2023 and June 30, 2022, respectively. The change in the effective tax rate was due primarily to an increase in foreign withholding taxes, partially offset by tax benefits related to increases in the foreign-derived intangible income (FDII) deduction, and untaxed income attributed to noncontrolling interests. The Company’s effective tax rate was 22.9% for both the six months ended </w:t>
      </w:r>
      <w:r>
        <w:rPr>
          <w:rFonts w:ascii="Arial;sans-serif" w:hAnsi="Arial;sans-serif"/>
          <w:b w:val="false"/>
          <w:sz w:val="22"/>
        </w:rPr>
        <w:t>J</w:t>
      </w:r>
      <w:r>
        <w:rPr>
          <w:rFonts w:ascii="Arial;sans-serif" w:hAnsi="Arial;sans-serif"/>
          <w:b w:val="false"/>
          <w:sz w:val="20"/>
        </w:rPr>
        <w:t>une 30, 2023 and June 30, 2022 and income tax expense was $26.7</w:t>
      </w:r>
      <w:r>
        <w:rPr>
          <w:rFonts w:ascii="Times New Roman" w:hAnsi="Times New Roman"/>
          <w:sz w:val="20"/>
        </w:rPr>
        <w:t xml:space="preserve"> </w:t>
      </w:r>
      <w:r>
        <w:rPr>
          <w:rFonts w:ascii="Arial;sans-serif" w:hAnsi="Arial;sans-serif"/>
          <w:b w:val="false"/>
          <w:sz w:val="20"/>
        </w:rPr>
        <w:t>million and $13.9</w:t>
      </w:r>
      <w:r>
        <w:rPr>
          <w:rFonts w:ascii="Times New Roman" w:hAnsi="Times New Roman"/>
          <w:sz w:val="20"/>
        </w:rPr>
        <w:t xml:space="preserve"> </w:t>
      </w:r>
      <w:r>
        <w:rPr>
          <w:rFonts w:ascii="Arial;sans-serif" w:hAnsi="Arial;sans-serif"/>
          <w:b w:val="false"/>
          <w:sz w:val="20"/>
        </w:rPr>
        <w:t>million for the six months ended June 30, 2023 and June 30, 2022, respectively. The most significant items contributing to the change in the effective tax rate relate to an increase in tax benefits related to increases in the FDII deduction, and untaxed income attributed to noncontrolling interests, offset by an increase in foreign withholding taxes. The difference between the effective tax rate and the statutory U.S. Federal income tax rate of 21% for the three and six months ended June 30, 2023 primarily relates to state income taxes and foreign withholding taxes, partially offset by benefits related to untaxed income attributable to noncontrolling interests, earnings in lower tax jurisdictions, the FDII deduction, and the federal research tax credit.</w:t>
      </w:r>
    </w:p>
    <w:p>
      <w:pPr>
        <w:pStyle w:val="TextBody"/>
        <w:bidi w:val="0"/>
        <w:spacing w:before="240" w:after="0"/>
        <w:jc w:val="center"/>
        <w:rPr>
          <w:rFonts w:ascii="Arial;sans-serif" w:hAnsi="Arial;sans-serif"/>
          <w:b w:val="false"/>
          <w:sz w:val="20"/>
        </w:rPr>
      </w:pPr>
      <w:r>
        <w:rPr>
          <w:rFonts w:ascii="Arial;sans-serif" w:hAnsi="Arial;sans-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As of June 30, 2023, the Company’s deferred tax assets were subject to a valuation allowance of $28.7</w:t>
      </w:r>
      <w:r>
        <w:rPr>
          <w:rFonts w:ascii="Times New Roman" w:hAnsi="Times New Roman"/>
          <w:sz w:val="20"/>
        </w:rPr>
        <w:t xml:space="preserve"> </w:t>
      </w:r>
      <w:r>
        <w:rPr>
          <w:rFonts w:ascii="Arial;sans-serif" w:hAnsi="Arial;sans-serif"/>
          <w:b w:val="false"/>
          <w:sz w:val="20"/>
        </w:rPr>
        <w:t>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As of June 30, 2023 and December 31, 2022, the liability for income taxes associated with uncertain tax positions was $22.1</w:t>
      </w:r>
      <w:r>
        <w:rPr>
          <w:rFonts w:ascii="Times New Roman" w:hAnsi="Times New Roman"/>
          <w:sz w:val="20"/>
        </w:rPr>
        <w:t xml:space="preserve"> </w:t>
      </w:r>
      <w:r>
        <w:rPr>
          <w:rFonts w:ascii="Arial;sans-serif" w:hAnsi="Arial;sans-serif"/>
          <w:b w:val="false"/>
          <w:sz w:val="20"/>
        </w:rPr>
        <w:t>million and $22.8</w:t>
      </w:r>
      <w:r>
        <w:rPr>
          <w:rFonts w:ascii="Times New Roman" w:hAnsi="Times New Roman"/>
          <w:sz w:val="20"/>
        </w:rPr>
        <w:t xml:space="preserve"> </w:t>
      </w:r>
      <w:r>
        <w:rPr>
          <w:rFonts w:ascii="Arial;sans-serif" w:hAnsi="Arial;sans-serif"/>
          <w:b w:val="false"/>
          <w:sz w:val="20"/>
        </w:rPr>
        <w:t>million, respectively. It is reasonably possible that the Company may realize a decrease in our uncertain tax positions of approximately $1.5</w:t>
      </w:r>
      <w:r>
        <w:rPr>
          <w:rFonts w:ascii="Times New Roman" w:hAnsi="Times New Roman"/>
          <w:sz w:val="20"/>
        </w:rPr>
        <w:t xml:space="preserve"> </w:t>
      </w:r>
      <w:r>
        <w:rPr>
          <w:rFonts w:ascii="Arial;sans-serif" w:hAnsi="Arial;sans-serif"/>
          <w:b w:val="false"/>
          <w:sz w:val="20"/>
        </w:rPr>
        <w:t>million during the next 12 months as a result of concluding various tax audits and closing tax years.</w:t>
      </w:r>
    </w:p>
    <w:p>
      <w:pPr>
        <w:pStyle w:val="TextBody"/>
        <w:bidi w:val="0"/>
        <w:spacing w:before="240" w:after="0"/>
        <w:jc w:val="left"/>
        <w:rPr>
          <w:rFonts w:ascii="Arial;sans-serif" w:hAnsi="Arial;sans-serif"/>
          <w:b w:val="false"/>
          <w:sz w:val="20"/>
        </w:rPr>
      </w:pPr>
      <w:r>
        <w:rPr>
          <w:rFonts w:ascii="Arial;sans-serif" w:hAnsi="Arial;sans-serif"/>
          <w:b w:val="false"/>
          <w:sz w:val="20"/>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pStyle w:val="TextBody"/>
        <w:bidi w:val="0"/>
        <w:spacing w:before="360" w:after="0"/>
        <w:jc w:val="left"/>
        <w:rPr>
          <w:rFonts w:ascii="Arial" w:hAnsi="Arial"/>
          <w:b/>
          <w:sz w:val="20"/>
        </w:rPr>
      </w:pPr>
      <w:r>
        <w:rPr>
          <w:rFonts w:ascii="Arial" w:hAnsi="Arial"/>
          <w:b/>
          <w:sz w:val="20"/>
        </w:rPr>
        <w:t>12.</w:t>
      </w:r>
    </w:p>
    <w:p>
      <w:pPr>
        <w:pStyle w:val="TextBody"/>
        <w:bidi w:val="0"/>
        <w:spacing w:before="360" w:after="283"/>
        <w:jc w:val="left"/>
        <w:rPr>
          <w:rFonts w:ascii="Arial;sans-serif" w:hAnsi="Arial;sans-serif"/>
          <w:b/>
          <w:sz w:val="20"/>
        </w:rPr>
      </w:pPr>
      <w:r>
        <w:rPr>
          <w:rFonts w:ascii="Arial;sans-serif" w:hAnsi="Arial;sans-serif"/>
          <w:b/>
          <w:sz w:val="20"/>
        </w:rPr>
        <w:t>Contingencies</w:t>
      </w:r>
    </w:p>
    <w:p>
      <w:pPr>
        <w:pStyle w:val="TextBody"/>
        <w:bidi w:val="0"/>
        <w:spacing w:before="120" w:after="0"/>
        <w:jc w:val="left"/>
        <w:rPr>
          <w:rFonts w:ascii="Times New Roman" w:hAnsi="Times New Roman"/>
          <w:sz w:val="20"/>
        </w:rPr>
      </w:pPr>
      <w:r>
        <w:rPr>
          <w:rFonts w:ascii="Arial;sans-serif" w:hAnsi="Arial;sans-serif"/>
          <w:b w:val="false"/>
          <w:sz w:val="20"/>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w:t>
      </w:r>
      <w:r>
        <w:rPr>
          <w:rFonts w:ascii="Times New Roman" w:hAnsi="Times New Roman"/>
          <w:sz w:val="20"/>
        </w:rPr>
        <w:t xml:space="preserve"> </w:t>
      </w:r>
      <w:r>
        <w:rPr>
          <w:rFonts w:ascii="Arial;sans-serif" w:hAnsi="Arial;sans-serif"/>
          <w:b w:val="false"/>
          <w:sz w:val="20"/>
        </w:rPr>
        <w:t>claims or assessments outstanding which would materially affect the consolidated results of operations or the Company’s financial 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w:t>
      </w:r>
      <w:r>
        <w:rPr>
          <w:rFonts w:ascii="Times New Roman" w:hAnsi="Times New Roman"/>
          <w:sz w:val="20"/>
        </w:rPr>
        <w:t xml:space="preserve"> </w:t>
      </w:r>
      <w:r>
        <w:rPr>
          <w:rFonts w:ascii="Arial;sans-serif" w:hAnsi="Arial;sans-serif"/>
          <w:b w:val="false"/>
          <w:sz w:val="20"/>
        </w:rPr>
        <w:t>million per month between February and September 2006 that it should have paid to another contractor, plus $2.9</w:t>
      </w:r>
      <w:r>
        <w:rPr>
          <w:rFonts w:ascii="Times New Roman" w:hAnsi="Times New Roman"/>
          <w:sz w:val="20"/>
        </w:rPr>
        <w:t xml:space="preserve"> </w:t>
      </w:r>
      <w:r>
        <w:rPr>
          <w:rFonts w:ascii="Arial;sans-serif" w:hAnsi="Arial;sans-serif"/>
          <w:b w:val="false"/>
          <w:sz w:val="20"/>
        </w:rPr>
        <w:t>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w:t>
      </w:r>
      <w:r>
        <w:rPr>
          <w:rFonts w:ascii="Times New Roman" w:hAnsi="Times New Roman"/>
          <w:sz w:val="20"/>
        </w:rPr>
        <w:t xml:space="preserve"> </w:t>
      </w:r>
      <w:r>
        <w:rPr>
          <w:rFonts w:ascii="Arial;sans-serif" w:hAnsi="Arial;sans-serif"/>
          <w:b w:val="false"/>
          <w:sz w:val="20"/>
        </w:rPr>
        <w:t>and not more than $11,000</w:t>
      </w:r>
      <w:r>
        <w:rPr>
          <w:rFonts w:ascii="Times New Roman" w:hAnsi="Times New Roman"/>
          <w:sz w:val="20"/>
        </w:rPr>
        <w:t xml:space="preserve"> </w:t>
      </w:r>
      <w:r>
        <w:rPr>
          <w:rFonts w:ascii="Arial;sans-serif" w:hAnsi="Arial;sans-serif"/>
          <w:b w:val="false"/>
          <w:sz w:val="20"/>
        </w:rPr>
        <w:t>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Dispositive and/or pre-trail motions have been filed. A hearing date has not yet been scheduled for hearing such motions. Depending upon the court’s rulings upon such motions, a trial will may be scheduled in 2023 or 2024.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Arial;sans-serif" w:hAnsi="Arial;sans-serif"/>
          <w:b w:val="false"/>
          <w:sz w:val="20"/>
        </w:rPr>
      </w:pPr>
      <w:r>
        <w:rPr>
          <w:rFonts w:ascii="Arial;sans-serif" w:hAnsi="Arial;sans-serif"/>
          <w:b w:val="false"/>
          <w:sz w:val="20"/>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pStyle w:val="TextBody"/>
        <w:bidi w:val="0"/>
        <w:spacing w:before="360" w:after="0"/>
        <w:jc w:val="left"/>
        <w:rPr>
          <w:rFonts w:ascii="Arial" w:hAnsi="Arial"/>
          <w:b/>
          <w:sz w:val="20"/>
        </w:rPr>
      </w:pPr>
      <w:r>
        <w:rPr>
          <w:rFonts w:ascii="Arial" w:hAnsi="Arial"/>
          <w:b/>
          <w:sz w:val="20"/>
        </w:rPr>
        <w:t>13.</w:t>
      </w:r>
    </w:p>
    <w:p>
      <w:pPr>
        <w:pStyle w:val="TextBody"/>
        <w:bidi w:val="0"/>
        <w:spacing w:before="360" w:after="283"/>
        <w:jc w:val="left"/>
        <w:rPr>
          <w:rFonts w:ascii="Arial;sans-serif" w:hAnsi="Arial;sans-serif"/>
          <w:b/>
          <w:sz w:val="20"/>
        </w:rPr>
      </w:pPr>
      <w:r>
        <w:rPr>
          <w:rFonts w:ascii="Arial;sans-serif" w:hAnsi="Arial;sans-serif"/>
          <w:b/>
          <w:sz w:val="20"/>
        </w:rPr>
        <w:t>Retirement Benefit Plan</w:t>
      </w:r>
    </w:p>
    <w:p>
      <w:pPr>
        <w:pStyle w:val="TextBody"/>
        <w:bidi w:val="0"/>
        <w:spacing w:before="120" w:after="0"/>
        <w:jc w:val="left"/>
        <w:rPr>
          <w:rFonts w:ascii="Times New Roman" w:hAnsi="Times New Roman"/>
          <w:sz w:val="20"/>
        </w:rPr>
      </w:pPr>
      <w:r>
        <w:rPr>
          <w:rFonts w:ascii="Arial;sans-serif" w:hAnsi="Arial;sans-serif"/>
          <w:b w:val="false"/>
          <w:sz w:val="20"/>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w:t>
      </w:r>
      <w:r>
        <w:rPr>
          <w:rFonts w:ascii="Arial;sans-serif" w:hAnsi="Arial;sans-serif"/>
          <w:sz w:val="20"/>
        </w:rPr>
        <w:t xml:space="preserve"> </w:t>
      </w:r>
      <w:r>
        <w:rPr>
          <w:rFonts w:ascii="Arial;sans-serif" w:hAnsi="Arial;sans-serif"/>
          <w:b w:val="false"/>
          <w:sz w:val="20"/>
        </w:rPr>
        <w:t>of credited service, or in the event(s) of reaching age 65, death or disability while an active employee of the Company.</w:t>
      </w:r>
      <w:r>
        <w:rPr>
          <w:rFonts w:ascii="Times New Roman" w:hAnsi="Times New Roman"/>
          <w:sz w:val="20"/>
        </w:rPr>
        <w:t xml:space="preserve"> </w:t>
      </w:r>
      <w:r>
        <w:rPr>
          <w:rFonts w:ascii="Arial;sans-serif" w:hAnsi="Arial;sans-serif"/>
          <w:b w:val="false"/>
          <w:sz w:val="20"/>
        </w:rPr>
        <w:t>As of June 30, 2023 and December 31, 2022, total shares of the Company’s common stock outstanding were 104,882,846</w:t>
      </w:r>
      <w:r>
        <w:rPr>
          <w:rFonts w:ascii="Times New Roman" w:hAnsi="Times New Roman"/>
          <w:sz w:val="20"/>
        </w:rPr>
        <w:t xml:space="preserve"> </w:t>
      </w:r>
      <w:r>
        <w:rPr>
          <w:rFonts w:ascii="Arial;sans-serif" w:hAnsi="Arial;sans-serif"/>
          <w:b w:val="false"/>
          <w:sz w:val="20"/>
        </w:rPr>
        <w:t>and 104,702,996, respectively, of which 61,217,557</w:t>
      </w:r>
      <w:r>
        <w:rPr>
          <w:rFonts w:ascii="Times New Roman" w:hAnsi="Times New Roman"/>
          <w:sz w:val="20"/>
        </w:rPr>
        <w:t xml:space="preserve"> </w:t>
      </w:r>
      <w:r>
        <w:rPr>
          <w:rFonts w:ascii="Arial;sans-serif" w:hAnsi="Arial;sans-serif"/>
          <w:b w:val="false"/>
          <w:sz w:val="20"/>
        </w:rPr>
        <w:t>and 63,742,151, respectively, were held by the ESOP.</w:t>
      </w:r>
      <w:r>
        <w:rPr>
          <w:rFonts w:ascii="Times New Roman" w:hAnsi="Times New Roman"/>
          <w:sz w:val="20"/>
        </w:rPr>
        <w:t xml:space="preserve"> </w:t>
      </w:r>
    </w:p>
    <w:p>
      <w:pPr>
        <w:pStyle w:val="TextBody"/>
        <w:bidi w:val="0"/>
        <w:spacing w:before="240" w:after="0"/>
        <w:jc w:val="left"/>
        <w:rPr>
          <w:rFonts w:ascii="Arial;sans-serif" w:hAnsi="Arial;sans-serif"/>
          <w:b w:val="false"/>
          <w:sz w:val="20"/>
        </w:rPr>
      </w:pPr>
      <w:r>
        <w:rPr>
          <w:rFonts w:ascii="Arial;sans-serif" w:hAnsi="Arial;sans-serif"/>
          <w:b w:val="false"/>
          <w:sz w:val="20"/>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pStyle w:val="TextBody"/>
        <w:bidi w:val="0"/>
        <w:spacing w:before="240" w:after="0"/>
        <w:jc w:val="left"/>
        <w:rPr>
          <w:rFonts w:ascii="Times New Roman" w:hAnsi="Times New Roman"/>
          <w:sz w:val="20"/>
        </w:rPr>
      </w:pPr>
      <w:r>
        <w:rPr>
          <w:rFonts w:ascii="Arial;sans-serif" w:hAnsi="Arial;sans-serif"/>
          <w:b w:val="false"/>
          <w:sz w:val="20"/>
        </w:rPr>
        <w:t>Total ESOP contribution expense was $14.7</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$13.5</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for the three months ended June 30, 2023 and June 30, 2022, respectively and $29.2</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$26.5</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for the six months ended June 30, 2023 and June 30, 2022, respectively.</w:t>
      </w:r>
      <w:r>
        <w:rPr>
          <w:rFonts w:ascii="Times New Roman" w:hAnsi="Times New Roman"/>
          <w:sz w:val="20"/>
        </w:rPr>
        <w:t xml:space="preserve"> </w:t>
      </w:r>
      <w:r>
        <w:rPr>
          <w:rFonts w:ascii="Arial;sans-serif" w:hAnsi="Arial;sans-serif"/>
          <w:b w:val="false"/>
          <w:sz w:val="20"/>
        </w:rPr>
        <w:t>The expense is recorded in “Direct costs of contracts” and “Selling, general and administrative expense” in the consolidated statements of income. The fiscal 2023 ESOP contribution has not yet been made. The amount is currently included in accrued liabilities.</w:t>
      </w:r>
    </w:p>
    <w:p>
      <w:pPr>
        <w:pStyle w:val="TextBody"/>
        <w:bidi w:val="0"/>
        <w:spacing w:before="360" w:after="0"/>
        <w:jc w:val="left"/>
        <w:rPr>
          <w:rFonts w:ascii="Arial" w:hAnsi="Arial"/>
          <w:b/>
          <w:sz w:val="20"/>
        </w:rPr>
      </w:pPr>
      <w:r>
        <w:rPr>
          <w:rFonts w:ascii="Arial" w:hAnsi="Arial"/>
          <w:b/>
          <w:sz w:val="20"/>
        </w:rPr>
        <w:t>14.</w:t>
      </w:r>
    </w:p>
    <w:p>
      <w:pPr>
        <w:pStyle w:val="TextBody"/>
        <w:bidi w:val="0"/>
        <w:spacing w:before="360" w:after="283"/>
        <w:jc w:val="left"/>
        <w:rPr>
          <w:rFonts w:ascii="Arial;sans-serif" w:hAnsi="Arial;sans-serif"/>
          <w:b/>
          <w:sz w:val="20"/>
        </w:rPr>
      </w:pPr>
      <w:r>
        <w:rPr>
          <w:rFonts w:ascii="Arial;sans-serif" w:hAnsi="Arial;sans-serif"/>
          <w:b/>
          <w:sz w:val="20"/>
        </w:rPr>
        <w:t xml:space="preserve">Investments in and Advances to Joint Ventures </w:t>
      </w:r>
    </w:p>
    <w:p>
      <w:pPr>
        <w:pStyle w:val="TextBody"/>
        <w:bidi w:val="0"/>
        <w:spacing w:before="120" w:after="0"/>
        <w:jc w:val="left"/>
        <w:rPr>
          <w:rFonts w:ascii="Times New Roman" w:hAnsi="Times New Roman"/>
          <w:sz w:val="20"/>
        </w:rPr>
      </w:pPr>
      <w:r>
        <w:rPr>
          <w:rFonts w:ascii="Arial;sans-serif" w:hAnsi="Arial;sans-serif"/>
          <w:b w:val="false"/>
          <w:sz w:val="20"/>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Many of the Company’s joint venture agreements provide for capital calls to fund operations, as necessary; however, such funding is infrequent and is not anticipated to be material.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Letters of credit outstanding described in “Note 10 – Debt and Credit Facilities” that relate to project ventures are</w:t>
      </w:r>
      <w:r>
        <w:rPr>
          <w:rFonts w:ascii="Times New Roman" w:hAnsi="Times New Roman"/>
          <w:sz w:val="20"/>
        </w:rPr>
        <w:t xml:space="preserve"> </w:t>
      </w:r>
      <w:r>
        <w:rPr>
          <w:rFonts w:ascii="Arial;sans-serif" w:hAnsi="Arial;sans-serif"/>
          <w:b w:val="false"/>
          <w:sz w:val="20"/>
        </w:rPr>
        <w:t>$116.7</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$106.8</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at June 30, 2023 and December 31, 2022.</w:t>
      </w:r>
    </w:p>
    <w:p>
      <w:pPr>
        <w:pStyle w:val="TextBody"/>
        <w:bidi w:val="0"/>
        <w:spacing w:before="240" w:after="0"/>
        <w:jc w:val="left"/>
        <w:rPr>
          <w:rFonts w:ascii="Times New Roman" w:hAnsi="Times New Roman"/>
          <w:sz w:val="20"/>
        </w:rPr>
      </w:pPr>
      <w:r>
        <w:rPr>
          <w:rFonts w:ascii="Arial;sans-serif" w:hAnsi="Arial;sans-serif"/>
          <w:b w:val="false"/>
          <w:sz w:val="20"/>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Arial;sans-serif" w:hAnsi="Arial;sans-serif"/>
          <w:b/>
          <w:i/>
          <w:sz w:val="20"/>
        </w:rPr>
        <w:t>Consolidated Joint Ventures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 following represents financial information for consolidated joint ventures included in the consolidated financial statements (in thousands):</w:t>
      </w:r>
      <w:r>
        <w:rPr>
          <w:rFonts w:ascii="Times New Roman" w:hAnsi="Times New Roman"/>
          <w:sz w:val="20"/>
        </w:rPr>
        <w:t xml:space="preserve"> </w:t>
      </w:r>
    </w:p>
    <w:p>
      <w:pPr>
        <w:pStyle w:val="TextBody"/>
        <w:bidi w:val="0"/>
        <w:spacing w:before="0" w:after="0"/>
        <w:jc w:val="left"/>
        <w:rPr/>
      </w:pPr>
      <w:r>
        <w:rPr/>
        <w:t> </w:t>
      </w:r>
    </w:p>
    <w:tbl>
      <w:tblPr>
        <w:tblW w:w="5920" w:type="dxa"/>
        <w:jc w:val="left"/>
        <w:tblInd w:w="0" w:type="dxa"/>
        <w:tblLayout w:type="fixed"/>
        <w:tblCellMar>
          <w:top w:w="28" w:type="dxa"/>
          <w:left w:w="28" w:type="dxa"/>
          <w:bottom w:w="28" w:type="dxa"/>
          <w:right w:w="28" w:type="dxa"/>
        </w:tblCellMar>
      </w:tblPr>
      <w:tblGrid>
        <w:gridCol w:w="2266"/>
        <w:gridCol w:w="146"/>
        <w:gridCol w:w="245"/>
        <w:gridCol w:w="925"/>
        <w:gridCol w:w="146"/>
        <w:gridCol w:w="146"/>
        <w:gridCol w:w="330"/>
        <w:gridCol w:w="1245"/>
        <w:gridCol w:w="47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374,942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289,837</w:t>
            </w:r>
          </w:p>
        </w:tc>
        <w:tc>
          <w:tcPr>
            <w:tcW w:w="47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assets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9,961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22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385,343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299,798</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242,530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194,701</w:t>
            </w:r>
          </w:p>
        </w:tc>
        <w:tc>
          <w:tcPr>
            <w:tcW w:w="47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3,763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226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245,929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198,464</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joint venture equity</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139,414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101,334</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331"/>
        <w:gridCol w:w="146"/>
        <w:gridCol w:w="243"/>
        <w:gridCol w:w="921"/>
        <w:gridCol w:w="146"/>
        <w:gridCol w:w="146"/>
        <w:gridCol w:w="243"/>
        <w:gridCol w:w="921"/>
        <w:gridCol w:w="146"/>
        <w:gridCol w:w="146"/>
        <w:gridCol w:w="243"/>
        <w:gridCol w:w="921"/>
        <w:gridCol w:w="146"/>
        <w:gridCol w:w="146"/>
        <w:gridCol w:w="243"/>
        <w:gridCol w:w="921"/>
        <w:gridCol w:w="196"/>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2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167,253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108,089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328,737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203,623</w:t>
            </w:r>
          </w:p>
        </w:tc>
        <w:tc>
          <w:tcPr>
            <w:tcW w:w="196" w:type="dxa"/>
            <w:tcBorders/>
            <w:vAlign w:val="center"/>
          </w:tcPr>
          <w:p>
            <w:pPr>
              <w:pStyle w:val="TableContents"/>
              <w:bidi w:val="0"/>
              <w:spacing w:before="0" w:after="0"/>
              <w:ind w:left="0" w:right="0" w:hanging="0"/>
              <w:jc w:val="left"/>
              <w:rPr/>
            </w:pPr>
            <w:r>
              <w:rPr/>
              <w:t> </w:t>
            </w:r>
          </w:p>
        </w:tc>
      </w:tr>
      <w:tr>
        <w:trPr/>
        <w:tc>
          <w:tcPr>
            <w:tcW w:w="4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Costs</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143,808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98,761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285,406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187,603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23,445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43,331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16,020</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7,661</w:t>
            </w:r>
          </w:p>
        </w:tc>
        <w:tc>
          <w:tcPr>
            <w:tcW w:w="1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assets of the consolidated joint ventures are restricted for use only by the particular joint venture and are not available for the Company’s general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Unconsolidated Joint Ventures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represents the financial information of the Company’s unconsolidated joint ventures as presented in their unaudited financial statements (in thousands):</w:t>
      </w:r>
      <w:r>
        <w:rPr>
          <w:rFonts w:ascii="Times New Roman" w:hAnsi="Times New Roman"/>
          <w:sz w:val="20"/>
        </w:rPr>
        <w:t xml:space="preserve"> </w:t>
      </w:r>
    </w:p>
    <w:p>
      <w:pPr>
        <w:pStyle w:val="TextBody"/>
        <w:bidi w:val="0"/>
        <w:spacing w:before="0" w:after="0"/>
        <w:jc w:val="left"/>
        <w:rPr/>
      </w:pPr>
      <w:r>
        <w:rPr/>
        <w:t> </w:t>
      </w:r>
    </w:p>
    <w:tbl>
      <w:tblPr>
        <w:tblW w:w="9162" w:type="dxa"/>
        <w:jc w:val="left"/>
        <w:tblInd w:w="0" w:type="dxa"/>
        <w:tblLayout w:type="fixed"/>
        <w:tblCellMar>
          <w:top w:w="28" w:type="dxa"/>
          <w:left w:w="28" w:type="dxa"/>
          <w:bottom w:w="28" w:type="dxa"/>
          <w:right w:w="28" w:type="dxa"/>
        </w:tblCellMar>
      </w:tblPr>
      <w:tblGrid>
        <w:gridCol w:w="5506"/>
        <w:gridCol w:w="146"/>
        <w:gridCol w:w="211"/>
        <w:gridCol w:w="961"/>
        <w:gridCol w:w="146"/>
        <w:gridCol w:w="146"/>
        <w:gridCol w:w="283"/>
        <w:gridCol w:w="1292"/>
        <w:gridCol w:w="47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1,470,305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1,610,246</w:t>
            </w:r>
          </w:p>
        </w:tc>
        <w:tc>
          <w:tcPr>
            <w:tcW w:w="47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492,597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491,658</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55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1,962,902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2,101,904</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1,032,758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pPr>
            <w:r>
              <w:rPr/>
              <w:t> </w:t>
            </w:r>
          </w:p>
        </w:tc>
        <w:tc>
          <w:tcPr>
            <w:tcW w:w="129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1,255,297</w:t>
            </w:r>
          </w:p>
        </w:tc>
        <w:tc>
          <w:tcPr>
            <w:tcW w:w="471" w:type="dxa"/>
            <w:tcBorders/>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518,762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468,056</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55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1,551,520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1,723,353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550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joint venture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411,382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378,551</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Investments in and advances to unconsolidated joint ventures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9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107,425</w:t>
            </w:r>
          </w:p>
        </w:tc>
        <w:tc>
          <w:tcPr>
            <w:tcW w:w="47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414"/>
        <w:gridCol w:w="146"/>
        <w:gridCol w:w="237"/>
        <w:gridCol w:w="896"/>
        <w:gridCol w:w="166"/>
        <w:gridCol w:w="146"/>
        <w:gridCol w:w="237"/>
        <w:gridCol w:w="896"/>
        <w:gridCol w:w="146"/>
        <w:gridCol w:w="146"/>
        <w:gridCol w:w="237"/>
        <w:gridCol w:w="896"/>
        <w:gridCol w:w="166"/>
        <w:gridCol w:w="146"/>
        <w:gridCol w:w="237"/>
        <w:gridCol w:w="896"/>
        <w:gridCol w:w="197"/>
      </w:tblGrid>
      <w:tr>
        <w:trPr/>
        <w:tc>
          <w:tcPr>
            <w:tcW w:w="4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1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530,467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594,959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879,624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979,540</w:t>
            </w:r>
          </w:p>
        </w:tc>
        <w:tc>
          <w:tcPr>
            <w:tcW w:w="197" w:type="dxa"/>
            <w:tcBorders/>
            <w:vAlign w:val="center"/>
          </w:tcPr>
          <w:p>
            <w:pPr>
              <w:pStyle w:val="TableContents"/>
              <w:bidi w:val="0"/>
              <w:spacing w:before="0" w:after="0"/>
              <w:ind w:left="0" w:right="0" w:hanging="0"/>
              <w:jc w:val="left"/>
              <w:rPr/>
            </w:pPr>
            <w:r>
              <w:rPr/>
              <w:t> </w:t>
            </w:r>
          </w:p>
        </w:tc>
      </w:tr>
      <w:tr>
        <w:trPr/>
        <w:tc>
          <w:tcPr>
            <w:tcW w:w="44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Costs</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534,555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564,239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893,950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937,525</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30,720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(14,326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42,015</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 in (losses) earnings of unconsolidated joint ventures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(5,765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11,211</w:t>
            </w:r>
          </w:p>
        </w:tc>
        <w:tc>
          <w:tcPr>
            <w:tcW w:w="197"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Company had net contributions to its unconsolidated joint ventures for the three and six months ended June 30, 2023 of $9.9</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$14.7</w:t>
      </w:r>
      <w:r>
        <w:rPr>
          <w:rFonts w:ascii="Times New Roman" w:hAnsi="Times New Roman"/>
          <w:sz w:val="20"/>
        </w:rPr>
        <w:t xml:space="preserve"> </w:t>
      </w:r>
      <w:r>
        <w:rPr>
          <w:rFonts w:ascii="Arial;sans-serif" w:hAnsi="Arial;sans-serif"/>
          <w:b w:val="false"/>
          <w:sz w:val="20"/>
        </w:rPr>
        <w:t>million, respectively and received net distributions from its unconsolidated joint ventures for the three and six months ended June 30, 2022 of $5.4</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$8.2</w:t>
      </w:r>
      <w:r>
        <w:rPr>
          <w:rFonts w:ascii="Times New Roman" w:hAnsi="Times New Roman"/>
          <w:sz w:val="20"/>
        </w:rPr>
        <w:t xml:space="preserve"> </w:t>
      </w:r>
      <w:r>
        <w:rPr>
          <w:rFonts w:ascii="Arial;sans-serif" w:hAnsi="Arial;sans-serif"/>
          <w:b w:val="false"/>
          <w:sz w:val="20"/>
        </w:rPr>
        <w:t>million, respectively.</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For the three and six months ended June 30, 2023, the Company recorded $7.0</w:t>
      </w:r>
      <w:r>
        <w:rPr>
          <w:rFonts w:ascii="Times New Roman" w:hAnsi="Times New Roman"/>
          <w:sz w:val="20"/>
        </w:rPr>
        <w:t xml:space="preserve"> </w:t>
      </w:r>
      <w:r>
        <w:rPr>
          <w:rFonts w:ascii="Arial;sans-serif" w:hAnsi="Arial;sans-serif"/>
          <w:b w:val="false"/>
          <w:sz w:val="20"/>
        </w:rPr>
        <w:t>million and $17.0</w:t>
      </w:r>
      <w:r>
        <w:rPr>
          <w:rFonts w:ascii="Times New Roman" w:hAnsi="Times New Roman"/>
          <w:sz w:val="20"/>
        </w:rPr>
        <w:t xml:space="preserve"> </w:t>
      </w:r>
      <w:r>
        <w:rPr>
          <w:rFonts w:ascii="Arial;sans-serif" w:hAnsi="Arial;sans-serif"/>
          <w:b w:val="false"/>
          <w:sz w:val="20"/>
        </w:rPr>
        <w:t>million of adjustments, respectively on two unconsolidated joint ventures in the Critical Infrastructure segment, one from lower margin change orders in the first quarter resulting in profits being delayed to future periods and the other from a write-off. For the three and six months ended June 30, 2023, this adjustment decreased operating income by $7.0</w:t>
      </w:r>
      <w:r>
        <w:rPr>
          <w:rFonts w:ascii="Times New Roman" w:hAnsi="Times New Roman"/>
          <w:sz w:val="20"/>
        </w:rPr>
        <w:t xml:space="preserve"> </w:t>
      </w:r>
      <w:r>
        <w:rPr>
          <w:rFonts w:ascii="Arial;sans-serif" w:hAnsi="Arial;sans-serif"/>
          <w:b w:val="false"/>
          <w:sz w:val="20"/>
        </w:rPr>
        <w:t>million and $17.0</w:t>
      </w:r>
      <w:r>
        <w:rPr>
          <w:rFonts w:ascii="Times New Roman" w:hAnsi="Times New Roman"/>
          <w:sz w:val="20"/>
        </w:rPr>
        <w:t xml:space="preserve"> </w:t>
      </w:r>
      <w:r>
        <w:rPr>
          <w:rFonts w:ascii="Arial;sans-serif" w:hAnsi="Arial;sans-serif"/>
          <w:b w:val="false"/>
          <w:sz w:val="20"/>
        </w:rPr>
        <w:t>million, respectively, net income by $5.1</w:t>
      </w:r>
      <w:r>
        <w:rPr>
          <w:rFonts w:ascii="Times New Roman" w:hAnsi="Times New Roman"/>
          <w:sz w:val="20"/>
        </w:rPr>
        <w:t xml:space="preserve"> </w:t>
      </w:r>
      <w:r>
        <w:rPr>
          <w:rFonts w:ascii="Arial;sans-serif" w:hAnsi="Arial;sans-serif"/>
          <w:b w:val="false"/>
          <w:sz w:val="20"/>
        </w:rPr>
        <w:t>million and $12.6</w:t>
      </w:r>
      <w:r>
        <w:rPr>
          <w:rFonts w:ascii="Times New Roman" w:hAnsi="Times New Roman"/>
          <w:sz w:val="20"/>
        </w:rPr>
        <w:t xml:space="preserve"> </w:t>
      </w:r>
      <w:r>
        <w:rPr>
          <w:rFonts w:ascii="Arial;sans-serif" w:hAnsi="Arial;sans-serif"/>
          <w:b w:val="false"/>
          <w:sz w:val="20"/>
        </w:rPr>
        <w:t>million, respectively, and decreased diluted earnings per share by $0.05</w:t>
      </w:r>
      <w:r>
        <w:rPr>
          <w:rFonts w:ascii="Times New Roman" w:hAnsi="Times New Roman"/>
          <w:sz w:val="20"/>
        </w:rPr>
        <w:t xml:space="preserve"> </w:t>
      </w:r>
      <w:r>
        <w:rPr>
          <w:rFonts w:ascii="Arial;sans-serif" w:hAnsi="Arial;sans-serif"/>
          <w:b w:val="false"/>
          <w:sz w:val="20"/>
        </w:rPr>
        <w:t>and $0.11, respectively.</w:t>
      </w:r>
    </w:p>
    <w:p>
      <w:pPr>
        <w:pStyle w:val="TextBody"/>
        <w:bidi w:val="0"/>
        <w:spacing w:before="360" w:after="0"/>
        <w:jc w:val="left"/>
        <w:rPr>
          <w:rFonts w:ascii="Arial" w:hAnsi="Arial"/>
          <w:b/>
          <w:sz w:val="20"/>
        </w:rPr>
      </w:pPr>
      <w:r>
        <w:rPr>
          <w:rFonts w:ascii="Arial" w:hAnsi="Arial"/>
          <w:b/>
          <w:sz w:val="20"/>
        </w:rPr>
        <w:t>15.</w:t>
      </w:r>
    </w:p>
    <w:p>
      <w:pPr>
        <w:pStyle w:val="TextBody"/>
        <w:bidi w:val="0"/>
        <w:spacing w:before="360" w:after="283"/>
        <w:jc w:val="left"/>
        <w:rPr>
          <w:rFonts w:ascii="Arial;sans-serif" w:hAnsi="Arial;sans-serif"/>
          <w:b/>
          <w:sz w:val="20"/>
        </w:rPr>
      </w:pPr>
      <w:r>
        <w:rPr>
          <w:rFonts w:ascii="Arial;sans-serif" w:hAnsi="Arial;sans-serif"/>
          <w:b/>
          <w:sz w:val="20"/>
        </w:rPr>
        <w:t>Related Party Transactions</w:t>
      </w:r>
    </w:p>
    <w:p>
      <w:pPr>
        <w:pStyle w:val="TextBody"/>
        <w:bidi w:val="0"/>
        <w:spacing w:before="120" w:after="0"/>
        <w:jc w:val="left"/>
        <w:rPr>
          <w:rFonts w:ascii="Times New Roman" w:hAnsi="Times New Roman"/>
          <w:sz w:val="20"/>
        </w:rPr>
      </w:pPr>
      <w:r>
        <w:rPr>
          <w:rFonts w:ascii="Arial;sans-serif" w:hAnsi="Arial;sans-serif"/>
          <w:b w:val="false"/>
          <w:sz w:val="20"/>
        </w:rPr>
        <w:t>The Company often provides services to unconsolidated joint ventures and revenues include amounts related to recovering costs for these services. Revenues related to services</w:t>
      </w:r>
      <w:r>
        <w:rPr>
          <w:rFonts w:ascii="Times New Roman" w:hAnsi="Times New Roman"/>
          <w:sz w:val="20"/>
        </w:rPr>
        <w:t xml:space="preserve"> </w:t>
      </w:r>
      <w:r>
        <w:rPr>
          <w:rFonts w:ascii="Arial;sans-serif" w:hAnsi="Arial;sans-serif"/>
          <w:b w:val="false"/>
          <w:sz w:val="20"/>
        </w:rPr>
        <w:t>the Company provided to unconsolidated joint ventures for the three months ended June 30, 2023 and June 30, 2022 were $55.4</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$51.8</w:t>
      </w:r>
      <w:r>
        <w:rPr>
          <w:rFonts w:ascii="Times New Roman" w:hAnsi="Times New Roman"/>
          <w:sz w:val="20"/>
        </w:rPr>
        <w:t xml:space="preserve"> </w:t>
      </w:r>
      <w:r>
        <w:rPr>
          <w:rFonts w:ascii="Arial;sans-serif" w:hAnsi="Arial;sans-serif"/>
          <w:b w:val="false"/>
          <w:sz w:val="20"/>
        </w:rPr>
        <w:t>million, respectively and $106.3</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$99.1</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for the six months ended June 30, 2023 and June 30, 2022, respectively.</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Arial;sans-serif" w:hAnsi="Arial;sans-serif"/>
          <w:b w:val="false"/>
          <w:sz w:val="20"/>
        </w:rPr>
        <w:t>For the three months ended June 30, 2023 and June 30, 2022, the Company incurred $39.8</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$37.2</w:t>
      </w:r>
      <w:r>
        <w:rPr>
          <w:rFonts w:ascii="Times New Roman" w:hAnsi="Times New Roman"/>
          <w:sz w:val="20"/>
        </w:rPr>
        <w:t xml:space="preserve"> </w:t>
      </w:r>
      <w:r>
        <w:rPr>
          <w:rFonts w:ascii="Arial;sans-serif" w:hAnsi="Arial;sans-serif"/>
          <w:b w:val="false"/>
          <w:sz w:val="20"/>
        </w:rPr>
        <w:t>million, respectively, and for the six months ended June 30, 2023 and June 30, 2022 incurred $78.9</w:t>
      </w:r>
      <w:r>
        <w:rPr>
          <w:rFonts w:ascii="Times New Roman" w:hAnsi="Times New Roman"/>
          <w:sz w:val="20"/>
        </w:rPr>
        <w:t xml:space="preserve"> </w:t>
      </w:r>
      <w:r>
        <w:rPr>
          <w:rFonts w:ascii="Arial;sans-serif" w:hAnsi="Arial;sans-serif"/>
          <w:b w:val="false"/>
          <w:sz w:val="20"/>
        </w:rPr>
        <w:t>million</w:t>
      </w:r>
      <w:r>
        <w:rPr>
          <w:rFonts w:ascii="Times New Roman" w:hAnsi="Times New Roman"/>
          <w:sz w:val="20"/>
        </w:rPr>
        <w:t xml:space="preserve"> </w:t>
      </w:r>
      <w:r>
        <w:rPr>
          <w:rFonts w:ascii="Arial;sans-serif" w:hAnsi="Arial;sans-serif"/>
          <w:b w:val="false"/>
          <w:sz w:val="20"/>
        </w:rPr>
        <w:t>and $71.0</w:t>
      </w:r>
      <w:r>
        <w:rPr>
          <w:rFonts w:ascii="Times New Roman" w:hAnsi="Times New Roman"/>
          <w:sz w:val="20"/>
        </w:rPr>
        <w:t xml:space="preserve"> </w:t>
      </w:r>
      <w:r>
        <w:rPr>
          <w:rFonts w:ascii="Arial;sans-serif" w:hAnsi="Arial;sans-serif"/>
          <w:b w:val="false"/>
          <w:sz w:val="20"/>
        </w:rPr>
        <w:t xml:space="preserve">million, respectively, of reimbursable costs. Amounts included in the consolidated balance sheets related to services the Company provided to unconsolidated joint ventures are as follows (in thousands): </w:t>
      </w:r>
    </w:p>
    <w:p>
      <w:pPr>
        <w:pStyle w:val="TextBody"/>
        <w:bidi w:val="0"/>
        <w:spacing w:before="0" w:after="0"/>
        <w:jc w:val="left"/>
        <w:rPr/>
      </w:pPr>
      <w:r>
        <w:rPr/>
        <w:t> </w:t>
      </w:r>
    </w:p>
    <w:tbl>
      <w:tblPr>
        <w:tblW w:w="5265" w:type="dxa"/>
        <w:jc w:val="left"/>
        <w:tblInd w:w="0" w:type="dxa"/>
        <w:tblLayout w:type="fixed"/>
        <w:tblCellMar>
          <w:top w:w="28" w:type="dxa"/>
          <w:left w:w="28" w:type="dxa"/>
          <w:bottom w:w="28" w:type="dxa"/>
          <w:right w:w="28" w:type="dxa"/>
        </w:tblCellMar>
      </w:tblPr>
      <w:tblGrid>
        <w:gridCol w:w="1891"/>
        <w:gridCol w:w="146"/>
        <w:gridCol w:w="273"/>
        <w:gridCol w:w="897"/>
        <w:gridCol w:w="146"/>
        <w:gridCol w:w="146"/>
        <w:gridCol w:w="368"/>
        <w:gridCol w:w="1207"/>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40,320</w:t>
            </w:r>
          </w:p>
        </w:tc>
        <w:tc>
          <w:tcPr>
            <w:tcW w:w="1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12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30,578</w:t>
            </w:r>
          </w:p>
        </w:tc>
        <w:tc>
          <w:tcPr>
            <w:tcW w:w="1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12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14,906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Arial" w:hAnsi="Arial"/>
          <w:b/>
          <w:sz w:val="20"/>
        </w:rPr>
      </w:pPr>
      <w:r>
        <w:rPr>
          <w:rFonts w:ascii="Arial" w:hAnsi="Arial"/>
          <w:b/>
          <w:sz w:val="20"/>
        </w:rPr>
        <w:t>16.</w:t>
      </w:r>
    </w:p>
    <w:p>
      <w:pPr>
        <w:pStyle w:val="TextBody"/>
        <w:bidi w:val="0"/>
        <w:spacing w:before="360" w:after="283"/>
        <w:jc w:val="left"/>
        <w:rPr>
          <w:rFonts w:ascii="Arial;sans-serif" w:hAnsi="Arial;sans-serif"/>
          <w:b/>
          <w:sz w:val="20"/>
        </w:rPr>
      </w:pPr>
      <w:r>
        <w:rPr>
          <w:rFonts w:ascii="Arial;sans-serif" w:hAnsi="Arial;sans-serif"/>
          <w:b/>
          <w:sz w:val="20"/>
        </w:rPr>
        <w:t xml:space="preserve">Fair Value of Financial Instruments </w:t>
      </w:r>
    </w:p>
    <w:p>
      <w:pPr>
        <w:pStyle w:val="TextBody"/>
        <w:bidi w:val="0"/>
        <w:spacing w:before="120" w:after="0"/>
        <w:jc w:val="left"/>
        <w:rPr>
          <w:rFonts w:ascii="Arial;sans-serif" w:hAnsi="Arial;sans-serif"/>
          <w:b w:val="false"/>
          <w:sz w:val="20"/>
        </w:rPr>
      </w:pPr>
      <w:r>
        <w:rPr>
          <w:rFonts w:ascii="Arial;sans-serif" w:hAnsi="Arial;sans-serif"/>
          <w:b w:val="false"/>
          <w:sz w:val="20"/>
        </w:rPr>
        <w:t>The authoritative guidance on fair value measurement defines fair value as the price that would be received to sell an asset or paid to transfer a liability in an orderly transaction between market participants at the measurement date (referred to as an “exit price”). At June 30, 2023 and December 31, 2022, the Company’s financial instruments include cash, cash equivalents, accounts receivable, accounts payable, and other liabilities. The fair values of these financial instruments approximate their carrying values due to their short-term maturities.</w:t>
      </w:r>
    </w:p>
    <w:p>
      <w:pPr>
        <w:pStyle w:val="TextBody"/>
        <w:bidi w:val="0"/>
        <w:spacing w:before="240" w:after="0"/>
        <w:jc w:val="left"/>
        <w:rPr>
          <w:rFonts w:ascii="Times New Roman" w:hAnsi="Times New Roman"/>
          <w:sz w:val="20"/>
        </w:rPr>
      </w:pPr>
      <w:r>
        <w:rPr>
          <w:rFonts w:ascii="Arial;sans-serif" w:hAnsi="Arial;sans-serif"/>
          <w:b w:val="false"/>
          <w:sz w:val="20"/>
        </w:rPr>
        <w:t>Investments measured at fair value are based on one or more of the following three valuation techniques: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Arial;sans-serif" w:hAnsi="Arial;sans-serif"/>
          <w:sz w:val="20"/>
        </w:rPr>
      </w:pPr>
      <w:r>
        <w:rPr>
          <w:rFonts w:ascii="Arial;sans-serif" w:hAnsi="Arial;sans-serif"/>
          <w:b w:val="false"/>
          <w:i/>
          <w:sz w:val="20"/>
        </w:rPr>
        <w:t>Market approach</w:t>
      </w:r>
      <w:r>
        <w:rPr>
          <w:rFonts w:ascii="Arial;sans-serif" w:hAnsi="Arial;sans-serif"/>
          <w:sz w:val="20"/>
        </w:rPr>
        <w:t>—</w:t>
      </w:r>
      <w:r>
        <w:rPr>
          <w:rFonts w:ascii="Arial;sans-serif" w:hAnsi="Arial;sans-serif"/>
          <w:b w:val="false"/>
          <w:sz w:val="20"/>
        </w:rPr>
        <w:t xml:space="preserve">Prices and other relevant information generated by market transactions involving identical or comparable assets or liabilities; </w:t>
      </w:r>
    </w:p>
    <w:p>
      <w:pPr>
        <w:pStyle w:val="TextBody"/>
        <w:bidi w:val="0"/>
        <w:spacing w:before="120" w:after="0"/>
        <w:jc w:val="left"/>
        <w:rPr/>
      </w:pPr>
      <w:r>
        <w:rPr/>
        <w:t>•</w:t>
      </w:r>
    </w:p>
    <w:p>
      <w:pPr>
        <w:pStyle w:val="TextBody"/>
        <w:bidi w:val="0"/>
        <w:spacing w:before="120" w:after="0"/>
        <w:jc w:val="left"/>
        <w:rPr>
          <w:rFonts w:ascii="Arial;sans-serif" w:hAnsi="Arial;sans-serif"/>
          <w:sz w:val="20"/>
        </w:rPr>
      </w:pPr>
      <w:r>
        <w:rPr>
          <w:rFonts w:ascii="Arial;sans-serif" w:hAnsi="Arial;sans-serif"/>
          <w:b w:val="false"/>
          <w:i/>
          <w:sz w:val="20"/>
        </w:rPr>
        <w:t>Cost approach</w:t>
      </w:r>
      <w:r>
        <w:rPr>
          <w:rFonts w:ascii="Arial;sans-serif" w:hAnsi="Arial;sans-serif"/>
          <w:sz w:val="20"/>
        </w:rPr>
        <w:t>—</w:t>
      </w:r>
      <w:r>
        <w:rPr>
          <w:rFonts w:ascii="Arial;sans-serif" w:hAnsi="Arial;sans-serif"/>
          <w:b w:val="false"/>
          <w:sz w:val="20"/>
        </w:rPr>
        <w:t xml:space="preserve">Amount that would be required to replace the service capacity of an asset (i.e., replacement cost); and </w:t>
      </w:r>
    </w:p>
    <w:p>
      <w:pPr>
        <w:pStyle w:val="TextBody"/>
        <w:bidi w:val="0"/>
        <w:spacing w:before="120" w:after="0"/>
        <w:jc w:val="left"/>
        <w:rPr/>
      </w:pPr>
      <w:r>
        <w:rPr/>
        <w:t>•</w:t>
      </w:r>
    </w:p>
    <w:p>
      <w:pPr>
        <w:pStyle w:val="TextBody"/>
        <w:bidi w:val="0"/>
        <w:spacing w:before="120" w:after="283"/>
        <w:jc w:val="left"/>
        <w:rPr>
          <w:rFonts w:ascii="Arial;sans-serif" w:hAnsi="Arial;sans-serif"/>
          <w:sz w:val="20"/>
        </w:rPr>
      </w:pPr>
      <w:r>
        <w:rPr>
          <w:rFonts w:ascii="Arial;sans-serif" w:hAnsi="Arial;sans-serif"/>
          <w:b w:val="false"/>
          <w:i/>
          <w:sz w:val="20"/>
        </w:rPr>
        <w:t>Income approach</w:t>
      </w:r>
      <w:r>
        <w:rPr>
          <w:rFonts w:ascii="Arial;sans-serif" w:hAnsi="Arial;sans-serif"/>
          <w:sz w:val="20"/>
        </w:rPr>
        <w:t>—</w:t>
      </w:r>
      <w:r>
        <w:rPr>
          <w:rFonts w:ascii="Arial;sans-serif" w:hAnsi="Arial;sans-serif"/>
          <w:b w:val="false"/>
          <w:sz w:val="20"/>
        </w:rPr>
        <w:t xml:space="preserve">Techniques to convert future amounts to a single present amount based on market expectations (including present value techniques, option-pricing models and lattice models). </w:t>
      </w:r>
    </w:p>
    <w:p>
      <w:pPr>
        <w:pStyle w:val="TextBody"/>
        <w:bidi w:val="0"/>
        <w:spacing w:before="240" w:after="0"/>
        <w:jc w:val="left"/>
        <w:rPr>
          <w:rFonts w:ascii="Times New Roman" w:hAnsi="Times New Roman"/>
          <w:sz w:val="20"/>
        </w:rPr>
      </w:pPr>
      <w:r>
        <w:rPr>
          <w:rFonts w:ascii="Arial;sans-serif" w:hAnsi="Arial;sans-serif"/>
          <w:b w:val="false"/>
          <w:sz w:val="20"/>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Level 1 - Unadjusted quoted prices in active markets that are accessible at the measurement date for identical assets and liabilities;</w:t>
      </w:r>
    </w:p>
    <w:p>
      <w:pPr>
        <w:pStyle w:val="TextBody"/>
        <w:bidi w:val="0"/>
        <w:spacing w:before="120" w:after="0"/>
        <w:jc w:val="left"/>
        <w:rPr>
          <w:rFonts w:ascii="Arial;sans-serif" w:hAnsi="Arial;sans-serif"/>
          <w:b w:val="false"/>
          <w:sz w:val="20"/>
        </w:rPr>
      </w:pPr>
      <w:r>
        <w:rPr>
          <w:rFonts w:ascii="Arial;sans-serif" w:hAnsi="Arial;sans-serif"/>
          <w:b w:val="false"/>
          <w:sz w:val="20"/>
        </w:rPr>
        <w:t>Level 2 - Pricing inputs that include quoted prices for similar assets and liabilities in active markets and inputs that are observable for the asset or liability, either directly or indirectly, for substantially the full term of the instrument; and</w:t>
      </w:r>
    </w:p>
    <w:p>
      <w:pPr>
        <w:pStyle w:val="TextBody"/>
        <w:bidi w:val="0"/>
        <w:spacing w:before="120" w:after="0"/>
        <w:jc w:val="left"/>
        <w:rPr>
          <w:rFonts w:ascii="Arial;sans-serif" w:hAnsi="Arial;sans-serif"/>
          <w:b w:val="false"/>
          <w:sz w:val="20"/>
        </w:rPr>
      </w:pPr>
      <w:r>
        <w:rPr>
          <w:rFonts w:ascii="Arial;sans-serif" w:hAnsi="Arial;sans-serif"/>
          <w:b w:val="false"/>
          <w:sz w:val="20"/>
        </w:rPr>
        <w:t>Level 3 - Prices or valuations that require inputs that are both significant to the fair value measurements and unobservable.</w:t>
      </w:r>
    </w:p>
    <w:p>
      <w:pPr>
        <w:pStyle w:val="TextBody"/>
        <w:bidi w:val="0"/>
        <w:spacing w:before="240" w:after="0"/>
        <w:jc w:val="center"/>
        <w:rPr>
          <w:rFonts w:ascii="Arial;sans-serif" w:hAnsi="Arial;sans-serif"/>
          <w:b w:val="false"/>
          <w:sz w:val="20"/>
        </w:rPr>
      </w:pPr>
      <w:r>
        <w:rPr>
          <w:rFonts w:ascii="Arial;sans-serif" w:hAnsi="Arial;sans-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Refer to Notes to Consolidated Financial Statements included in the Company’s Form 10-K for the year ended December 31, 2022</w:t>
      </w:r>
      <w:r>
        <w:rPr>
          <w:rFonts w:ascii="Times New Roman" w:hAnsi="Times New Roman"/>
          <w:sz w:val="20"/>
        </w:rPr>
        <w:t xml:space="preserve"> </w:t>
      </w:r>
      <w:r>
        <w:rPr>
          <w:rFonts w:ascii="Arial;sans-serif" w:hAnsi="Arial;sans-serif"/>
          <w:b w:val="false"/>
          <w:sz w:val="20"/>
        </w:rPr>
        <w:t>for a more complete discussion of the various items within the consolidated financial statements measured at fair value and the methods used to determine fair value.</w:t>
      </w:r>
    </w:p>
    <w:p>
      <w:pPr>
        <w:pStyle w:val="TextBody"/>
        <w:bidi w:val="0"/>
        <w:spacing w:before="360" w:after="0"/>
        <w:jc w:val="left"/>
        <w:rPr>
          <w:rFonts w:ascii="Arial" w:hAnsi="Arial"/>
          <w:b/>
          <w:sz w:val="20"/>
        </w:rPr>
      </w:pPr>
      <w:r>
        <w:rPr>
          <w:rFonts w:ascii="Arial" w:hAnsi="Arial"/>
          <w:b/>
          <w:sz w:val="20"/>
        </w:rPr>
        <w:t>17.</w:t>
      </w:r>
    </w:p>
    <w:p>
      <w:pPr>
        <w:pStyle w:val="TextBody"/>
        <w:bidi w:val="0"/>
        <w:spacing w:before="360" w:after="283"/>
        <w:jc w:val="left"/>
        <w:rPr>
          <w:rFonts w:ascii="Arial;sans-serif" w:hAnsi="Arial;sans-serif"/>
          <w:b/>
          <w:sz w:val="20"/>
        </w:rPr>
      </w:pPr>
      <w:r>
        <w:rPr>
          <w:rFonts w:ascii="Arial;sans-serif" w:hAnsi="Arial;sans-serif"/>
          <w:b/>
          <w:sz w:val="20"/>
        </w:rPr>
        <w:t>Earnings Per Share</w:t>
      </w:r>
    </w:p>
    <w:p>
      <w:pPr>
        <w:pStyle w:val="TextBody"/>
        <w:bidi w:val="0"/>
        <w:spacing w:before="120" w:after="0"/>
        <w:jc w:val="left"/>
        <w:rPr>
          <w:rFonts w:ascii="Times New Roman" w:hAnsi="Times New Roman"/>
          <w:sz w:val="20"/>
        </w:rPr>
      </w:pPr>
      <w:r>
        <w:rPr>
          <w:rFonts w:ascii="Arial;sans-serif" w:hAnsi="Arial;sans-serif"/>
          <w:b w:val="false"/>
          <w:sz w:val="20"/>
        </w:rPr>
        <w:t>The following tables reconcile the denominator and numerator used to compute basic earnings per share (“EPS”) to the denominator and numerator used to compute diluted EPS for the three and six months ended June 30, 2023 and June 30, 2022.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Convertible Senior Note dilution impact is calculated using the if-converted method.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pStyle w:val="TextBody"/>
        <w:bidi w:val="0"/>
        <w:spacing w:before="120" w:after="0"/>
        <w:jc w:val="left"/>
        <w:rPr>
          <w:rFonts w:ascii="Times New Roman" w:hAnsi="Times New Roman"/>
          <w:sz w:val="20"/>
        </w:rPr>
      </w:pPr>
      <w:r>
        <w:rPr>
          <w:rFonts w:ascii="Arial;sans-serif" w:hAnsi="Arial;sans-serif"/>
          <w:b w:val="false"/>
          <w:sz w:val="20"/>
        </w:rPr>
        <w:t>Dilutive potential common shares include, when circumstances require,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June 30, 2023 and June 30, 2022</w:t>
      </w:r>
      <w:r>
        <w:rPr>
          <w:rFonts w:ascii="Times New Roman" w:hAnsi="Times New Roman"/>
          <w:sz w:val="20"/>
        </w:rPr>
        <w:t xml:space="preserve"> </w:t>
      </w:r>
      <w:r>
        <w:rPr>
          <w:rFonts w:ascii="Arial;sans-serif" w:hAnsi="Arial;sans-serif"/>
          <w:b w:val="false"/>
          <w:sz w:val="20"/>
        </w:rPr>
        <w:t>were 3,837</w:t>
      </w:r>
      <w:r>
        <w:rPr>
          <w:rFonts w:ascii="Times New Roman" w:hAnsi="Times New Roman"/>
          <w:sz w:val="20"/>
        </w:rPr>
        <w:t xml:space="preserve"> </w:t>
      </w:r>
      <w:r>
        <w:rPr>
          <w:rFonts w:ascii="Arial;sans-serif" w:hAnsi="Arial;sans-serif"/>
          <w:b w:val="false"/>
          <w:sz w:val="20"/>
        </w:rPr>
        <w:t>and 11,502, respectively and for the six months ended June 30, 2023 and June 30, 2022</w:t>
      </w:r>
      <w:r>
        <w:rPr>
          <w:rFonts w:ascii="Times New Roman" w:hAnsi="Times New Roman"/>
          <w:sz w:val="20"/>
        </w:rPr>
        <w:t xml:space="preserve"> </w:t>
      </w:r>
      <w:r>
        <w:rPr>
          <w:rFonts w:ascii="Arial;sans-serif" w:hAnsi="Arial;sans-serif"/>
          <w:b w:val="false"/>
          <w:sz w:val="20"/>
        </w:rPr>
        <w:t>were 1,265</w:t>
      </w:r>
      <w:r>
        <w:rPr>
          <w:rFonts w:ascii="Times New Roman" w:hAnsi="Times New Roman"/>
          <w:sz w:val="20"/>
        </w:rPr>
        <w:t xml:space="preserve"> </w:t>
      </w:r>
      <w:r>
        <w:rPr>
          <w:rFonts w:ascii="Arial;sans-serif" w:hAnsi="Arial;sans-serif"/>
          <w:b w:val="false"/>
          <w:sz w:val="20"/>
        </w:rPr>
        <w:t>and 8,019, respectively.</w:t>
      </w:r>
    </w:p>
    <w:p>
      <w:pPr>
        <w:pStyle w:val="TextBody"/>
        <w:bidi w:val="0"/>
        <w:spacing w:before="240" w:after="0"/>
        <w:jc w:val="left"/>
        <w:rPr>
          <w:rFonts w:ascii="Times New Roman" w:hAnsi="Times New Roman"/>
          <w:sz w:val="20"/>
        </w:rPr>
      </w:pPr>
      <w:r>
        <w:rPr>
          <w:rFonts w:ascii="Arial;sans-serif" w:hAnsi="Arial;sans-serif"/>
          <w:b w:val="false"/>
          <w:sz w:val="20"/>
        </w:rPr>
        <w:t>The weighted average number of shares used to compute basic and diluted EPS were:</w:t>
      </w:r>
      <w:r>
        <w:rPr>
          <w:rFonts w:ascii="Times New Roman" w:hAnsi="Times New Roman"/>
          <w:sz w:val="20"/>
        </w:rPr>
        <w:t xml:space="preserve"> </w:t>
      </w:r>
    </w:p>
    <w:p>
      <w:pPr>
        <w:pStyle w:val="TextBody"/>
        <w:bidi w:val="0"/>
        <w:spacing w:before="240" w:after="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146"/>
        <w:gridCol w:w="1171"/>
        <w:gridCol w:w="146"/>
        <w:gridCol w:w="146"/>
        <w:gridCol w:w="146"/>
        <w:gridCol w:w="1171"/>
        <w:gridCol w:w="146"/>
        <w:gridCol w:w="146"/>
        <w:gridCol w:w="146"/>
        <w:gridCol w:w="1171"/>
        <w:gridCol w:w="146"/>
        <w:gridCol w:w="146"/>
        <w:gridCol w:w="146"/>
        <w:gridCol w:w="1171"/>
        <w:gridCol w:w="19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Basic weighted average number of shares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104,907,505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103,675,373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104,856,350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103,722,004</w:t>
            </w:r>
          </w:p>
        </w:tc>
        <w:tc>
          <w:tcPr>
            <w:tcW w:w="191" w:type="dxa"/>
            <w:tcBorders/>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Stock-based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883,224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658,198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940,810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729,223</w:t>
            </w:r>
          </w:p>
        </w:tc>
        <w:tc>
          <w:tcPr>
            <w:tcW w:w="191" w:type="dxa"/>
            <w:tcBorders/>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Convertible senior notes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8,916,530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8,916,530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8,916,530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8,916,530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Diluted weighted average number of shares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114,707,259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113,250,101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114,713,690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113,367,757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Arial;sans-serif" w:hAnsi="Arial;sans-serif"/>
          <w:b w:val="false"/>
          <w:sz w:val="20"/>
        </w:rPr>
        <w:t>The net income available to shareholders to compute basic and diluted EPS were (in thousands):</w:t>
        <w:br/>
      </w:r>
      <w:r>
        <w:rPr>
          <w:rFonts w:ascii="Times New Roman" w:hAnsi="Times New Roman"/>
          <w:sz w:val="20"/>
        </w:rPr>
        <w:t> </w:t>
      </w:r>
    </w:p>
    <w:tbl>
      <w:tblPr>
        <w:tblW w:w="10205" w:type="dxa"/>
        <w:jc w:val="left"/>
        <w:tblInd w:w="0" w:type="dxa"/>
        <w:tblLayout w:type="fixed"/>
        <w:tblCellMar>
          <w:top w:w="28" w:type="dxa"/>
          <w:left w:w="28" w:type="dxa"/>
          <w:bottom w:w="28" w:type="dxa"/>
          <w:right w:w="28" w:type="dxa"/>
        </w:tblCellMar>
      </w:tblPr>
      <w:tblGrid>
        <w:gridCol w:w="4606"/>
        <w:gridCol w:w="146"/>
        <w:gridCol w:w="257"/>
        <w:gridCol w:w="846"/>
        <w:gridCol w:w="146"/>
        <w:gridCol w:w="146"/>
        <w:gridCol w:w="257"/>
        <w:gridCol w:w="846"/>
        <w:gridCol w:w="146"/>
        <w:gridCol w:w="146"/>
        <w:gridCol w:w="189"/>
        <w:gridCol w:w="898"/>
        <w:gridCol w:w="146"/>
        <w:gridCol w:w="146"/>
        <w:gridCol w:w="189"/>
        <w:gridCol w:w="898"/>
        <w:gridCol w:w="197"/>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38,962</w:t>
            </w:r>
          </w:p>
        </w:tc>
        <w:tc>
          <w:tcPr>
            <w:tcW w:w="197"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Convertible senior notes if-converted method interest adjustment</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Diluted net income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43,795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18,837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40,044</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Arial;sans-serif" w:hAnsi="Arial;sans-serif"/>
          <w:b/>
          <w:i/>
          <w:sz w:val="20"/>
        </w:rPr>
      </w:pPr>
      <w:r>
        <w:rPr>
          <w:rFonts w:ascii="Arial;sans-serif" w:hAnsi="Arial;sans-serif"/>
          <w:b/>
          <w:i/>
          <w:sz w:val="20"/>
        </w:rPr>
        <w:t>Share Repurchases</w:t>
      </w:r>
    </w:p>
    <w:p>
      <w:pPr>
        <w:pStyle w:val="TextBody"/>
        <w:bidi w:val="0"/>
        <w:spacing w:before="240" w:after="0"/>
        <w:jc w:val="left"/>
        <w:rPr>
          <w:rFonts w:ascii="Times New Roman" w:hAnsi="Times New Roman"/>
          <w:sz w:val="20"/>
        </w:rPr>
      </w:pPr>
      <w:r>
        <w:rPr>
          <w:rFonts w:ascii="Arial;sans-serif" w:hAnsi="Arial;sans-serif"/>
          <w:b w:val="false"/>
          <w:sz w:val="20"/>
        </w:rPr>
        <w:t>In August 2021, the Company’s Board of Directors authorized a stock repurchase program to repurchase up to $100.0</w:t>
      </w:r>
      <w:r>
        <w:rPr>
          <w:rFonts w:ascii="Times New Roman" w:hAnsi="Times New Roman"/>
          <w:sz w:val="20"/>
        </w:rPr>
        <w:t xml:space="preserve"> </w:t>
      </w:r>
      <w:r>
        <w:rPr>
          <w:rFonts w:ascii="Arial;sans-serif" w:hAnsi="Arial;sans-serif"/>
          <w:b w:val="false"/>
          <w:sz w:val="20"/>
        </w:rPr>
        <w:t>million of shares of Common stock. Repurchases under this stock repurchase program commenced on August 12, 2021. Any and all shares of Common Stock purchased by the Company pursuant to the program shall be retired upon</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their acquisition and shall not become treasury shares but instead shall resume the status of authorized but unissued shares of Common Stock.</w:t>
      </w:r>
      <w:r>
        <w:rPr>
          <w:rFonts w:ascii="Times New Roman" w:hAnsi="Times New Roman"/>
          <w:sz w:val="20"/>
        </w:rPr>
        <w:t xml:space="preserve"> </w:t>
      </w:r>
      <w:r>
        <w:rPr>
          <w:rFonts w:ascii="Arial;sans-serif" w:hAnsi="Arial;sans-serif"/>
          <w:b w:val="false"/>
          <w:sz w:val="20"/>
        </w:rPr>
        <w:t>The table below presents information on this repurchase program:</w:t>
      </w:r>
    </w:p>
    <w:p>
      <w:pPr>
        <w:pStyle w:val="TextBody"/>
        <w:bidi w:val="0"/>
        <w:spacing w:before="0" w:after="0"/>
        <w:jc w:val="left"/>
        <w:rPr/>
      </w:pPr>
      <w:r>
        <w:rPr/>
        <w:t> </w:t>
      </w:r>
    </w:p>
    <w:tbl>
      <w:tblPr>
        <w:tblW w:w="8504" w:type="dxa"/>
        <w:jc w:val="left"/>
        <w:tblInd w:w="0" w:type="dxa"/>
        <w:tblLayout w:type="fixed"/>
        <w:tblCellMar>
          <w:top w:w="28" w:type="dxa"/>
          <w:left w:w="28" w:type="dxa"/>
          <w:bottom w:w="28" w:type="dxa"/>
          <w:right w:w="28" w:type="dxa"/>
        </w:tblCellMar>
      </w:tblPr>
      <w:tblGrid>
        <w:gridCol w:w="2611"/>
        <w:gridCol w:w="146"/>
        <w:gridCol w:w="273"/>
        <w:gridCol w:w="897"/>
        <w:gridCol w:w="146"/>
        <w:gridCol w:w="146"/>
        <w:gridCol w:w="245"/>
        <w:gridCol w:w="925"/>
        <w:gridCol w:w="146"/>
        <w:gridCol w:w="146"/>
        <w:gridCol w:w="245"/>
        <w:gridCol w:w="925"/>
        <w:gridCol w:w="146"/>
        <w:gridCol w:w="146"/>
        <w:gridCol w:w="245"/>
        <w:gridCol w:w="925"/>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shares repurchased</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275,652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427,088</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shares retired</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275,652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427,088</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Average price paid per share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36.40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As of June 30, 2023, the Company has $48.3</w:t>
      </w:r>
      <w:r>
        <w:rPr>
          <w:rFonts w:ascii="Times New Roman" w:hAnsi="Times New Roman"/>
          <w:sz w:val="20"/>
        </w:rPr>
        <w:t xml:space="preserve"> </w:t>
      </w:r>
      <w:r>
        <w:rPr>
          <w:rFonts w:ascii="Arial;sans-serif" w:hAnsi="Arial;sans-serif"/>
          <w:b w:val="false"/>
          <w:sz w:val="20"/>
        </w:rPr>
        <w:t>million remaining under the stock repurchase program.</w:t>
      </w:r>
    </w:p>
    <w:p>
      <w:pPr>
        <w:pStyle w:val="TextBody"/>
        <w:bidi w:val="0"/>
        <w:spacing w:before="360" w:after="0"/>
        <w:jc w:val="left"/>
        <w:rPr>
          <w:rFonts w:ascii="Arial" w:hAnsi="Arial"/>
          <w:b/>
          <w:sz w:val="20"/>
        </w:rPr>
      </w:pPr>
      <w:r>
        <w:rPr>
          <w:rFonts w:ascii="Arial" w:hAnsi="Arial"/>
          <w:b/>
          <w:sz w:val="20"/>
        </w:rPr>
        <w:t>18.</w:t>
      </w:r>
    </w:p>
    <w:p>
      <w:pPr>
        <w:pStyle w:val="TextBody"/>
        <w:bidi w:val="0"/>
        <w:spacing w:before="360" w:after="283"/>
        <w:jc w:val="left"/>
        <w:rPr>
          <w:rFonts w:ascii="Arial;sans-serif" w:hAnsi="Arial;sans-serif"/>
          <w:b/>
          <w:sz w:val="20"/>
        </w:rPr>
      </w:pPr>
      <w:r>
        <w:rPr>
          <w:rFonts w:ascii="Arial;sans-serif" w:hAnsi="Arial;sans-serif"/>
          <w:b/>
          <w:sz w:val="20"/>
        </w:rPr>
        <w:t xml:space="preserve">Segment Information </w:t>
      </w:r>
    </w:p>
    <w:p>
      <w:pPr>
        <w:pStyle w:val="TextBody"/>
        <w:bidi w:val="0"/>
        <w:spacing w:before="120" w:after="0"/>
        <w:jc w:val="left"/>
        <w:rPr>
          <w:rFonts w:ascii="Times New Roman" w:hAnsi="Times New Roman"/>
          <w:sz w:val="20"/>
        </w:rPr>
      </w:pPr>
      <w:r>
        <w:rPr>
          <w:rFonts w:ascii="Arial;sans-serif" w:hAnsi="Arial;sans-serif"/>
          <w:b w:val="false"/>
          <w:sz w:val="20"/>
        </w:rPr>
        <w:t>The Company operates in two</w:t>
      </w:r>
      <w:r>
        <w:rPr>
          <w:rFonts w:ascii="Times New Roman" w:hAnsi="Times New Roman"/>
          <w:sz w:val="20"/>
        </w:rPr>
        <w:t xml:space="preserve"> </w:t>
      </w:r>
      <w:r>
        <w:rPr>
          <w:rFonts w:ascii="Arial;sans-serif" w:hAnsi="Arial;sans-serif"/>
          <w:b w:val="false"/>
          <w:sz w:val="20"/>
        </w:rPr>
        <w:t>reportable segments: Federal Solutions and Critical Infrastructure.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Company defines its reportable segments based on the way the chief operating decision maker (“CODM”), its Chair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table summarizes business segment revenue for the periods presented (in thousands):</w:t>
      </w:r>
      <w:r>
        <w:rPr>
          <w:rFonts w:ascii="Times New Roman" w:hAnsi="Times New Roman"/>
          <w:sz w:val="20"/>
        </w:rPr>
        <w:t xml:space="preserve"> </w:t>
      </w:r>
    </w:p>
    <w:p>
      <w:pPr>
        <w:pStyle w:val="TextBody"/>
        <w:bidi w:val="0"/>
        <w:spacing w:before="0" w:after="0"/>
        <w:jc w:val="left"/>
        <w:rPr/>
      </w:pPr>
      <w:r>
        <w:rPr/>
        <w:t> </w:t>
      </w:r>
    </w:p>
    <w:tbl>
      <w:tblPr>
        <w:tblW w:w="8733" w:type="dxa"/>
        <w:jc w:val="left"/>
        <w:tblInd w:w="0" w:type="dxa"/>
        <w:tblLayout w:type="fixed"/>
        <w:tblCellMar>
          <w:top w:w="28" w:type="dxa"/>
          <w:left w:w="28" w:type="dxa"/>
          <w:bottom w:w="28" w:type="dxa"/>
          <w:right w:w="28" w:type="dxa"/>
        </w:tblCellMar>
      </w:tblPr>
      <w:tblGrid>
        <w:gridCol w:w="2686"/>
        <w:gridCol w:w="146"/>
        <w:gridCol w:w="211"/>
        <w:gridCol w:w="961"/>
        <w:gridCol w:w="146"/>
        <w:gridCol w:w="146"/>
        <w:gridCol w:w="211"/>
        <w:gridCol w:w="961"/>
        <w:gridCol w:w="146"/>
        <w:gridCol w:w="146"/>
        <w:gridCol w:w="146"/>
        <w:gridCol w:w="211"/>
        <w:gridCol w:w="961"/>
        <w:gridCol w:w="146"/>
        <w:gridCol w:w="146"/>
        <w:gridCol w:w="211"/>
        <w:gridCol w:w="961"/>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762,797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537,556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1,397,343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1,029,185</w:t>
            </w:r>
          </w:p>
        </w:tc>
        <w:tc>
          <w:tcPr>
            <w:tcW w:w="1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593,689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471,165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1,132,609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928,605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1,356,486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1,008,721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2,529,952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1,957,790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 xml:space="preserve">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w:t>
      </w:r>
    </w:p>
    <w:p>
      <w:pPr>
        <w:pStyle w:val="TextBody"/>
        <w:bidi w:val="0"/>
        <w:spacing w:before="240" w:after="0"/>
        <w:jc w:val="center"/>
        <w:rPr>
          <w:rFonts w:ascii="Arial;sans-serif" w:hAnsi="Arial;sans-serif"/>
          <w:b w:val="false"/>
          <w:sz w:val="20"/>
        </w:rPr>
      </w:pPr>
      <w:r>
        <w:rPr>
          <w:rFonts w:ascii="Arial;sans-serif" w:hAnsi="Arial;sans-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Adjusted EBITDA attributable to Parsons Corporation to Net Income attributable to Parsons Corporation for the periods presented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246"/>
        <w:gridCol w:w="146"/>
        <w:gridCol w:w="237"/>
        <w:gridCol w:w="895"/>
        <w:gridCol w:w="166"/>
        <w:gridCol w:w="146"/>
        <w:gridCol w:w="245"/>
        <w:gridCol w:w="876"/>
        <w:gridCol w:w="166"/>
        <w:gridCol w:w="146"/>
        <w:gridCol w:w="146"/>
        <w:gridCol w:w="237"/>
        <w:gridCol w:w="895"/>
        <w:gridCol w:w="166"/>
        <w:gridCol w:w="146"/>
        <w:gridCol w:w="237"/>
        <w:gridCol w:w="895"/>
        <w:gridCol w:w="214"/>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11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r>
              <w:rPr>
                <w:rFonts w:ascii="Arial;sans-serif" w:hAnsi="Arial;sans-serif"/>
                <w:b w:val="false"/>
                <w:sz w:val="20"/>
              </w:rPr>
              <w:t>Federal Solutions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85,640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141,788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90,283</w:t>
            </w:r>
          </w:p>
        </w:tc>
        <w:tc>
          <w:tcPr>
            <w:tcW w:w="214"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pPr>
            <w:r>
              <w:rPr/>
              <w:t>     </w:t>
            </w:r>
            <w:r>
              <w:rPr>
                <w:rFonts w:ascii="Arial;sans-serif" w:hAnsi="Arial;sans-serif"/>
                <w:b w:val="false"/>
                <w:sz w:val="20"/>
              </w:rPr>
              <w:t>Critical Infrastructure</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45,293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53,475</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106,576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72,805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187,081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143,758</w:t>
            </w:r>
          </w:p>
        </w:tc>
        <w:tc>
          <w:tcPr>
            <w:tcW w:w="214"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11,730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7,904</w:t>
            </w:r>
          </w:p>
        </w:tc>
        <w:tc>
          <w:tcPr>
            <w:tcW w:w="214"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(28,689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(30,581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(57,048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(61,090</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(4,354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(12,658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(8,227</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(15,223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(5,732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(26,726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(13,851</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Equity-based compensation expense</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(9,314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(4,791</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(16,017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Transaction-related costs (a)</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(9,525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(3,535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(11,923</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Restructuring expense (b)</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(213</w:t>
            </w:r>
          </w:p>
        </w:tc>
        <w:tc>
          <w:tcPr>
            <w:tcW w:w="2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(c)</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(1,046</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including noncontrolling interests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54,771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22,780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46,623</w:t>
            </w:r>
          </w:p>
        </w:tc>
        <w:tc>
          <w:tcPr>
            <w:tcW w:w="214"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7,661</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43,241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18,295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68,794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38,962</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120" w:after="0"/>
        <w:jc w:val="left"/>
        <w:rPr>
          <w:rFonts w:ascii="Arial" w:hAnsi="Arial"/>
          <w:b w:val="false"/>
          <w:sz w:val="20"/>
        </w:rPr>
      </w:pPr>
      <w:r>
        <w:rPr>
          <w:rFonts w:ascii="Arial" w:hAnsi="Arial"/>
          <w:b w:val="false"/>
          <w:sz w:val="20"/>
        </w:rPr>
        <w:t>(a)</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Reflects costs incurred in connection with acquisitions and other non-recurring transaction costs, primarily fees paid for professional services and employee retention. </w:t>
      </w:r>
    </w:p>
    <w:p>
      <w:pPr>
        <w:pStyle w:val="TextBody"/>
        <w:bidi w:val="0"/>
        <w:spacing w:before="0" w:after="0"/>
        <w:jc w:val="left"/>
        <w:rPr>
          <w:rFonts w:ascii="Arial" w:hAnsi="Arial"/>
          <w:b w:val="false"/>
          <w:sz w:val="20"/>
        </w:rPr>
      </w:pPr>
      <w:r>
        <w:rPr>
          <w:rFonts w:ascii="Arial" w:hAnsi="Arial"/>
          <w:b w:val="false"/>
          <w:sz w:val="20"/>
        </w:rPr>
        <w:t>(b)</w:t>
      </w:r>
    </w:p>
    <w:p>
      <w:pPr>
        <w:pStyle w:val="TextBody"/>
        <w:bidi w:val="0"/>
        <w:spacing w:before="0" w:after="0"/>
        <w:jc w:val="left"/>
        <w:rPr>
          <w:rFonts w:ascii="Arial;sans-serif" w:hAnsi="Arial;sans-serif"/>
          <w:b w:val="false"/>
          <w:sz w:val="20"/>
        </w:rPr>
      </w:pPr>
      <w:r>
        <w:rPr>
          <w:rFonts w:ascii="Arial;sans-serif" w:hAnsi="Arial;sans-serif"/>
          <w:b w:val="false"/>
          <w:sz w:val="20"/>
        </w:rPr>
        <w:t>Reflects costs associated with corporate restructuring initiatives.</w:t>
      </w:r>
    </w:p>
    <w:p>
      <w:pPr>
        <w:pStyle w:val="TextBody"/>
        <w:bidi w:val="0"/>
        <w:spacing w:before="0" w:after="0"/>
        <w:jc w:val="left"/>
        <w:rPr>
          <w:rFonts w:ascii="Arial" w:hAnsi="Arial"/>
          <w:b w:val="false"/>
          <w:sz w:val="20"/>
        </w:rPr>
      </w:pPr>
      <w:r>
        <w:rPr>
          <w:rFonts w:ascii="Arial" w:hAnsi="Arial"/>
          <w:b w:val="false"/>
          <w:sz w:val="20"/>
        </w:rPr>
        <w:t>(c)</w:t>
      </w:r>
    </w:p>
    <w:p>
      <w:pPr>
        <w:pStyle w:val="TextBody"/>
        <w:bidi w:val="0"/>
        <w:jc w:val="left"/>
        <w:rPr>
          <w:rFonts w:ascii="Arial;sans-serif" w:hAnsi="Arial;sans-serif"/>
          <w:b w:val="false"/>
          <w:sz w:val="20"/>
        </w:rPr>
      </w:pPr>
      <w:r>
        <w:rPr>
          <w:rFonts w:ascii="Arial;sans-serif" w:hAnsi="Arial;sans-serif"/>
          <w:b w:val="false"/>
          <w:sz w:val="20"/>
        </w:rPr>
        <w:t>Includes a combination of gain/loss related to sale of fixed assets, software implementation costs, and other individually insignificant items that are non-recurring in nature.</w:t>
      </w:r>
    </w:p>
    <w:p>
      <w:pPr>
        <w:pStyle w:val="TextBody"/>
        <w:bidi w:val="0"/>
        <w:spacing w:before="240" w:after="0"/>
        <w:jc w:val="left"/>
        <w:rPr>
          <w:rFonts w:ascii="Times New Roman" w:hAnsi="Times New Roman"/>
          <w:sz w:val="20"/>
        </w:rPr>
      </w:pPr>
      <w:r>
        <w:rPr>
          <w:rFonts w:ascii="Arial;sans-serif" w:hAnsi="Arial;sans-serif"/>
          <w:b w:val="false"/>
          <w:sz w:val="20"/>
        </w:rPr>
        <w:t>Asset information by segment is not a key measure of performance used by the CODM.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tables present revenues and property and equipment, net by geographic area (in thousands):</w:t>
      </w:r>
      <w:r>
        <w:rPr>
          <w:rFonts w:ascii="Times New Roman" w:hAnsi="Times New Roman"/>
          <w:sz w:val="20"/>
        </w:rPr>
        <w:t xml:space="preserve"> </w:t>
      </w:r>
    </w:p>
    <w:p>
      <w:pPr>
        <w:pStyle w:val="TextBody"/>
        <w:bidi w:val="0"/>
        <w:spacing w:before="0" w:after="0"/>
        <w:jc w:val="left"/>
        <w:rPr/>
      </w:pPr>
      <w:r>
        <w:rPr/>
        <w:t> </w:t>
      </w:r>
    </w:p>
    <w:tbl>
      <w:tblPr>
        <w:tblW w:w="7708" w:type="dxa"/>
        <w:jc w:val="left"/>
        <w:tblInd w:w="0" w:type="dxa"/>
        <w:tblLayout w:type="fixed"/>
        <w:tblCellMar>
          <w:top w:w="28" w:type="dxa"/>
          <w:left w:w="28" w:type="dxa"/>
          <w:bottom w:w="28" w:type="dxa"/>
          <w:right w:w="28" w:type="dxa"/>
        </w:tblCellMar>
      </w:tblPr>
      <w:tblGrid>
        <w:gridCol w:w="1381"/>
        <w:gridCol w:w="146"/>
        <w:gridCol w:w="211"/>
        <w:gridCol w:w="961"/>
        <w:gridCol w:w="146"/>
        <w:gridCol w:w="146"/>
        <w:gridCol w:w="211"/>
        <w:gridCol w:w="961"/>
        <w:gridCol w:w="146"/>
        <w:gridCol w:w="146"/>
        <w:gridCol w:w="146"/>
        <w:gridCol w:w="211"/>
        <w:gridCol w:w="961"/>
        <w:gridCol w:w="146"/>
        <w:gridCol w:w="146"/>
        <w:gridCol w:w="211"/>
        <w:gridCol w:w="961"/>
        <w:gridCol w:w="47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1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North America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1,136,290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841,091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2,085,005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1,626,799</w:t>
            </w:r>
          </w:p>
        </w:tc>
        <w:tc>
          <w:tcPr>
            <w:tcW w:w="471" w:type="dxa"/>
            <w:tcBorders/>
            <w:vAlign w:val="center"/>
          </w:tcPr>
          <w:p>
            <w:pPr>
              <w:pStyle w:val="TableContents"/>
              <w:bidi w:val="0"/>
              <w:spacing w:before="0" w:after="0"/>
              <w:ind w:left="0" w:right="0" w:firstLine="280"/>
              <w:jc w:val="left"/>
              <w:rPr/>
            </w:pPr>
            <w:r>
              <w:rPr/>
              <w:t> </w:t>
            </w:r>
          </w:p>
        </w:tc>
      </w:tr>
      <w:tr>
        <w:trPr/>
        <w:tc>
          <w:tcPr>
            <w:tcW w:w="1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Middle East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219,253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161,335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436,651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319,398</w:t>
            </w:r>
          </w:p>
        </w:tc>
        <w:tc>
          <w:tcPr>
            <w:tcW w:w="471" w:type="dxa"/>
            <w:tcBorders/>
            <w:vAlign w:val="center"/>
          </w:tcPr>
          <w:p>
            <w:pPr>
              <w:pStyle w:val="TableContents"/>
              <w:bidi w:val="0"/>
              <w:spacing w:before="0" w:after="0"/>
              <w:ind w:left="0" w:right="0" w:firstLine="280"/>
              <w:jc w:val="left"/>
              <w:rPr/>
            </w:pPr>
            <w:r>
              <w:rPr/>
              <w:t> </w:t>
            </w:r>
          </w:p>
        </w:tc>
      </w:tr>
      <w:tr>
        <w:trPr/>
        <w:tc>
          <w:tcPr>
            <w:tcW w:w="138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Rest of World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11,593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1,356,486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1,008,721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2,529,952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1,957,790</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Arial;sans-serif" w:hAnsi="Arial;sans-serif"/>
          <w:b w:val="false"/>
          <w:sz w:val="20"/>
        </w:rPr>
      </w:pPr>
      <w:r>
        <w:rPr>
          <w:rFonts w:ascii="Arial;sans-serif" w:hAnsi="Arial;sans-serif"/>
          <w:b w:val="false"/>
          <w:sz w:val="20"/>
        </w:rPr>
        <w:t>The geographic location of revenue is determined by the location of the customer (in thousands):</w:t>
      </w:r>
    </w:p>
    <w:p>
      <w:pPr>
        <w:pStyle w:val="TextBody"/>
        <w:bidi w:val="0"/>
        <w:spacing w:before="0" w:after="0"/>
        <w:jc w:val="left"/>
        <w:rPr/>
      </w:pPr>
      <w:r>
        <w:rPr/>
        <w:t> </w:t>
      </w:r>
    </w:p>
    <w:tbl>
      <w:tblPr>
        <w:tblW w:w="6790" w:type="dxa"/>
        <w:jc w:val="left"/>
        <w:tblInd w:w="0" w:type="dxa"/>
        <w:tblLayout w:type="fixed"/>
        <w:tblCellMar>
          <w:top w:w="28" w:type="dxa"/>
          <w:left w:w="28" w:type="dxa"/>
          <w:bottom w:w="28" w:type="dxa"/>
          <w:right w:w="28" w:type="dxa"/>
        </w:tblCellMar>
      </w:tblPr>
      <w:tblGrid>
        <w:gridCol w:w="3136"/>
        <w:gridCol w:w="146"/>
        <w:gridCol w:w="273"/>
        <w:gridCol w:w="897"/>
        <w:gridCol w:w="146"/>
        <w:gridCol w:w="146"/>
        <w:gridCol w:w="368"/>
        <w:gridCol w:w="1207"/>
        <w:gridCol w:w="47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575"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47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75"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313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North America</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0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91,217</w:t>
            </w:r>
          </w:p>
        </w:tc>
        <w:tc>
          <w:tcPr>
            <w:tcW w:w="471" w:type="dxa"/>
            <w:tcBorders/>
            <w:vAlign w:val="center"/>
          </w:tcPr>
          <w:p>
            <w:pPr>
              <w:pStyle w:val="TableContents"/>
              <w:bidi w:val="0"/>
              <w:spacing w:before="0" w:after="0"/>
              <w:ind w:left="0" w:right="0" w:firstLine="280"/>
              <w:jc w:val="left"/>
              <w:rPr/>
            </w:pPr>
            <w:r>
              <w:rPr/>
              <w:t> </w:t>
            </w:r>
          </w:p>
        </w:tc>
      </w:tr>
      <w:tr>
        <w:trPr/>
        <w:tc>
          <w:tcPr>
            <w:tcW w:w="313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Middle East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4,833</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95,266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96,050</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Arial;sans-serif" w:hAnsi="Arial;sans-serif"/>
          <w:b w:val="false"/>
          <w:sz w:val="20"/>
        </w:rPr>
        <w:t>North America includes revenue in the United States for the three months ended June 30, 2023 and June 30, 2022</w:t>
      </w:r>
      <w:r>
        <w:rPr>
          <w:rFonts w:ascii="Times New Roman" w:hAnsi="Times New Roman"/>
          <w:sz w:val="20"/>
        </w:rPr>
        <w:t xml:space="preserve"> </w:t>
      </w:r>
      <w:r>
        <w:rPr>
          <w:rFonts w:ascii="Arial;sans-serif" w:hAnsi="Arial;sans-serif"/>
          <w:b w:val="false"/>
          <w:sz w:val="20"/>
        </w:rPr>
        <w:t>of $1.0</w:t>
      </w:r>
      <w:r>
        <w:rPr>
          <w:rFonts w:ascii="Times New Roman" w:hAnsi="Times New Roman"/>
          <w:sz w:val="20"/>
        </w:rPr>
        <w:t xml:space="preserve"> </w:t>
      </w:r>
      <w:r>
        <w:rPr>
          <w:rFonts w:ascii="Arial;sans-serif" w:hAnsi="Arial;sans-serif"/>
          <w:b w:val="false"/>
          <w:sz w:val="20"/>
        </w:rPr>
        <w:t>billion and $0.8</w:t>
      </w:r>
      <w:r>
        <w:rPr>
          <w:rFonts w:ascii="Times New Roman" w:hAnsi="Times New Roman"/>
          <w:sz w:val="20"/>
        </w:rPr>
        <w:t xml:space="preserve"> </w:t>
      </w:r>
      <w:r>
        <w:rPr>
          <w:rFonts w:ascii="Arial;sans-serif" w:hAnsi="Arial;sans-serif"/>
          <w:b w:val="false"/>
          <w:sz w:val="20"/>
        </w:rPr>
        <w:t>billion, respectively and for the six months ended June 30, 2023 and June 30, 2022</w:t>
      </w:r>
      <w:r>
        <w:rPr>
          <w:rFonts w:ascii="Times New Roman" w:hAnsi="Times New Roman"/>
          <w:sz w:val="20"/>
        </w:rPr>
        <w:t xml:space="preserve"> </w:t>
      </w:r>
      <w:r>
        <w:rPr>
          <w:rFonts w:ascii="Arial;sans-serif" w:hAnsi="Arial;sans-serif"/>
          <w:b w:val="false"/>
          <w:sz w:val="20"/>
        </w:rPr>
        <w:t>of $1.9</w:t>
      </w:r>
      <w:r>
        <w:rPr>
          <w:rFonts w:ascii="Times New Roman" w:hAnsi="Times New Roman"/>
          <w:sz w:val="20"/>
        </w:rPr>
        <w:t xml:space="preserve"> </w:t>
      </w:r>
      <w:r>
        <w:rPr>
          <w:rFonts w:ascii="Arial;sans-serif" w:hAnsi="Arial;sans-serif"/>
          <w:b w:val="false"/>
          <w:sz w:val="20"/>
        </w:rPr>
        <w:t>billion and $1.5</w:t>
      </w:r>
      <w:r>
        <w:rPr>
          <w:rFonts w:ascii="Times New Roman" w:hAnsi="Times New Roman"/>
          <w:sz w:val="20"/>
        </w:rPr>
        <w:t xml:space="preserve"> </w:t>
      </w:r>
      <w:r>
        <w:rPr>
          <w:rFonts w:ascii="Arial;sans-serif" w:hAnsi="Arial;sans-serif"/>
          <w:b w:val="false"/>
          <w:sz w:val="20"/>
        </w:rPr>
        <w:t>billion, respectively.</w:t>
      </w:r>
      <w:r>
        <w:rPr>
          <w:rFonts w:ascii="Times New Roman" w:hAnsi="Times New Roman"/>
          <w:sz w:val="20"/>
        </w:rPr>
        <w:t xml:space="preserve"> </w:t>
      </w:r>
      <w:r>
        <w:rPr>
          <w:rFonts w:ascii="Arial;sans-serif" w:hAnsi="Arial;sans-serif"/>
          <w:b w:val="false"/>
          <w:sz w:val="20"/>
        </w:rPr>
        <w:t>North America property and equipment, net includes $82.2</w:t>
      </w:r>
      <w:r>
        <w:rPr>
          <w:rFonts w:ascii="Times New Roman" w:hAnsi="Times New Roman"/>
          <w:sz w:val="20"/>
        </w:rPr>
        <w:t xml:space="preserve"> </w:t>
      </w:r>
      <w:r>
        <w:rPr>
          <w:rFonts w:ascii="Arial;sans-serif" w:hAnsi="Arial;sans-serif"/>
          <w:b w:val="false"/>
          <w:sz w:val="20"/>
        </w:rPr>
        <w:t>million and $84.4</w:t>
      </w:r>
      <w:r>
        <w:rPr>
          <w:rFonts w:ascii="Times New Roman" w:hAnsi="Times New Roman"/>
          <w:sz w:val="20"/>
        </w:rPr>
        <w:t xml:space="preserve"> </w:t>
      </w:r>
      <w:r>
        <w:rPr>
          <w:rFonts w:ascii="Arial;sans-serif" w:hAnsi="Arial;sans-serif"/>
          <w:b w:val="false"/>
          <w:sz w:val="20"/>
        </w:rPr>
        <w:t>million of property and equipment, net in the United States at June 30, 2023 and December 31, 2022, respectively.</w:t>
      </w:r>
    </w:p>
    <w:p>
      <w:pPr>
        <w:pStyle w:val="TextBody"/>
        <w:bidi w:val="0"/>
        <w:spacing w:before="240" w:after="0"/>
        <w:jc w:val="center"/>
        <w:rPr>
          <w:rFonts w:ascii="Arial;sans-serif" w:hAnsi="Arial;sans-serif"/>
          <w:b w:val="false"/>
          <w:sz w:val="20"/>
        </w:rPr>
      </w:pPr>
      <w:r>
        <w:rPr>
          <w:rFonts w:ascii="Arial;sans-serif" w:hAnsi="Arial;sans-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The following table presents revenues by business units (in thousands):</w:t>
      </w:r>
      <w:r>
        <w:rPr>
          <w:rFonts w:ascii="Times New Roman" w:hAnsi="Times New Roman"/>
          <w:sz w:val="20"/>
        </w:rPr>
        <w:t xml:space="preserve"> </w:t>
      </w:r>
    </w:p>
    <w:p>
      <w:pPr>
        <w:pStyle w:val="TextBody"/>
        <w:bidi w:val="0"/>
        <w:spacing w:before="0" w:after="0"/>
        <w:jc w:val="left"/>
        <w:rPr/>
      </w:pPr>
      <w:r>
        <w:rPr/>
        <w:t> </w:t>
      </w:r>
    </w:p>
    <w:tbl>
      <w:tblPr>
        <w:tblW w:w="9398" w:type="dxa"/>
        <w:jc w:val="left"/>
        <w:tblInd w:w="0" w:type="dxa"/>
        <w:tblLayout w:type="fixed"/>
        <w:tblCellMar>
          <w:top w:w="28" w:type="dxa"/>
          <w:left w:w="28" w:type="dxa"/>
          <w:bottom w:w="28" w:type="dxa"/>
          <w:right w:w="28" w:type="dxa"/>
        </w:tblCellMar>
      </w:tblPr>
      <w:tblGrid>
        <w:gridCol w:w="2791"/>
        <w:gridCol w:w="146"/>
        <w:gridCol w:w="211"/>
        <w:gridCol w:w="961"/>
        <w:gridCol w:w="146"/>
        <w:gridCol w:w="146"/>
        <w:gridCol w:w="211"/>
        <w:gridCol w:w="961"/>
        <w:gridCol w:w="146"/>
        <w:gridCol w:w="146"/>
        <w:gridCol w:w="146"/>
        <w:gridCol w:w="211"/>
        <w:gridCol w:w="961"/>
        <w:gridCol w:w="146"/>
        <w:gridCol w:w="146"/>
        <w:gridCol w:w="211"/>
        <w:gridCol w:w="961"/>
        <w:gridCol w:w="75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751" w:type="dxa"/>
            <w:tcBorders/>
            <w:vAlign w:val="center"/>
          </w:tcPr>
          <w:p>
            <w:pPr>
              <w:pStyle w:val="TableContents"/>
              <w:bidi w:val="0"/>
              <w:spacing w:before="0" w:after="0"/>
              <w:ind w:left="0" w:right="0" w:firstLine="560"/>
              <w:jc w:val="right"/>
              <w:rPr/>
            </w:pPr>
            <w:r>
              <w:rPr/>
              <w:t> </w:t>
            </w:r>
          </w:p>
        </w:tc>
      </w:tr>
      <w:tr>
        <w:trPr/>
        <w:tc>
          <w:tcPr>
            <w:tcW w:w="279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Defense and Intelligence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381,328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745,688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685,825</w:t>
            </w:r>
          </w:p>
        </w:tc>
        <w:tc>
          <w:tcPr>
            <w:tcW w:w="751" w:type="dxa"/>
            <w:tcBorders/>
            <w:vAlign w:val="center"/>
          </w:tcPr>
          <w:p>
            <w:pPr>
              <w:pStyle w:val="TableContents"/>
              <w:bidi w:val="0"/>
              <w:spacing w:before="0" w:after="0"/>
              <w:ind w:left="0" w:right="0" w:firstLine="560"/>
              <w:jc w:val="left"/>
              <w:rPr/>
            </w:pPr>
            <w:r>
              <w:rPr/>
              <w:t> </w:t>
            </w:r>
          </w:p>
        </w:tc>
      </w:tr>
      <w:tr>
        <w:trPr/>
        <w:tc>
          <w:tcPr>
            <w:tcW w:w="279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Engineered Systems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381,469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187,258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651,655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343,360</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27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Federal Solutions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762,797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537,556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1,397,343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1,029,185</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560"/>
              <w:jc w:val="left"/>
              <w:rPr/>
            </w:pPr>
            <w:r>
              <w:rPr/>
              <w:t> </w:t>
            </w:r>
          </w:p>
        </w:tc>
      </w:tr>
      <w:tr>
        <w:trPr/>
        <w:tc>
          <w:tcPr>
            <w:tcW w:w="279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Mobility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396,794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300,382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779,543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595,168</w:t>
            </w:r>
          </w:p>
        </w:tc>
        <w:tc>
          <w:tcPr>
            <w:tcW w:w="751" w:type="dxa"/>
            <w:tcBorders/>
            <w:vAlign w:val="center"/>
          </w:tcPr>
          <w:p>
            <w:pPr>
              <w:pStyle w:val="TableContents"/>
              <w:bidi w:val="0"/>
              <w:spacing w:before="0" w:after="0"/>
              <w:ind w:left="0" w:right="0" w:firstLine="560"/>
              <w:jc w:val="left"/>
              <w:rPr/>
            </w:pPr>
            <w:r>
              <w:rPr/>
              <w:t> </w:t>
            </w:r>
          </w:p>
        </w:tc>
      </w:tr>
      <w:tr>
        <w:trPr/>
        <w:tc>
          <w:tcPr>
            <w:tcW w:w="2791" w:type="dxa"/>
            <w:tcBorders/>
            <w:vAlign w:val="center"/>
          </w:tcPr>
          <w:p>
            <w:pPr>
              <w:pStyle w:val="TableContents"/>
              <w:bidi w:val="0"/>
              <w:spacing w:before="0" w:after="0"/>
              <w:ind w:left="560" w:right="0" w:hanging="0"/>
              <w:jc w:val="left"/>
              <w:rPr>
                <w:rFonts w:ascii="Arial;sans-serif" w:hAnsi="Arial;sans-serif"/>
                <w:b w:val="false"/>
                <w:sz w:val="20"/>
              </w:rPr>
            </w:pPr>
            <w:r>
              <w:rPr>
                <w:rFonts w:ascii="Arial;sans-serif" w:hAnsi="Arial;sans-serif"/>
                <w:b w:val="false"/>
                <w:sz w:val="20"/>
              </w:rPr>
              <w:t>Connected Communities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196,895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170,783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353,066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333,437</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279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Critical Infrastructure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593,689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471,165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1,132,609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928,605</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1,356,486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1,008,721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2,529,952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1,957,790</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pPr>
      <w:r>
        <w:rPr/>
        <w:t> </w:t>
      </w:r>
    </w:p>
    <w:p>
      <w:pPr>
        <w:pStyle w:val="TextBody"/>
        <w:bidi w:val="0"/>
        <w:spacing w:before="360" w:after="0"/>
        <w:jc w:val="left"/>
        <w:rPr>
          <w:rFonts w:ascii="Arial" w:hAnsi="Arial"/>
          <w:b/>
          <w:sz w:val="20"/>
        </w:rPr>
      </w:pPr>
      <w:r>
        <w:rPr>
          <w:rFonts w:ascii="Arial" w:hAnsi="Arial"/>
          <w:b/>
          <w:sz w:val="20"/>
        </w:rPr>
        <w:t>19.</w:t>
      </w:r>
    </w:p>
    <w:p>
      <w:pPr>
        <w:pStyle w:val="TextBody"/>
        <w:bidi w:val="0"/>
        <w:spacing w:before="360" w:after="283"/>
        <w:jc w:val="left"/>
        <w:rPr>
          <w:rFonts w:ascii="Arial;sans-serif" w:hAnsi="Arial;sans-serif"/>
          <w:b/>
          <w:sz w:val="20"/>
        </w:rPr>
      </w:pPr>
      <w:r>
        <w:rPr>
          <w:rFonts w:ascii="Arial;sans-serif" w:hAnsi="Arial;sans-serif"/>
          <w:b/>
          <w:sz w:val="20"/>
        </w:rPr>
        <w:t>Subsequent Events</w:t>
      </w:r>
    </w:p>
    <w:p>
      <w:pPr>
        <w:pStyle w:val="TextBody"/>
        <w:bidi w:val="0"/>
        <w:spacing w:before="120" w:after="0"/>
        <w:jc w:val="left"/>
        <w:rPr>
          <w:rFonts w:ascii="Arial;sans-serif" w:hAnsi="Arial;sans-serif"/>
          <w:b w:val="false"/>
          <w:sz w:val="20"/>
        </w:rPr>
      </w:pPr>
      <w:r>
        <w:rPr>
          <w:rFonts w:ascii="Arial;sans-serif" w:hAnsi="Arial;sans-serif"/>
          <w:b w:val="false"/>
          <w:sz w:val="20"/>
        </w:rPr>
        <w:t>None</w:t>
      </w:r>
    </w:p>
    <w:p>
      <w:pPr>
        <w:pStyle w:val="TextBody"/>
        <w:bidi w:val="0"/>
        <w:spacing w:before="240" w:after="0"/>
        <w:jc w:val="center"/>
        <w:rPr>
          <w:rFonts w:ascii="Arial;sans-serif" w:hAnsi="Arial;sans-serif"/>
          <w:b w:val="false"/>
          <w:sz w:val="20"/>
        </w:rPr>
      </w:pPr>
      <w:r>
        <w:rPr>
          <w:rFonts w:ascii="Arial;sans-serif" w:hAnsi="Arial;sans-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sz w:val="20"/>
        </w:rPr>
      </w:pPr>
      <w:bookmarkStart w:id="12" w:name="i_item2"/>
      <w:bookmarkEnd w:id="12"/>
      <w:r>
        <w:rPr>
          <w:rFonts w:ascii="Arial;sans-serif" w:hAnsi="Arial;sans-serif"/>
          <w:b/>
          <w:sz w:val="20"/>
        </w:rPr>
        <w:t>Item 2. Management’s Discussion and Analysis of Financial Condition and Results of Operations.</w:t>
      </w:r>
    </w:p>
    <w:p>
      <w:pPr>
        <w:pStyle w:val="TextBody"/>
        <w:bidi w:val="0"/>
        <w:spacing w:before="120" w:after="0"/>
        <w:jc w:val="left"/>
        <w:rPr>
          <w:rFonts w:ascii="Arial;sans-serif" w:hAnsi="Arial;sans-serif"/>
          <w:b w:val="false"/>
          <w:i/>
          <w:sz w:val="20"/>
        </w:rPr>
      </w:pPr>
      <w:r>
        <w:rPr>
          <w:rFonts w:ascii="Arial;sans-serif" w:hAnsi="Arial;sans-serif"/>
          <w:b w:val="false"/>
          <w:i/>
          <w:sz w:val="20"/>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2022.</w:t>
      </w:r>
    </w:p>
    <w:p>
      <w:pPr>
        <w:pStyle w:val="TextBody"/>
        <w:bidi w:val="0"/>
        <w:spacing w:before="240" w:after="0"/>
        <w:jc w:val="left"/>
        <w:rPr>
          <w:rFonts w:ascii="Times New Roman" w:hAnsi="Times New Roman"/>
          <w:sz w:val="20"/>
        </w:rPr>
      </w:pPr>
      <w:r>
        <w:rPr>
          <w:rFonts w:ascii="Arial;sans-serif" w:hAnsi="Arial;sans-serif"/>
          <w:b w:val="false"/>
          <w:i/>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2022. We undertake no obligation to revise publicly any forward-looking statements. Actual results may differ materially from those contained in any forward-looking statements.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drawing>
          <wp:inline distT="0" distB="0" distL="0" distR="0">
            <wp:extent cx="6858000" cy="385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7625"/>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left"/>
        <w:rPr>
          <w:rFonts w:ascii="Arial;sans-serif" w:hAnsi="Arial;sans-serif"/>
          <w:b w:val="false"/>
          <w:sz w:val="2"/>
        </w:rPr>
      </w:pPr>
      <w:r>
        <w:rPr>
          <w:rFonts w:ascii="Arial;sans-serif" w:hAnsi="Arial;sans-serif"/>
          <w:b w:val="false"/>
          <w:sz w:val="2"/>
        </w:rPr>
        <w:t>PARSONS CORPORATION Enabling a safer, smarter, and more interconnected world. Engineered solutions for complex physical and digital infrastructure challenges SEGMENTS KEY FACTS AND FIGURES Technology-driven solutions for defense and intelligence customers FINANCIAL SNAPSHOT $4B Total Revenue Trailing 12-Months (Q2 2020) $4B Contract Awards Trailing 12-Months (Q2 2020) 75+ Years Of History Federal Solutions 49% Critical Infrastructure 51% Federal Solutions 58% Critical Infrastructure 42% Federal Solutions Critical Infrastructure ~16K Employees 6% Revenue Growth Trailing 12-Months (Q2 2020) 1.0X Book-To-Bill Ratio Trailing 12-Months (Q2 2020) $7.7B Backlog As Of 6/30/2020 PARSONS CORPORATION.</w:t>
      </w:r>
    </w:p>
    <w:p>
      <w:pPr>
        <w:pStyle w:val="TextBody"/>
        <w:bidi w:val="0"/>
        <w:spacing w:before="240" w:after="0"/>
        <w:jc w:val="center"/>
        <w:rPr>
          <w:rFonts w:ascii="Arial;sans-serif" w:hAnsi="Arial;sans-serif"/>
          <w:b/>
          <w:sz w:val="20"/>
        </w:rPr>
      </w:pPr>
      <w:r>
        <w:rPr>
          <w:rFonts w:ascii="Arial;sans-serif" w:hAnsi="Arial;sans-serif"/>
          <w:b/>
          <w:sz w:val="20"/>
        </w:rPr>
        <w:t>Overview</w:t>
      </w:r>
    </w:p>
    <w:p>
      <w:pPr>
        <w:pStyle w:val="TextBody"/>
        <w:bidi w:val="0"/>
        <w:spacing w:before="240" w:after="0"/>
        <w:jc w:val="left"/>
        <w:rPr>
          <w:rFonts w:ascii="Times New Roman" w:hAnsi="Times New Roman"/>
          <w:sz w:val="20"/>
        </w:rPr>
      </w:pPr>
      <w:r>
        <w:rPr>
          <w:rFonts w:ascii="Arial;sans-serif" w:hAnsi="Arial;sans-serif"/>
          <w:b w:val="false"/>
          <w:sz w:val="20"/>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Our employees provide services pursuant to contracts that we are awarded by the customer and specific task orders relating to such contracts. These contracts are often multi-year, which provides us backlog and visibility on our</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Arial;sans-serif" w:hAnsi="Arial;sans-serif"/>
          <w:b/>
          <w:sz w:val="20"/>
        </w:rPr>
        <w:t>Key Metrics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We manage and assess the performance of our business by evaluating a variety of metrics. The following table sets forth selected key metrics (in thousands, except Book-to-Bill):</w:t>
      </w:r>
      <w:r>
        <w:rPr>
          <w:rFonts w:ascii="Times New Roman" w:hAnsi="Times New Roman"/>
          <w:sz w:val="20"/>
        </w:rPr>
        <w:t xml:space="preserve"> </w:t>
      </w:r>
    </w:p>
    <w:p>
      <w:pPr>
        <w:pStyle w:val="TextBody"/>
        <w:bidi w:val="0"/>
        <w:spacing w:before="0" w:after="0"/>
        <w:jc w:val="left"/>
        <w:rPr/>
      </w:pPr>
      <w:r>
        <w:rPr/>
        <w:t> </w:t>
      </w:r>
    </w:p>
    <w:tbl>
      <w:tblPr>
        <w:tblW w:w="5314" w:type="dxa"/>
        <w:jc w:val="left"/>
        <w:tblInd w:w="0" w:type="dxa"/>
        <w:tblLayout w:type="fixed"/>
        <w:tblCellMar>
          <w:top w:w="28" w:type="dxa"/>
          <w:left w:w="28" w:type="dxa"/>
          <w:bottom w:w="28" w:type="dxa"/>
          <w:right w:w="28" w:type="dxa"/>
        </w:tblCellMar>
      </w:tblPr>
      <w:tblGrid>
        <w:gridCol w:w="2341"/>
        <w:gridCol w:w="146"/>
        <w:gridCol w:w="211"/>
        <w:gridCol w:w="961"/>
        <w:gridCol w:w="146"/>
        <w:gridCol w:w="146"/>
        <w:gridCol w:w="211"/>
        <w:gridCol w:w="96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1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Awards (year to date)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3,313,391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1,908,767</w:t>
            </w:r>
          </w:p>
        </w:tc>
        <w:tc>
          <w:tcPr>
            <w:tcW w:w="19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Backlog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8,901,587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8,227,636</w:t>
            </w:r>
          </w:p>
        </w:tc>
        <w:tc>
          <w:tcPr>
            <w:tcW w:w="19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Book-to-Bill (year to date)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Arial" w:hAnsi="Arial"/>
          <w:b w:val="false"/>
          <w:sz w:val="20"/>
        </w:rPr>
      </w:pPr>
      <w:r>
        <w:rPr>
          <w:rFonts w:ascii="Arial" w:hAnsi="Arial"/>
          <w:b w:val="false"/>
          <w:sz w:val="20"/>
        </w:rPr>
        <w:t>(1)</w:t>
      </w:r>
    </w:p>
    <w:p>
      <w:pPr>
        <w:pStyle w:val="TextBody"/>
        <w:bidi w:val="0"/>
        <w:spacing w:before="40" w:after="283"/>
        <w:jc w:val="left"/>
        <w:rPr>
          <w:rFonts w:ascii="Arial;sans-serif" w:hAnsi="Arial;sans-serif"/>
          <w:b w:val="false"/>
          <w:sz w:val="20"/>
        </w:rPr>
      </w:pPr>
      <w:r>
        <w:rPr>
          <w:rFonts w:ascii="Arial;sans-serif" w:hAnsi="Arial;sans-serif"/>
          <w:b w:val="false"/>
          <w:sz w:val="20"/>
        </w:rPr>
        <w:t xml:space="preserve">Difference between our backlog of $8.9 billion and our remaining unsatisfied performance obligations, or RUPO, of $6.0 billion, each as of June 30, 2023, is due to (i) unissued task orders and unexercised option years, to the extent their issuance or exercise is probable, as well as (ii) contract awards, to the extent we believe contract execution and funding is probable. </w:t>
      </w:r>
    </w:p>
    <w:p>
      <w:pPr>
        <w:pStyle w:val="TextBody"/>
        <w:bidi w:val="0"/>
        <w:spacing w:before="360" w:after="0"/>
        <w:jc w:val="left"/>
        <w:rPr>
          <w:rFonts w:ascii="Times New Roman" w:hAnsi="Times New Roman"/>
          <w:sz w:val="20"/>
        </w:rPr>
      </w:pPr>
      <w:r>
        <w:rPr>
          <w:rFonts w:ascii="Arial;sans-serif" w:hAnsi="Arial;sans-serif"/>
          <w:b/>
          <w:i/>
          <w:sz w:val="20"/>
        </w:rPr>
        <w:t>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table summarizes the year to-date value of new awards for the periods presented below (in thousands):</w:t>
      </w:r>
      <w:r>
        <w:rPr>
          <w:rFonts w:ascii="Times New Roman" w:hAnsi="Times New Roman"/>
          <w:sz w:val="20"/>
        </w:rPr>
        <w:t xml:space="preserve"> </w:t>
      </w:r>
    </w:p>
    <w:p>
      <w:pPr>
        <w:pStyle w:val="TextBody"/>
        <w:bidi w:val="0"/>
        <w:spacing w:before="0" w:after="0"/>
        <w:jc w:val="left"/>
        <w:rPr/>
      </w:pPr>
      <w:r>
        <w:rPr/>
        <w:t> </w:t>
      </w:r>
    </w:p>
    <w:tbl>
      <w:tblPr>
        <w:tblW w:w="7835" w:type="dxa"/>
        <w:jc w:val="left"/>
        <w:tblInd w:w="0" w:type="dxa"/>
        <w:tblLayout w:type="fixed"/>
        <w:tblCellMar>
          <w:top w:w="28" w:type="dxa"/>
          <w:left w:w="28" w:type="dxa"/>
          <w:bottom w:w="28" w:type="dxa"/>
          <w:right w:w="28" w:type="dxa"/>
        </w:tblCellMar>
      </w:tblPr>
      <w:tblGrid>
        <w:gridCol w:w="1936"/>
        <w:gridCol w:w="146"/>
        <w:gridCol w:w="211"/>
        <w:gridCol w:w="961"/>
        <w:gridCol w:w="146"/>
        <w:gridCol w:w="146"/>
        <w:gridCol w:w="245"/>
        <w:gridCol w:w="925"/>
        <w:gridCol w:w="146"/>
        <w:gridCol w:w="146"/>
        <w:gridCol w:w="211"/>
        <w:gridCol w:w="961"/>
        <w:gridCol w:w="146"/>
        <w:gridCol w:w="146"/>
        <w:gridCol w:w="211"/>
        <w:gridCol w:w="961"/>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1,182,127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392,554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1,877,771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849,442</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749,035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599,057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1,435,620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1,059,325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1,931,162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991,611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3,313,391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1,908,767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change in new awards from year to year is generally due to ordinary course fluctuations in our business. The volume of contract awards can fluctuate in any given period due to win rate and the timing and size of the awards issued by our customers. The increase in awards for the three months ended June 30, 2023 when compared to the corresponding period last year was primarily driven by significant awards in our Federal Solutions segments from the Federal Aviation Administration and the General Services Administration. The increase in awards for the six months ended June 30, 2023 when compared to the corresponding periods last year was primarily driven by the awards described above along with an award in the prior quarter in the Federal Solutions segment from the U.S. Department of State.</w:t>
      </w:r>
    </w:p>
    <w:p>
      <w:pPr>
        <w:pStyle w:val="TextBody"/>
        <w:bidi w:val="0"/>
        <w:spacing w:before="360" w:after="0"/>
        <w:jc w:val="left"/>
        <w:rPr>
          <w:rFonts w:ascii="Times New Roman" w:hAnsi="Times New Roman"/>
          <w:sz w:val="20"/>
        </w:rPr>
      </w:pPr>
      <w:r>
        <w:rPr>
          <w:rFonts w:ascii="Arial;sans-serif" w:hAnsi="Arial;sans-serif"/>
          <w:b/>
          <w:i/>
          <w:sz w:val="20"/>
        </w:rPr>
        <w:t>Backlog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define backlog to include the following two components: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 xml:space="preserve">Funded—Funded backlog represents future revenue anticipated from orders for services under existing contracts for which funding is appropriated or otherwise authorized. </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 xml:space="preserve">Unfunded—Unfunded backlog represents future revenue anticipated from orders for services under existing contracts for which funding has not been appropriated or otherwise authorized. </w:t>
      </w:r>
    </w:p>
    <w:p>
      <w:pPr>
        <w:pStyle w:val="TextBody"/>
        <w:bidi w:val="0"/>
        <w:spacing w:before="240" w:after="0"/>
        <w:jc w:val="left"/>
        <w:rPr>
          <w:rFonts w:ascii="Times New Roman" w:hAnsi="Times New Roman"/>
          <w:sz w:val="20"/>
        </w:rPr>
      </w:pPr>
      <w:r>
        <w:rPr>
          <w:rFonts w:ascii="Arial;sans-serif" w:hAnsi="Arial;sans-serif"/>
          <w:b w:val="false"/>
          <w:sz w:val="20"/>
        </w:rPr>
        <w:t>Backlog includes (i) unissued task orders and unexercised option years, to the extent their issuance or exercise is probable, as well as (ii) contract awards, to the extent we believe contract execution and funding is probable.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The following table summarizes the value of our backlog at the respective dates presented below (in thousands):</w:t>
      </w:r>
      <w:r>
        <w:rPr>
          <w:rFonts w:ascii="Times New Roman" w:hAnsi="Times New Roman"/>
          <w:sz w:val="20"/>
        </w:rPr>
        <w:t xml:space="preserve"> </w:t>
      </w:r>
    </w:p>
    <w:p>
      <w:pPr>
        <w:pStyle w:val="TextBody"/>
        <w:bidi w:val="0"/>
        <w:spacing w:before="0" w:after="0"/>
        <w:jc w:val="left"/>
        <w:rPr/>
      </w:pPr>
      <w:r>
        <w:rPr/>
        <w:t> </w:t>
      </w:r>
    </w:p>
    <w:tbl>
      <w:tblPr>
        <w:tblW w:w="5684" w:type="dxa"/>
        <w:jc w:val="left"/>
        <w:tblInd w:w="0" w:type="dxa"/>
        <w:tblLayout w:type="fixed"/>
        <w:tblCellMar>
          <w:top w:w="28" w:type="dxa"/>
          <w:left w:w="28" w:type="dxa"/>
          <w:bottom w:w="28" w:type="dxa"/>
          <w:right w:w="28" w:type="dxa"/>
        </w:tblCellMar>
      </w:tblPr>
      <w:tblGrid>
        <w:gridCol w:w="2431"/>
        <w:gridCol w:w="146"/>
        <w:gridCol w:w="211"/>
        <w:gridCol w:w="961"/>
        <w:gridCol w:w="146"/>
        <w:gridCol w:w="146"/>
        <w:gridCol w:w="211"/>
        <w:gridCol w:w="961"/>
        <w:gridCol w:w="47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1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43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Funded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1,506,235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1,329,695</w:t>
            </w:r>
          </w:p>
        </w:tc>
        <w:tc>
          <w:tcPr>
            <w:tcW w:w="471" w:type="dxa"/>
            <w:tcBorders/>
            <w:vAlign w:val="center"/>
          </w:tcPr>
          <w:p>
            <w:pPr>
              <w:pStyle w:val="TableContents"/>
              <w:bidi w:val="0"/>
              <w:spacing w:before="0" w:after="0"/>
              <w:ind w:left="0" w:right="0" w:firstLine="280"/>
              <w:jc w:val="left"/>
              <w:rPr/>
            </w:pPr>
            <w:r>
              <w:rPr/>
              <w:t> </w:t>
            </w:r>
          </w:p>
        </w:tc>
      </w:tr>
      <w:tr>
        <w:trPr/>
        <w:tc>
          <w:tcPr>
            <w:tcW w:w="243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Unfunded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3,709,288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3,756,452</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Federal Solutions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5,215,523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5,086,147</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471" w:type="dxa"/>
            <w:tcBorders/>
            <w:vAlign w:val="center"/>
          </w:tcPr>
          <w:p>
            <w:pPr>
              <w:pStyle w:val="TableContents"/>
              <w:bidi w:val="0"/>
              <w:spacing w:before="0" w:after="0"/>
              <w:ind w:left="0" w:right="0" w:firstLine="280"/>
              <w:jc w:val="right"/>
              <w:rPr/>
            </w:pPr>
            <w:r>
              <w:rPr/>
              <w:t> </w:t>
            </w:r>
          </w:p>
        </w:tc>
      </w:tr>
      <w:tr>
        <w:trPr/>
        <w:tc>
          <w:tcPr>
            <w:tcW w:w="243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Funded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3,615,955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3,080,338</w:t>
            </w:r>
          </w:p>
        </w:tc>
        <w:tc>
          <w:tcPr>
            <w:tcW w:w="471" w:type="dxa"/>
            <w:tcBorders/>
            <w:vAlign w:val="center"/>
          </w:tcPr>
          <w:p>
            <w:pPr>
              <w:pStyle w:val="TableContents"/>
              <w:bidi w:val="0"/>
              <w:spacing w:before="0" w:after="0"/>
              <w:ind w:left="0" w:right="0" w:firstLine="280"/>
              <w:jc w:val="left"/>
              <w:rPr/>
            </w:pPr>
            <w:r>
              <w:rPr/>
              <w:t> </w:t>
            </w:r>
          </w:p>
        </w:tc>
      </w:tr>
      <w:tr>
        <w:trPr/>
        <w:tc>
          <w:tcPr>
            <w:tcW w:w="2431"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Unfunded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70,109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61,151</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Critical Infrastructure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3,686,064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3,141,489</w:t>
            </w:r>
          </w:p>
        </w:tc>
        <w:tc>
          <w:tcPr>
            <w:tcW w:w="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Backlog (1)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8,901,587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8,227,636</w:t>
            </w:r>
          </w:p>
        </w:tc>
        <w:tc>
          <w:tcPr>
            <w:tcW w:w="4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Arial" w:hAnsi="Arial"/>
          <w:b w:val="false"/>
          <w:sz w:val="20"/>
        </w:rPr>
      </w:pPr>
      <w:r>
        <w:rPr>
          <w:rFonts w:ascii="Arial" w:hAnsi="Arial"/>
          <w:b w:val="false"/>
          <w:sz w:val="20"/>
        </w:rPr>
        <w:t>(1)</w:t>
      </w:r>
    </w:p>
    <w:p>
      <w:pPr>
        <w:pStyle w:val="TextBody"/>
        <w:bidi w:val="0"/>
        <w:spacing w:before="40" w:after="283"/>
        <w:jc w:val="left"/>
        <w:rPr>
          <w:rFonts w:ascii="Arial;sans-serif" w:hAnsi="Arial;sans-serif"/>
          <w:b w:val="false"/>
          <w:sz w:val="20"/>
        </w:rPr>
      </w:pPr>
      <w:r>
        <w:rPr>
          <w:rFonts w:ascii="Arial;sans-serif" w:hAnsi="Arial;sans-serif"/>
          <w:b w:val="false"/>
          <w:sz w:val="20"/>
        </w:rPr>
        <w:t>Difference between our backlog of $8.9 billion and our RUPO of $6.0 billion, each as of June 30, 2023, is due to (i) unissued task orders and unexercised option years, to the extent their issuance or exercise is probable, as well as (ii) contract awards, to the extent we believe contract execution and funding is probable.</w:t>
      </w:r>
    </w:p>
    <w:p>
      <w:pPr>
        <w:pStyle w:val="TextBody"/>
        <w:bidi w:val="0"/>
        <w:spacing w:before="240" w:after="0"/>
        <w:jc w:val="left"/>
        <w:rPr>
          <w:rFonts w:ascii="Times New Roman" w:hAnsi="Times New Roman"/>
          <w:sz w:val="20"/>
        </w:rPr>
      </w:pPr>
      <w:r>
        <w:rPr>
          <w:rFonts w:ascii="Arial;sans-serif" w:hAnsi="Arial;sans-serif"/>
          <w:b w:val="false"/>
          <w:sz w:val="20"/>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We expect to recognize $3.3 billion of our funded backlog at June 30, 2023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changes in backlog in both the Federal Solutions and Critical Infrastructure segments were primarily from ordinary course fluctuations in our business and the impacts related to the Company’s awards discussed above.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Book-to-Bill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r>
        <w:rPr>
          <w:rFonts w:ascii="Times New Roman" w:hAnsi="Times New Roman"/>
          <w:sz w:val="20"/>
        </w:rPr>
        <w:t xml:space="preserve"> </w:t>
      </w:r>
    </w:p>
    <w:p>
      <w:pPr>
        <w:pStyle w:val="TextBody"/>
        <w:bidi w:val="0"/>
        <w:spacing w:before="0" w:after="0"/>
        <w:jc w:val="left"/>
        <w:rPr/>
      </w:pPr>
      <w:r>
        <w:rPr/>
        <w:t> </w:t>
      </w:r>
    </w:p>
    <w:tbl>
      <w:tblPr>
        <w:tblW w:w="7963" w:type="dxa"/>
        <w:jc w:val="left"/>
        <w:tblInd w:w="0" w:type="dxa"/>
        <w:tblLayout w:type="fixed"/>
        <w:tblCellMar>
          <w:top w:w="28" w:type="dxa"/>
          <w:left w:w="28" w:type="dxa"/>
          <w:bottom w:w="28" w:type="dxa"/>
          <w:right w:w="28" w:type="dxa"/>
        </w:tblCellMar>
      </w:tblPr>
      <w:tblGrid>
        <w:gridCol w:w="1936"/>
        <w:gridCol w:w="146"/>
        <w:gridCol w:w="326"/>
        <w:gridCol w:w="844"/>
        <w:gridCol w:w="191"/>
        <w:gridCol w:w="191"/>
        <w:gridCol w:w="326"/>
        <w:gridCol w:w="844"/>
        <w:gridCol w:w="146"/>
        <w:gridCol w:w="146"/>
        <w:gridCol w:w="326"/>
        <w:gridCol w:w="844"/>
        <w:gridCol w:w="168"/>
        <w:gridCol w:w="168"/>
        <w:gridCol w:w="326"/>
        <w:gridCol w:w="844"/>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w:t>
            </w:r>
          </w:p>
        </w:tc>
        <w:tc>
          <w:tcPr>
            <w:tcW w:w="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0.8</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Overall</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sz w:val="20"/>
        </w:rPr>
        <w:t>Factors and Trends Affecting Our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Arial;sans-serif" w:hAnsi="Arial;sans-serif"/>
          <w:b/>
          <w:i/>
          <w:sz w:val="20"/>
        </w:rPr>
        <w:t>Government Spending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Federal Budget Uncertainty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Competitive Markets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Acquired Operations</w:t>
      </w:r>
      <w:r>
        <w:rPr>
          <w:rFonts w:ascii="Times New Roman" w:hAnsi="Times New Roman"/>
          <w:sz w:val="20"/>
        </w:rPr>
        <w:t xml:space="preserve"> </w:t>
      </w:r>
    </w:p>
    <w:p>
      <w:pPr>
        <w:pStyle w:val="TextBody"/>
        <w:bidi w:val="0"/>
        <w:spacing w:before="240" w:after="0"/>
        <w:jc w:val="left"/>
        <w:rPr>
          <w:rFonts w:ascii="Arial;sans-serif" w:hAnsi="Arial;sans-serif"/>
          <w:b w:val="false"/>
          <w:i/>
          <w:sz w:val="20"/>
        </w:rPr>
      </w:pPr>
      <w:r>
        <w:rPr>
          <w:rFonts w:ascii="Arial;sans-serif" w:hAnsi="Arial;sans-serif"/>
          <w:b w:val="false"/>
          <w:i/>
          <w:sz w:val="20"/>
        </w:rPr>
        <w:t>IPKeys Power Partners</w:t>
      </w:r>
    </w:p>
    <w:p>
      <w:pPr>
        <w:pStyle w:val="TextBody"/>
        <w:bidi w:val="0"/>
        <w:spacing w:before="120" w:after="0"/>
        <w:jc w:val="left"/>
        <w:rPr>
          <w:rFonts w:ascii="Arial;sans-serif" w:hAnsi="Arial;sans-serif"/>
          <w:b w:val="false"/>
          <w:sz w:val="20"/>
        </w:rPr>
      </w:pPr>
      <w:r>
        <w:rPr>
          <w:rFonts w:ascii="Arial;sans-serif" w:hAnsi="Arial;sans-serif"/>
          <w:b w:val="false"/>
          <w:sz w:val="20"/>
        </w:rPr>
        <w:t>On April 13, 2023, the Company entered into a merger agreement to acquire a 100% ownership interest in IPKeys Power Partners (“IPKeys”), a privately-owned company, for $43.4 million from cash on hand.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w:t>
      </w:r>
    </w:p>
    <w:p>
      <w:pPr>
        <w:pStyle w:val="TextBody"/>
        <w:bidi w:val="0"/>
        <w:spacing w:before="240" w:after="0"/>
        <w:jc w:val="left"/>
        <w:rPr>
          <w:rFonts w:ascii="Arial;sans-serif" w:hAnsi="Arial;sans-serif"/>
          <w:b w:val="false"/>
          <w:i/>
          <w:sz w:val="20"/>
        </w:rPr>
      </w:pPr>
      <w:r>
        <w:rPr>
          <w:rFonts w:ascii="Arial;sans-serif" w:hAnsi="Arial;sans-serif"/>
          <w:b w:val="false"/>
          <w:i/>
          <w:sz w:val="20"/>
        </w:rPr>
        <w:t>Xator Corporation</w:t>
      </w:r>
    </w:p>
    <w:p>
      <w:pPr>
        <w:pStyle w:val="TextBody"/>
        <w:bidi w:val="0"/>
        <w:spacing w:before="240" w:after="0"/>
        <w:jc w:val="center"/>
        <w:rPr>
          <w:rFonts w:ascii="Arial;sans-serif" w:hAnsi="Arial;sans-serif"/>
          <w:b w:val="false"/>
          <w:sz w:val="20"/>
        </w:rPr>
      </w:pPr>
      <w:r>
        <w:rPr>
          <w:rFonts w:ascii="Arial;sans-serif" w:hAnsi="Arial;sans-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Arial;sans-serif" w:hAnsi="Arial;sans-serif"/>
          <w:b w:val="false"/>
          <w:sz w:val="20"/>
        </w:rPr>
      </w:pPr>
      <w:r>
        <w:rPr>
          <w:rFonts w:ascii="Arial;sans-serif" w:hAnsi="Arial;sans-serif"/>
          <w:b w:val="false"/>
          <w:sz w:val="20"/>
        </w:rPr>
        <w:t>On May 31, 2022, the Company acquired Xator Corporation for $387.5 million. This strategic acquisition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 The financial results of Xator have been included in our consolidated results of operations from May 31, 2022 onward.</w:t>
      </w:r>
    </w:p>
    <w:p>
      <w:pPr>
        <w:pStyle w:val="TextBody"/>
        <w:bidi w:val="0"/>
        <w:spacing w:before="360" w:after="0"/>
        <w:jc w:val="left"/>
        <w:rPr>
          <w:rFonts w:ascii="Times New Roman" w:hAnsi="Times New Roman"/>
          <w:sz w:val="20"/>
        </w:rPr>
      </w:pPr>
      <w:r>
        <w:rPr>
          <w:rFonts w:ascii="Arial;sans-serif" w:hAnsi="Arial;sans-serif"/>
          <w:b/>
          <w:i/>
          <w:sz w:val="20"/>
        </w:rPr>
        <w:t>Seasonality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Arial;sans-serif" w:hAnsi="Arial;sans-serif"/>
          <w:b/>
          <w:sz w:val="20"/>
        </w:rPr>
        <w:t>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r>
        <w:rPr>
          <w:rFonts w:ascii="Times New Roman" w:hAnsi="Times New Roman"/>
          <w:sz w:val="20"/>
        </w:rPr>
        <w:t xml:space="preserve"> </w:t>
      </w:r>
    </w:p>
    <w:p>
      <w:pPr>
        <w:pStyle w:val="TextBody"/>
        <w:bidi w:val="0"/>
        <w:spacing w:before="240" w:after="0"/>
        <w:jc w:val="left"/>
        <w:rPr>
          <w:rFonts w:ascii="Arial;sans-serif" w:hAnsi="Arial;sans-serif"/>
          <w:b w:val="false"/>
          <w:sz w:val="20"/>
        </w:rPr>
      </w:pPr>
      <w:r>
        <w:rPr>
          <w:rFonts w:ascii="Arial;sans-serif" w:hAnsi="Arial;sans-serif"/>
          <w:b w:val="false"/>
          <w:sz w:val="20"/>
        </w:rPr>
        <w:t>We enter into the following types of contracts with our customers:</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pStyle w:val="TextBody"/>
        <w:bidi w:val="0"/>
        <w:spacing w:before="120" w:after="0"/>
        <w:jc w:val="left"/>
        <w:rPr/>
      </w:pPr>
      <w:r>
        <w:rPr/>
        <w:t>•</w:t>
      </w:r>
    </w:p>
    <w:p>
      <w:pPr>
        <w:pStyle w:val="TextBody"/>
        <w:bidi w:val="0"/>
        <w:spacing w:before="120" w:after="0"/>
        <w:jc w:val="left"/>
        <w:rPr>
          <w:rFonts w:ascii="Arial;sans-serif" w:hAnsi="Arial;sans-serif"/>
          <w:b w:val="false"/>
          <w:sz w:val="20"/>
        </w:rPr>
      </w:pPr>
      <w:r>
        <w:rPr>
          <w:rFonts w:ascii="Arial;sans-serif" w:hAnsi="Arial;sans-serif"/>
          <w:b w:val="false"/>
          <w:sz w:val="20"/>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pStyle w:val="TextBody"/>
        <w:bidi w:val="0"/>
        <w:spacing w:before="120" w:after="0"/>
        <w:jc w:val="left"/>
        <w:rPr/>
      </w:pPr>
      <w:r>
        <w:rPr/>
        <w:t>•</w:t>
      </w:r>
    </w:p>
    <w:p>
      <w:pPr>
        <w:pStyle w:val="TextBody"/>
        <w:bidi w:val="0"/>
        <w:spacing w:before="120" w:after="283"/>
        <w:jc w:val="left"/>
        <w:rPr>
          <w:rFonts w:ascii="Arial;sans-serif" w:hAnsi="Arial;sans-serif"/>
          <w:b w:val="false"/>
          <w:sz w:val="20"/>
        </w:rPr>
      </w:pPr>
      <w:r>
        <w:rPr>
          <w:rFonts w:ascii="Arial;sans-serif" w:hAnsi="Arial;sans-serif"/>
          <w:b w:val="false"/>
          <w:sz w:val="20"/>
        </w:rPr>
        <w:t>Under fixed-price contracts, clients pay an agreed fixed-amount negotiated in advance for a specified scope of work.</w:t>
      </w:r>
    </w:p>
    <w:p>
      <w:pPr>
        <w:pStyle w:val="TextBody"/>
        <w:bidi w:val="0"/>
        <w:spacing w:before="240" w:after="0"/>
        <w:jc w:val="left"/>
        <w:rPr>
          <w:rFonts w:ascii="Times New Roman" w:hAnsi="Times New Roman"/>
          <w:sz w:val="20"/>
        </w:rPr>
      </w:pPr>
      <w:r>
        <w:rPr>
          <w:rFonts w:ascii="Arial;sans-serif" w:hAnsi="Arial;sans-serif"/>
          <w:b w:val="false"/>
          <w:sz w:val="20"/>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2022 for a description of our policies on revenue recognition.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table below presents the percentage of total revenue for each type of contract.</w:t>
      </w:r>
      <w:r>
        <w:rPr>
          <w:rFonts w:ascii="Times New Roman" w:hAnsi="Times New Roman"/>
          <w:sz w:val="20"/>
        </w:rPr>
        <w:t xml:space="preserve"> </w:t>
      </w:r>
    </w:p>
    <w:p>
      <w:pPr>
        <w:pStyle w:val="TextBody"/>
        <w:bidi w:val="0"/>
        <w:spacing w:before="0" w:after="0"/>
        <w:jc w:val="left"/>
        <w:rPr/>
      </w:pPr>
      <w:r>
        <w:rPr/>
        <w:t> </w:t>
      </w:r>
    </w:p>
    <w:tbl>
      <w:tblPr>
        <w:tblW w:w="7099" w:type="dxa"/>
        <w:jc w:val="left"/>
        <w:tblInd w:w="0" w:type="dxa"/>
        <w:tblLayout w:type="fixed"/>
        <w:tblCellMar>
          <w:top w:w="28" w:type="dxa"/>
          <w:left w:w="28" w:type="dxa"/>
          <w:bottom w:w="28" w:type="dxa"/>
          <w:right w:w="28" w:type="dxa"/>
        </w:tblCellMar>
      </w:tblPr>
      <w:tblGrid>
        <w:gridCol w:w="1786"/>
        <w:gridCol w:w="146"/>
        <w:gridCol w:w="1171"/>
        <w:gridCol w:w="146"/>
        <w:gridCol w:w="1171"/>
        <w:gridCol w:w="146"/>
        <w:gridCol w:w="1171"/>
        <w:gridCol w:w="146"/>
        <w:gridCol w:w="121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3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r>
      <w:tr>
        <w:trPr/>
        <w:tc>
          <w:tcPr>
            <w:tcW w:w="1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r>
      <w:tr>
        <w:trPr/>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Fixed-price</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32.4%</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27.7%</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30.9%</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26.6%</w:t>
            </w:r>
          </w:p>
        </w:tc>
      </w:tr>
      <w:tr>
        <w:trPr/>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Time-and-materials</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23.9%</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26.9%</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25.4%</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27.3%</w:t>
            </w:r>
          </w:p>
        </w:tc>
      </w:tr>
      <w:tr>
        <w:trPr/>
        <w:tc>
          <w:tcPr>
            <w:tcW w:w="17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Cost-plus</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43.7%</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45.4%</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43.7%</w:t>
            </w:r>
          </w:p>
        </w:tc>
        <w:tc>
          <w:tcPr>
            <w:tcW w:w="1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46.1%</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pStyle w:val="TextBody"/>
        <w:bidi w:val="0"/>
        <w:spacing w:before="240" w:after="0"/>
        <w:jc w:val="left"/>
        <w:rPr>
          <w:rFonts w:ascii="Arial;sans-serif" w:hAnsi="Arial;sans-serif"/>
          <w:b w:val="false"/>
          <w:sz w:val="20"/>
        </w:rPr>
      </w:pPr>
      <w:r>
        <w:rPr>
          <w:rFonts w:ascii="Arial;sans-serif" w:hAnsi="Arial;sans-serif"/>
          <w:b w:val="false"/>
          <w:sz w:val="20"/>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pStyle w:val="TextBody"/>
        <w:bidi w:val="0"/>
        <w:spacing w:before="360" w:after="0"/>
        <w:jc w:val="left"/>
        <w:rPr>
          <w:rFonts w:ascii="Times New Roman" w:hAnsi="Times New Roman"/>
          <w:sz w:val="20"/>
        </w:rPr>
      </w:pPr>
      <w:r>
        <w:rPr>
          <w:rFonts w:ascii="Arial;sans-serif" w:hAnsi="Arial;sans-serif"/>
          <w:b/>
          <w:i/>
          <w:sz w:val="20"/>
        </w:rPr>
        <w:t>Joint Ventures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June 30, 2023 and June 30, 2022 of $55.4 million and $51.8 million, respectively, and $106.3 million and $99.1 million for the six months ended June 30, 2023 and June 30, 2022,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Operating costs and expenses</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June 30, 2023 and June 30, 2022 was $14.7 million and $13.5 million, respectively, and for the six months ended June 30, 2023 and June 30, 2022 was $29.2 million and $26.5 million, respectively and is recorded in “Direct cost of contracts” and “Selling, general and administrative expenses.”</w:t>
      </w:r>
    </w:p>
    <w:p>
      <w:pPr>
        <w:pStyle w:val="TextBody"/>
        <w:bidi w:val="0"/>
        <w:spacing w:before="240" w:after="0"/>
        <w:jc w:val="left"/>
        <w:rPr>
          <w:rFonts w:ascii="Times New Roman" w:hAnsi="Times New Roman"/>
          <w:sz w:val="20"/>
        </w:rPr>
      </w:pPr>
      <w:r>
        <w:rPr>
          <w:rFonts w:ascii="Arial;sans-serif" w:hAnsi="Arial;sans-serif"/>
          <w:b w:val="false"/>
          <w:sz w:val="20"/>
        </w:rPr>
        <w:t>Direct costs of contracts consist of direct labor and associated fringe benefits, indirect overhead, subcontractor and materials (“pass-through costs”), travel expenses and other expenses incurred to perform on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Selling, general and administrative expenses (“SG&amp;A”) include salaries and wages and fringe benefits of our employees not performing work directly for customers, facility costs and other costs related to these indirect functions.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Other income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Other income and expenses primarily consist of interest income, interest expense and other income, net.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Interest income primarily consists of interest earned on U.S. government money market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Interest expense consists of interest expense incurred under our Senior Notes, Convertible Senior Notes, and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Other income, net primarily consists of gain or loss on sale of assets, sublease income and transaction gain or loss related to movements in foreign currency exchange rates.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Arial;sans-serif" w:hAnsi="Arial;sans-serif"/>
          <w:b/>
          <w:i/>
          <w:sz w:val="20"/>
        </w:rPr>
        <w:t>Adjusted EBITDA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table sets forth Adjusted EBITDA, Net Income Margin, and Adjusted EBITDA Margin for the three and six months ended June 30, 2023 and June 30, 2022.</w:t>
      </w:r>
      <w:r>
        <w:rPr>
          <w:rFonts w:ascii="Times New Roman" w:hAnsi="Times New Roman"/>
          <w:sz w:val="20"/>
        </w:rPr>
        <w:t xml:space="preserve"> </w:t>
      </w:r>
    </w:p>
    <w:p>
      <w:pPr>
        <w:pStyle w:val="TextBody"/>
        <w:bidi w:val="0"/>
        <w:spacing w:before="0" w:after="0"/>
        <w:jc w:val="left"/>
        <w:rPr/>
      </w:pPr>
      <w:r>
        <w:rPr/>
        <w:t> </w:t>
      </w:r>
    </w:p>
    <w:tbl>
      <w:tblPr>
        <w:tblW w:w="9049" w:type="dxa"/>
        <w:jc w:val="left"/>
        <w:tblInd w:w="0" w:type="dxa"/>
        <w:tblLayout w:type="fixed"/>
        <w:tblCellMar>
          <w:top w:w="28" w:type="dxa"/>
          <w:left w:w="28" w:type="dxa"/>
          <w:bottom w:w="28" w:type="dxa"/>
          <w:right w:w="28" w:type="dxa"/>
        </w:tblCellMar>
      </w:tblPr>
      <w:tblGrid>
        <w:gridCol w:w="2596"/>
        <w:gridCol w:w="146"/>
        <w:gridCol w:w="245"/>
        <w:gridCol w:w="925"/>
        <w:gridCol w:w="286"/>
        <w:gridCol w:w="146"/>
        <w:gridCol w:w="273"/>
        <w:gridCol w:w="897"/>
        <w:gridCol w:w="286"/>
        <w:gridCol w:w="146"/>
        <w:gridCol w:w="245"/>
        <w:gridCol w:w="925"/>
        <w:gridCol w:w="286"/>
        <w:gridCol w:w="146"/>
        <w:gridCol w:w="245"/>
        <w:gridCol w:w="925"/>
        <w:gridCol w:w="33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7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(1)</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118,306</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77,414</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208,697</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151,662</w:t>
            </w:r>
          </w:p>
        </w:tc>
        <w:tc>
          <w:tcPr>
            <w:tcW w:w="33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Margin (2)</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9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Margin (3)</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8.7</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40" w:after="0"/>
        <w:jc w:val="left"/>
        <w:rPr>
          <w:rFonts w:ascii="Arial" w:hAnsi="Arial"/>
          <w:b w:val="false"/>
          <w:sz w:val="20"/>
        </w:rPr>
      </w:pPr>
      <w:r>
        <w:rPr>
          <w:rFonts w:ascii="Arial" w:hAnsi="Arial"/>
          <w:b w:val="false"/>
          <w:sz w:val="20"/>
        </w:rPr>
        <w:t>(1)</w:t>
      </w:r>
    </w:p>
    <w:p>
      <w:pPr>
        <w:pStyle w:val="TextBody"/>
        <w:bidi w:val="0"/>
        <w:spacing w:before="40" w:after="0"/>
        <w:jc w:val="left"/>
        <w:rPr>
          <w:rFonts w:ascii="Arial;sans-serif" w:hAnsi="Arial;sans-serif"/>
          <w:b w:val="false"/>
          <w:sz w:val="20"/>
        </w:rPr>
      </w:pPr>
      <w:r>
        <w:rPr>
          <w:rFonts w:ascii="Arial;sans-serif" w:hAnsi="Arial;sans-serif"/>
          <w:b w:val="false"/>
          <w:sz w:val="20"/>
        </w:rPr>
        <w:t xml:space="preserve">A reconciliation of net income attributable to Parsons Corporation to Adjusted EBITDA is set forth below (in thousands). </w:t>
      </w:r>
    </w:p>
    <w:p>
      <w:pPr>
        <w:pStyle w:val="TextBody"/>
        <w:bidi w:val="0"/>
        <w:spacing w:before="40" w:after="0"/>
        <w:jc w:val="left"/>
        <w:rPr>
          <w:rFonts w:ascii="Arial" w:hAnsi="Arial"/>
          <w:b w:val="false"/>
          <w:sz w:val="20"/>
        </w:rPr>
      </w:pPr>
      <w:r>
        <w:rPr>
          <w:rFonts w:ascii="Arial" w:hAnsi="Arial"/>
          <w:b w:val="false"/>
          <w:sz w:val="20"/>
        </w:rPr>
        <w:t>(2)</w:t>
      </w:r>
    </w:p>
    <w:p>
      <w:pPr>
        <w:pStyle w:val="TextBody"/>
        <w:bidi w:val="0"/>
        <w:spacing w:before="40" w:after="0"/>
        <w:jc w:val="left"/>
        <w:rPr>
          <w:rFonts w:ascii="Arial;sans-serif" w:hAnsi="Arial;sans-serif"/>
          <w:b w:val="false"/>
          <w:sz w:val="20"/>
        </w:rPr>
      </w:pPr>
      <w:r>
        <w:rPr>
          <w:rFonts w:ascii="Arial;sans-serif" w:hAnsi="Arial;sans-serif"/>
          <w:b w:val="false"/>
          <w:sz w:val="20"/>
        </w:rPr>
        <w:t>Net Income Margin is calculated as net income including noncontrolling interest divided by revenue in the applicable period</w:t>
      </w:r>
    </w:p>
    <w:p>
      <w:pPr>
        <w:pStyle w:val="TextBody"/>
        <w:bidi w:val="0"/>
        <w:spacing w:before="120" w:after="0"/>
        <w:jc w:val="left"/>
        <w:rPr>
          <w:rFonts w:ascii="Arial" w:hAnsi="Arial"/>
          <w:b w:val="false"/>
          <w:sz w:val="20"/>
        </w:rPr>
      </w:pPr>
      <w:r>
        <w:rPr>
          <w:rFonts w:ascii="Arial" w:hAnsi="Arial"/>
          <w:b w:val="false"/>
          <w:sz w:val="20"/>
        </w:rPr>
        <w:t>(3)</w:t>
      </w:r>
    </w:p>
    <w:p>
      <w:pPr>
        <w:pStyle w:val="TextBody"/>
        <w:bidi w:val="0"/>
        <w:spacing w:before="120" w:after="283"/>
        <w:jc w:val="left"/>
        <w:rPr>
          <w:rFonts w:ascii="Arial;sans-serif" w:hAnsi="Arial;sans-serif"/>
          <w:b w:val="false"/>
          <w:sz w:val="20"/>
        </w:rPr>
      </w:pPr>
      <w:r>
        <w:rPr>
          <w:rFonts w:ascii="Arial;sans-serif" w:hAnsi="Arial;sans-serif"/>
          <w:b w:val="false"/>
          <w:sz w:val="20"/>
        </w:rPr>
        <w:t>Adjusted EBITDA Margin is calculated as Adjusted EBITDA divided by revenue in the applicable period.</w:t>
      </w:r>
    </w:p>
    <w:p>
      <w:pPr>
        <w:pStyle w:val="TextBody"/>
        <w:bidi w:val="0"/>
        <w:spacing w:before="40" w:after="0"/>
        <w:jc w:val="left"/>
        <w:rPr/>
      </w:pPr>
      <w:r>
        <w:rPr/>
        <w:t> </w:t>
      </w:r>
    </w:p>
    <w:tbl>
      <w:tblPr>
        <w:tblW w:w="10205" w:type="dxa"/>
        <w:jc w:val="left"/>
        <w:tblInd w:w="0" w:type="dxa"/>
        <w:tblLayout w:type="fixed"/>
        <w:tblCellMar>
          <w:top w:w="28" w:type="dxa"/>
          <w:left w:w="28" w:type="dxa"/>
          <w:bottom w:w="28" w:type="dxa"/>
          <w:right w:w="28" w:type="dxa"/>
        </w:tblCellMar>
      </w:tblPr>
      <w:tblGrid>
        <w:gridCol w:w="4104"/>
        <w:gridCol w:w="146"/>
        <w:gridCol w:w="240"/>
        <w:gridCol w:w="909"/>
        <w:gridCol w:w="146"/>
        <w:gridCol w:w="146"/>
        <w:gridCol w:w="265"/>
        <w:gridCol w:w="871"/>
        <w:gridCol w:w="166"/>
        <w:gridCol w:w="146"/>
        <w:gridCol w:w="240"/>
        <w:gridCol w:w="909"/>
        <w:gridCol w:w="146"/>
        <w:gridCol w:w="146"/>
        <w:gridCol w:w="240"/>
        <w:gridCol w:w="909"/>
        <w:gridCol w:w="476"/>
      </w:tblGrid>
      <w:tr>
        <w:trPr/>
        <w:tc>
          <w:tcPr>
            <w:tcW w:w="4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1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0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38,962</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8,227</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13,851</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57,048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61,090</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4,485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7,661</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Equity-based compensation</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8,689</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Transaction-related costs (a)</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9,525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11,923</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Restructuring (b)</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213</w:t>
            </w:r>
          </w:p>
        </w:tc>
        <w:tc>
          <w:tcPr>
            <w:tcW w:w="476" w:type="dxa"/>
            <w:tcBorders/>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(c)</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1,046</w:t>
            </w:r>
          </w:p>
        </w:tc>
        <w:tc>
          <w:tcPr>
            <w:tcW w:w="47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104"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118,306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77,414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208,697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151,662</w:t>
            </w:r>
          </w:p>
        </w:tc>
        <w:tc>
          <w:tcPr>
            <w:tcW w:w="4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0" w:after="0"/>
        <w:jc w:val="left"/>
        <w:rPr>
          <w:rFonts w:ascii="Arial" w:hAnsi="Arial"/>
          <w:b w:val="false"/>
          <w:sz w:val="20"/>
        </w:rPr>
      </w:pPr>
      <w:r>
        <w:rPr>
          <w:rFonts w:ascii="Arial" w:hAnsi="Arial"/>
          <w:b w:val="false"/>
          <w:sz w:val="20"/>
        </w:rPr>
        <w:t>(a)</w:t>
      </w:r>
    </w:p>
    <w:p>
      <w:pPr>
        <w:pStyle w:val="TextBody"/>
        <w:bidi w:val="0"/>
        <w:spacing w:before="0" w:after="0"/>
        <w:jc w:val="left"/>
        <w:rPr>
          <w:rFonts w:ascii="Arial;sans-serif" w:hAnsi="Arial;sans-serif"/>
          <w:b w:val="false"/>
          <w:sz w:val="20"/>
        </w:rPr>
      </w:pPr>
      <w:r>
        <w:rPr>
          <w:rFonts w:ascii="Arial;sans-serif" w:hAnsi="Arial;sans-serif"/>
          <w:b w:val="false"/>
          <w:sz w:val="20"/>
        </w:rPr>
        <w:t>Reflects costs incurred in connection with acquisitions and other non-recurring transaction costs, primarily fees paid for professional services and employee retention.</w:t>
      </w:r>
    </w:p>
    <w:p>
      <w:pPr>
        <w:pStyle w:val="TextBody"/>
        <w:bidi w:val="0"/>
        <w:spacing w:before="0" w:after="0"/>
        <w:jc w:val="left"/>
        <w:rPr>
          <w:rFonts w:ascii="Arial" w:hAnsi="Arial"/>
          <w:b w:val="false"/>
          <w:sz w:val="20"/>
        </w:rPr>
      </w:pPr>
      <w:r>
        <w:rPr>
          <w:rFonts w:ascii="Arial" w:hAnsi="Arial"/>
          <w:b w:val="false"/>
          <w:sz w:val="20"/>
        </w:rPr>
        <w:t>(b)</w:t>
      </w:r>
    </w:p>
    <w:p>
      <w:pPr>
        <w:pStyle w:val="TextBody"/>
        <w:bidi w:val="0"/>
        <w:spacing w:before="0" w:after="0"/>
        <w:jc w:val="left"/>
        <w:rPr>
          <w:rFonts w:ascii="Arial;sans-serif" w:hAnsi="Arial;sans-serif"/>
          <w:b w:val="false"/>
          <w:sz w:val="20"/>
        </w:rPr>
      </w:pPr>
      <w:r>
        <w:rPr>
          <w:rFonts w:ascii="Arial;sans-serif" w:hAnsi="Arial;sans-serif"/>
          <w:b w:val="false"/>
          <w:sz w:val="20"/>
        </w:rPr>
        <w:t>Reflects costs associated with our corporate restructuring initiatives.</w:t>
      </w:r>
    </w:p>
    <w:p>
      <w:pPr>
        <w:pStyle w:val="TextBody"/>
        <w:bidi w:val="0"/>
        <w:spacing w:before="0" w:after="0"/>
        <w:jc w:val="left"/>
        <w:rPr>
          <w:rFonts w:ascii="Arial" w:hAnsi="Arial"/>
          <w:b w:val="false"/>
          <w:sz w:val="20"/>
        </w:rPr>
      </w:pPr>
      <w:r>
        <w:rPr>
          <w:rFonts w:ascii="Arial" w:hAnsi="Arial"/>
          <w:b w:val="false"/>
          <w:sz w:val="20"/>
        </w:rPr>
        <w:t>(c)</w:t>
      </w:r>
    </w:p>
    <w:p>
      <w:pPr>
        <w:pStyle w:val="TextBody"/>
        <w:bidi w:val="0"/>
        <w:jc w:val="left"/>
        <w:rPr>
          <w:rFonts w:ascii="Arial;sans-serif" w:hAnsi="Arial;sans-serif"/>
          <w:b w:val="false"/>
          <w:sz w:val="20"/>
        </w:rPr>
      </w:pPr>
      <w:r>
        <w:rPr>
          <w:rFonts w:ascii="Arial;sans-serif" w:hAnsi="Arial;sans-serif"/>
          <w:b w:val="false"/>
          <w:sz w:val="20"/>
        </w:rPr>
        <w:t>Includes a combination of gain/loss related to sale of fixed assets, software implementation costs, and other individually insignificant items that are non-recurring in nature.</w:t>
      </w:r>
    </w:p>
    <w:p>
      <w:pPr>
        <w:pStyle w:val="TextBody"/>
        <w:bidi w:val="0"/>
        <w:spacing w:before="240" w:after="0"/>
        <w:jc w:val="left"/>
        <w:rPr>
          <w:rFonts w:ascii="Times New Roman" w:hAnsi="Times New Roman"/>
          <w:sz w:val="20"/>
        </w:rPr>
      </w:pPr>
      <w:r>
        <w:rPr>
          <w:rFonts w:ascii="Arial;sans-serif" w:hAnsi="Arial;sans-serif"/>
          <w:b w:val="false"/>
          <w:sz w:val="20"/>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supplementally. Our measure of Adjusted EBITDA is not necessarily comparable to similarly titled captions of other companies due to different methods of calculation.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table shows Adjusted EBITDA attributable to Parsons Corporation for each of our reportable segments and Adjusted EBITDA attributable to noncontrolling interests. Please see Segment Results below for a discussion of the factors impacting Adjusted EBITDA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990"/>
        <w:gridCol w:w="146"/>
        <w:gridCol w:w="234"/>
        <w:gridCol w:w="885"/>
        <w:gridCol w:w="146"/>
        <w:gridCol w:w="146"/>
        <w:gridCol w:w="253"/>
        <w:gridCol w:w="833"/>
        <w:gridCol w:w="146"/>
        <w:gridCol w:w="146"/>
        <w:gridCol w:w="211"/>
        <w:gridCol w:w="691"/>
        <w:gridCol w:w="166"/>
        <w:gridCol w:w="146"/>
        <w:gridCol w:w="146"/>
        <w:gridCol w:w="586"/>
        <w:gridCol w:w="334"/>
      </w:tblGrid>
      <w:tr>
        <w:trPr/>
        <w:tc>
          <w:tcPr>
            <w:tcW w:w="4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99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9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9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 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85,640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79.7</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9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 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(4,224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9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11,730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7,121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154.5</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9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Adjusted EBITDA</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118,306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77,414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40,892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52.8</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959"/>
        <w:gridCol w:w="146"/>
        <w:gridCol w:w="234"/>
        <w:gridCol w:w="884"/>
        <w:gridCol w:w="146"/>
        <w:gridCol w:w="146"/>
        <w:gridCol w:w="234"/>
        <w:gridCol w:w="884"/>
        <w:gridCol w:w="146"/>
        <w:gridCol w:w="146"/>
        <w:gridCol w:w="211"/>
        <w:gridCol w:w="691"/>
        <w:gridCol w:w="166"/>
        <w:gridCol w:w="146"/>
        <w:gridCol w:w="146"/>
        <w:gridCol w:w="586"/>
        <w:gridCol w:w="334"/>
      </w:tblGrid>
      <w:tr>
        <w:trPr/>
        <w:tc>
          <w:tcPr>
            <w:tcW w:w="4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95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5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5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 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141,788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51,505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57.0</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5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 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(8,182</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-15.3</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5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173.5</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95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 Adjusted EBITDA</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208,697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151,662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57,035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37.6</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120" w:after="0"/>
        <w:jc w:val="left"/>
        <w:rPr>
          <w:rFonts w:ascii="Times New Roman" w:hAnsi="Times New Roman"/>
          <w:sz w:val="20"/>
        </w:rPr>
      </w:pPr>
      <w:r>
        <w:rPr>
          <w:rFonts w:ascii="Arial;sans-serif" w:hAnsi="Arial;sans-serif"/>
          <w:b w:val="false"/>
          <w:sz w:val="20"/>
        </w:rPr>
        <w:t>The following table sets forth our results of operations for the three and six months ended June 30, 2023 and June 30, 2022 as a percentage of revenue.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08"/>
        <w:gridCol w:w="146"/>
        <w:gridCol w:w="234"/>
        <w:gridCol w:w="773"/>
        <w:gridCol w:w="293"/>
        <w:gridCol w:w="150"/>
        <w:gridCol w:w="234"/>
        <w:gridCol w:w="773"/>
        <w:gridCol w:w="286"/>
        <w:gridCol w:w="146"/>
        <w:gridCol w:w="234"/>
        <w:gridCol w:w="773"/>
        <w:gridCol w:w="286"/>
        <w:gridCol w:w="146"/>
        <w:gridCol w:w="234"/>
        <w:gridCol w:w="773"/>
        <w:gridCol w:w="616"/>
      </w:tblGrid>
      <w:tr>
        <w:trPr/>
        <w:tc>
          <w:tcPr>
            <w:tcW w:w="4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1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w:t>
            </w:r>
          </w:p>
        </w:tc>
        <w:tc>
          <w:tcPr>
            <w:tcW w:w="6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 costs of contracts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78.7</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77.5</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78.5</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77.4</w:t>
            </w:r>
          </w:p>
        </w:tc>
        <w:tc>
          <w:tcPr>
            <w:tcW w:w="6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 in (losses) earnings of unconsolidated joint ventures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-0.2</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w:t>
            </w:r>
          </w:p>
        </w:tc>
        <w:tc>
          <w:tcPr>
            <w:tcW w:w="6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15.6</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19.7</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6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6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0.0</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-0.5</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Income before income tax expense</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6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tax benefit (provision)</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-0.6</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-0.7</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income including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29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61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income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-0.8</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-0.8</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-0.4</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4108"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Net income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50"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360" w:after="0"/>
        <w:jc w:val="left"/>
        <w:rPr>
          <w:rFonts w:ascii="Arial;sans-serif" w:hAnsi="Arial;sans-serif"/>
          <w:b w:val="false"/>
          <w:i/>
          <w:sz w:val="20"/>
        </w:rPr>
      </w:pPr>
      <w:r>
        <w:rPr>
          <w:rFonts w:ascii="Arial;sans-serif" w:hAnsi="Arial;sans-serif"/>
          <w:b w:val="false"/>
          <w:i/>
          <w:sz w:val="20"/>
        </w:rPr>
        <w:t>Revenue</w:t>
      </w:r>
    </w:p>
    <w:p>
      <w:pPr>
        <w:pStyle w:val="TextBody"/>
        <w:bidi w:val="0"/>
        <w:spacing w:before="0" w:after="0"/>
        <w:jc w:val="left"/>
        <w:rPr/>
      </w:pPr>
      <w:r>
        <w:rPr/>
        <w:t> </w:t>
      </w:r>
    </w:p>
    <w:tbl>
      <w:tblPr>
        <w:tblW w:w="7612" w:type="dxa"/>
        <w:jc w:val="left"/>
        <w:tblInd w:w="0" w:type="dxa"/>
        <w:tblLayout w:type="fixed"/>
        <w:tblCellMar>
          <w:top w:w="28" w:type="dxa"/>
          <w:left w:w="28" w:type="dxa"/>
          <w:bottom w:w="28" w:type="dxa"/>
          <w:right w:w="28" w:type="dxa"/>
        </w:tblCellMar>
      </w:tblPr>
      <w:tblGrid>
        <w:gridCol w:w="2236"/>
        <w:gridCol w:w="146"/>
        <w:gridCol w:w="216"/>
        <w:gridCol w:w="954"/>
        <w:gridCol w:w="146"/>
        <w:gridCol w:w="146"/>
        <w:gridCol w:w="216"/>
        <w:gridCol w:w="954"/>
        <w:gridCol w:w="146"/>
        <w:gridCol w:w="146"/>
        <w:gridCol w:w="211"/>
        <w:gridCol w:w="781"/>
        <w:gridCol w:w="146"/>
        <w:gridCol w:w="146"/>
        <w:gridCol w:w="168"/>
        <w:gridCol w:w="538"/>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1,356,486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1,008,721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347,765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34.5</w:t>
            </w:r>
          </w:p>
        </w:tc>
        <w:tc>
          <w:tcPr>
            <w:tcW w:w="3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increase in revenue for the three months ended June 30, 2023 when compared to the corresponding period last year, was due to increases in revenue in both our Federal Solutions and Critical Infrastructure segments of $225.2 million and $122.5 million, respectively. The increase in revenue in both the Federal Solutions and Critical Infrastructure segments includes $117.6 million and $2.6 million respectively from business acquisitions.</w:t>
      </w:r>
    </w:p>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612" w:type="dxa"/>
        <w:jc w:val="left"/>
        <w:tblInd w:w="0" w:type="dxa"/>
        <w:tblLayout w:type="fixed"/>
        <w:tblCellMar>
          <w:top w:w="28" w:type="dxa"/>
          <w:left w:w="28" w:type="dxa"/>
          <w:bottom w:w="28" w:type="dxa"/>
          <w:right w:w="28" w:type="dxa"/>
        </w:tblCellMar>
      </w:tblPr>
      <w:tblGrid>
        <w:gridCol w:w="2236"/>
        <w:gridCol w:w="146"/>
        <w:gridCol w:w="216"/>
        <w:gridCol w:w="954"/>
        <w:gridCol w:w="146"/>
        <w:gridCol w:w="146"/>
        <w:gridCol w:w="216"/>
        <w:gridCol w:w="954"/>
        <w:gridCol w:w="146"/>
        <w:gridCol w:w="146"/>
        <w:gridCol w:w="211"/>
        <w:gridCol w:w="781"/>
        <w:gridCol w:w="146"/>
        <w:gridCol w:w="146"/>
        <w:gridCol w:w="168"/>
        <w:gridCol w:w="538"/>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2,529,952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5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1,957,790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572,162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29.2</w:t>
            </w:r>
          </w:p>
        </w:tc>
        <w:tc>
          <w:tcPr>
            <w:tcW w:w="3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The increase in revenue for the six months ended June 30, 2023 when compared to the corresponding period last year, was due to increases in revenue in both our Federal Solutions and Critical Infrastructure segments of $368.2 million and $204.0 million, respectively. The increase in revenue in both the Federal Solutions and Critical Infrastructure segments includes $230.0 million and $2.6 million, respectively from business acquisitions.</w:t>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See “Segment Results” below for a further discussion of the changes in the Company's revenue.</w:t>
      </w:r>
    </w:p>
    <w:p>
      <w:pPr>
        <w:pStyle w:val="TextBody"/>
        <w:bidi w:val="0"/>
        <w:spacing w:before="360" w:after="0"/>
        <w:jc w:val="left"/>
        <w:rPr>
          <w:rFonts w:ascii="Times New Roman" w:hAnsi="Times New Roman"/>
          <w:sz w:val="20"/>
        </w:rPr>
      </w:pPr>
      <w:r>
        <w:rPr>
          <w:rFonts w:ascii="Arial;sans-serif" w:hAnsi="Arial;sans-serif"/>
          <w:b w:val="false"/>
          <w:i/>
          <w:sz w:val="20"/>
        </w:rPr>
        <w:t>Direct costs of contracts</w:t>
      </w:r>
      <w:r>
        <w:rPr>
          <w:rFonts w:ascii="Times New Roman" w:hAnsi="Times New Roman"/>
          <w:sz w:val="20"/>
        </w:rPr>
        <w:t xml:space="preserve"> </w:t>
      </w:r>
    </w:p>
    <w:p>
      <w:pPr>
        <w:pStyle w:val="TextBody"/>
        <w:bidi w:val="0"/>
        <w:spacing w:before="0" w:after="0"/>
        <w:jc w:val="left"/>
        <w:rPr/>
      </w:pPr>
      <w:r>
        <w:rPr/>
        <w:t> </w:t>
      </w:r>
    </w:p>
    <w:tbl>
      <w:tblPr>
        <w:tblW w:w="7674" w:type="dxa"/>
        <w:jc w:val="left"/>
        <w:tblInd w:w="0" w:type="dxa"/>
        <w:tblLayout w:type="fixed"/>
        <w:tblCellMar>
          <w:top w:w="28" w:type="dxa"/>
          <w:left w:w="28" w:type="dxa"/>
          <w:bottom w:w="28" w:type="dxa"/>
          <w:right w:w="28" w:type="dxa"/>
        </w:tblCellMar>
      </w:tblPr>
      <w:tblGrid>
        <w:gridCol w:w="2266"/>
        <w:gridCol w:w="146"/>
        <w:gridCol w:w="211"/>
        <w:gridCol w:w="961"/>
        <w:gridCol w:w="146"/>
        <w:gridCol w:w="146"/>
        <w:gridCol w:w="245"/>
        <w:gridCol w:w="925"/>
        <w:gridCol w:w="146"/>
        <w:gridCol w:w="146"/>
        <w:gridCol w:w="211"/>
        <w:gridCol w:w="796"/>
        <w:gridCol w:w="146"/>
        <w:gridCol w:w="146"/>
        <w:gridCol w:w="164"/>
        <w:gridCol w:w="542"/>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3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 costs of contracts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1,068,220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781,772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286,448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120" w:after="0"/>
        <w:jc w:val="left"/>
        <w:rPr>
          <w:rFonts w:ascii="Arial;sans-serif" w:hAnsi="Arial;sans-serif"/>
          <w:b w:val="false"/>
          <w:sz w:val="20"/>
        </w:rPr>
      </w:pPr>
      <w:r>
        <w:rPr>
          <w:rFonts w:ascii="Arial;sans-serif" w:hAnsi="Arial;sans-serif"/>
          <w:b w:val="false"/>
          <w:sz w:val="20"/>
        </w:rPr>
        <w:t>The increase in direct cost of contracts for the three months ended June 30, 2023 when compared to the corresponding period last year, was primarily due to an increase of $179.8 million in our Federal Solutions segment and $106.7 million in our Critical Infrastructure segment. The increases were primarily due to an increase in business volume from new and existing contracts in both segments, an increase from business acquisitions of $90.8 million and $1.2 million in the Federal Solutions and Critical Infrastructure segments, respectively and recognition of a write-down on a Critical Infrastructure segment contract of $24.7 million. These increases were offset by the completion and winding down of certain contracts primarily in the Critical Infrastructure segment.</w:t>
      </w:r>
    </w:p>
    <w:p>
      <w:pPr>
        <w:pStyle w:val="TextBody"/>
        <w:bidi w:val="0"/>
        <w:spacing w:before="0" w:after="0"/>
        <w:jc w:val="left"/>
        <w:rPr/>
      </w:pPr>
      <w:r>
        <w:rPr/>
        <w:t> </w:t>
      </w:r>
    </w:p>
    <w:tbl>
      <w:tblPr>
        <w:tblW w:w="7676" w:type="dxa"/>
        <w:jc w:val="left"/>
        <w:tblInd w:w="0" w:type="dxa"/>
        <w:tblLayout w:type="fixed"/>
        <w:tblCellMar>
          <w:top w:w="28" w:type="dxa"/>
          <w:left w:w="28" w:type="dxa"/>
          <w:bottom w:w="28" w:type="dxa"/>
          <w:right w:w="28" w:type="dxa"/>
        </w:tblCellMar>
      </w:tblPr>
      <w:tblGrid>
        <w:gridCol w:w="2266"/>
        <w:gridCol w:w="146"/>
        <w:gridCol w:w="211"/>
        <w:gridCol w:w="961"/>
        <w:gridCol w:w="146"/>
        <w:gridCol w:w="146"/>
        <w:gridCol w:w="211"/>
        <w:gridCol w:w="961"/>
        <w:gridCol w:w="146"/>
        <w:gridCol w:w="146"/>
        <w:gridCol w:w="211"/>
        <w:gridCol w:w="796"/>
        <w:gridCol w:w="146"/>
        <w:gridCol w:w="146"/>
        <w:gridCol w:w="164"/>
        <w:gridCol w:w="542"/>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Direct costs of contracts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1,985,408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1,515,672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469,736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120" w:after="0"/>
        <w:jc w:val="left"/>
        <w:rPr>
          <w:rFonts w:ascii="Arial;sans-serif" w:hAnsi="Arial;sans-serif"/>
          <w:b w:val="false"/>
          <w:sz w:val="20"/>
        </w:rPr>
      </w:pPr>
      <w:r>
        <w:rPr>
          <w:rFonts w:ascii="Arial;sans-serif" w:hAnsi="Arial;sans-serif"/>
          <w:b w:val="false"/>
          <w:sz w:val="20"/>
        </w:rPr>
        <w:t>The increase in direct cost of contracts for the six months ended June 30, 2023 when compared to the corresponding period last year, was primarily due to an increase of $299.7 million in our Federal Solutions segment and $170.0 million in our Critical Infrastructure segment. The increases were primarily due to an increase in business volume from new and existing contracts in both segments and an increase from business acquisitions of $186.3 million $ 1.2 million in the Federal Solutions and Critical Infrastructure segments, respectively and the $24.7 million write-down discussed above. These increases were offset by the completion and winding down of certain contracts in both segments.</w:t>
      </w:r>
    </w:p>
    <w:p>
      <w:pPr>
        <w:pStyle w:val="TextBody"/>
        <w:bidi w:val="0"/>
        <w:spacing w:before="360" w:after="0"/>
        <w:jc w:val="left"/>
        <w:rPr>
          <w:rFonts w:ascii="Arial;sans-serif" w:hAnsi="Arial;sans-serif"/>
          <w:b w:val="false"/>
          <w:i/>
          <w:sz w:val="20"/>
        </w:rPr>
      </w:pPr>
      <w:r>
        <w:rPr>
          <w:rFonts w:ascii="Arial;sans-serif" w:hAnsi="Arial;sans-serif"/>
          <w:b w:val="false"/>
          <w:i/>
          <w:sz w:val="20"/>
        </w:rPr>
        <w:t>Equity in (losses) earnings of unconsolidated joint ventures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978"/>
        <w:gridCol w:w="146"/>
        <w:gridCol w:w="449"/>
        <w:gridCol w:w="674"/>
        <w:gridCol w:w="157"/>
        <w:gridCol w:w="157"/>
        <w:gridCol w:w="302"/>
        <w:gridCol w:w="840"/>
        <w:gridCol w:w="146"/>
        <w:gridCol w:w="146"/>
        <w:gridCol w:w="211"/>
        <w:gridCol w:w="646"/>
        <w:gridCol w:w="166"/>
        <w:gridCol w:w="146"/>
        <w:gridCol w:w="150"/>
        <w:gridCol w:w="556"/>
        <w:gridCol w:w="335"/>
      </w:tblGrid>
      <w:tr>
        <w:trPr/>
        <w:tc>
          <w:tcPr>
            <w:tcW w:w="4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9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7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78"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7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 in (losses) earnings of unconsolidated joint ventures</w:t>
            </w:r>
          </w:p>
        </w:tc>
        <w:tc>
          <w:tcPr>
            <w:tcW w:w="146"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4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(5,538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-98.7</w:t>
            </w:r>
          </w:p>
        </w:tc>
        <w:tc>
          <w:tcPr>
            <w:tcW w:w="33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120" w:after="0"/>
        <w:jc w:val="left"/>
        <w:rPr>
          <w:rFonts w:ascii="Times New Roman" w:hAnsi="Times New Roman"/>
          <w:sz w:val="20"/>
        </w:rPr>
      </w:pPr>
      <w:r>
        <w:rPr>
          <w:rFonts w:ascii="Arial;sans-serif" w:hAnsi="Arial;sans-serif"/>
          <w:b w:val="false"/>
          <w:sz w:val="20"/>
        </w:rPr>
        <w:t>The decrease in equity in (losses) earnings of unconsolidated joint ventures for the three months ended June 30, 2023 compared to the corresponding period last year, was primarily due to a $7.0 million write-down on a joint venture partially offset by increased profit on other joint ventures during the three months ended June 30, 2023.</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88"/>
        <w:gridCol w:w="146"/>
        <w:gridCol w:w="278"/>
        <w:gridCol w:w="853"/>
        <w:gridCol w:w="166"/>
        <w:gridCol w:w="146"/>
        <w:gridCol w:w="265"/>
        <w:gridCol w:w="872"/>
        <w:gridCol w:w="146"/>
        <w:gridCol w:w="146"/>
        <w:gridCol w:w="211"/>
        <w:gridCol w:w="751"/>
        <w:gridCol w:w="166"/>
        <w:gridCol w:w="146"/>
        <w:gridCol w:w="146"/>
        <w:gridCol w:w="646"/>
        <w:gridCol w:w="333"/>
      </w:tblGrid>
      <w:tr>
        <w:trPr/>
        <w:tc>
          <w:tcPr>
            <w:tcW w:w="4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8"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Equity in (losses) earnings of unconsolidated joint ventures</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(5,765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(16,976</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-151.4</w:t>
            </w:r>
          </w:p>
        </w:tc>
        <w:tc>
          <w:tcPr>
            <w:tcW w:w="33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120" w:after="0"/>
        <w:jc w:val="left"/>
        <w:rPr>
          <w:rFonts w:ascii="Times New Roman" w:hAnsi="Times New Roman"/>
          <w:sz w:val="20"/>
        </w:rPr>
      </w:pPr>
      <w:r>
        <w:rPr>
          <w:rFonts w:ascii="Arial;sans-serif" w:hAnsi="Arial;sans-serif"/>
          <w:b w:val="false"/>
          <w:sz w:val="20"/>
        </w:rPr>
        <w:t>The decrease in equity in (losses) earnings of unconsolidated joint ventures for the six months ended June 30, 2023 compared to the corresponding period last year, was primarily due to an $11.3 million write-down on a joint venture during the six months ended June 30, 2023 along with lower margin change orders in the first quarter and a reduction in joint venture volume.</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Arial;sans-serif" w:hAnsi="Arial;sans-serif"/>
          <w:b w:val="false"/>
          <w:i/>
          <w:sz w:val="20"/>
        </w:rPr>
      </w:pPr>
      <w:r>
        <w:rPr>
          <w:rFonts w:ascii="Arial;sans-serif" w:hAnsi="Arial;sans-serif"/>
          <w:b w:val="false"/>
          <w:i/>
          <w:sz w:val="20"/>
        </w:rPr>
        <w:t>Selling, general and administrative expenses</w:t>
      </w:r>
    </w:p>
    <w:p>
      <w:pPr>
        <w:pStyle w:val="TextBody"/>
        <w:bidi w:val="0"/>
        <w:spacing w:before="120" w:after="0"/>
        <w:jc w:val="left"/>
        <w:rPr/>
      </w:pPr>
      <w:r>
        <w:rPr/>
        <w:t> </w:t>
      </w:r>
    </w:p>
    <w:tbl>
      <w:tblPr>
        <w:tblW w:w="9307" w:type="dxa"/>
        <w:jc w:val="left"/>
        <w:tblInd w:w="0" w:type="dxa"/>
        <w:tblLayout w:type="fixed"/>
        <w:tblCellMar>
          <w:top w:w="28" w:type="dxa"/>
          <w:left w:w="28" w:type="dxa"/>
          <w:bottom w:w="28" w:type="dxa"/>
          <w:right w:w="28" w:type="dxa"/>
        </w:tblCellMar>
      </w:tblPr>
      <w:tblGrid>
        <w:gridCol w:w="4006"/>
        <w:gridCol w:w="146"/>
        <w:gridCol w:w="245"/>
        <w:gridCol w:w="925"/>
        <w:gridCol w:w="146"/>
        <w:gridCol w:w="146"/>
        <w:gridCol w:w="245"/>
        <w:gridCol w:w="925"/>
        <w:gridCol w:w="146"/>
        <w:gridCol w:w="146"/>
        <w:gridCol w:w="211"/>
        <w:gridCol w:w="691"/>
        <w:gridCol w:w="146"/>
        <w:gridCol w:w="146"/>
        <w:gridCol w:w="197"/>
        <w:gridCol w:w="509"/>
        <w:gridCol w:w="33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211,897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199,932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40" w:after="0"/>
        <w:jc w:val="left"/>
        <w:rPr>
          <w:rFonts w:ascii="Arial;sans-serif" w:hAnsi="Arial;sans-serif"/>
          <w:b w:val="false"/>
          <w:sz w:val="20"/>
        </w:rPr>
      </w:pPr>
      <w:r>
        <w:rPr>
          <w:rFonts w:ascii="Arial;sans-serif" w:hAnsi="Arial;sans-serif"/>
          <w:b w:val="false"/>
          <w:sz w:val="20"/>
        </w:rPr>
        <w:t>The increase in SG&amp;A of $12.0 million for the three months ended June 30, 2023 when compared to the corresponding period last year was primarily due to a $5.1 million increase from business acquisitions, an increase of $5.6 million primarily related to business development and sales activities, an increase in stock-based compensation cost of $4.5 million and an increase in labor related costs of $2.8 million. These increases were offset in part by a $7.6 million decrease in transaction related costs.</w:t>
      </w:r>
    </w:p>
    <w:p>
      <w:pPr>
        <w:pStyle w:val="TextBody"/>
        <w:bidi w:val="0"/>
        <w:spacing w:before="120" w:after="0"/>
        <w:jc w:val="left"/>
        <w:rPr/>
      </w:pPr>
      <w:r>
        <w:rPr/>
        <w:t> </w:t>
      </w:r>
    </w:p>
    <w:tbl>
      <w:tblPr>
        <w:tblW w:w="9307" w:type="dxa"/>
        <w:jc w:val="left"/>
        <w:tblInd w:w="0" w:type="dxa"/>
        <w:tblLayout w:type="fixed"/>
        <w:tblCellMar>
          <w:top w:w="28" w:type="dxa"/>
          <w:left w:w="28" w:type="dxa"/>
          <w:bottom w:w="28" w:type="dxa"/>
          <w:right w:w="28" w:type="dxa"/>
        </w:tblCellMar>
      </w:tblPr>
      <w:tblGrid>
        <w:gridCol w:w="4006"/>
        <w:gridCol w:w="146"/>
        <w:gridCol w:w="245"/>
        <w:gridCol w:w="925"/>
        <w:gridCol w:w="146"/>
        <w:gridCol w:w="146"/>
        <w:gridCol w:w="245"/>
        <w:gridCol w:w="925"/>
        <w:gridCol w:w="146"/>
        <w:gridCol w:w="146"/>
        <w:gridCol w:w="211"/>
        <w:gridCol w:w="691"/>
        <w:gridCol w:w="146"/>
        <w:gridCol w:w="146"/>
        <w:gridCol w:w="197"/>
        <w:gridCol w:w="509"/>
        <w:gridCol w:w="33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411,205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2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385,009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40" w:after="0"/>
        <w:jc w:val="left"/>
        <w:rPr>
          <w:rFonts w:ascii="Arial;sans-serif" w:hAnsi="Arial;sans-serif"/>
          <w:b w:val="false"/>
          <w:sz w:val="20"/>
        </w:rPr>
      </w:pPr>
      <w:r>
        <w:rPr>
          <w:rFonts w:ascii="Arial;sans-serif" w:hAnsi="Arial;sans-serif"/>
          <w:b w:val="false"/>
          <w:sz w:val="20"/>
        </w:rPr>
        <w:t>The increase in SG&amp;A of $26.2 million for the six months ended June 30, 2023 when compared to the corresponding period last year was primarily due to a $12.8 million increase from business acquisitions, an increase of $11.4 million primarily related to business development and sales activities, an increase in stock-based compensation cost of $7.3 million and an increase in labor related costs of $3.4 million. These increases were offset in part by a $8.4 million decrease in transaction related costs and a $3.7 million decrease in intangible asset amortization.</w:t>
      </w:r>
    </w:p>
    <w:p>
      <w:pPr>
        <w:pStyle w:val="TextBody"/>
        <w:bidi w:val="0"/>
        <w:spacing w:before="360" w:after="0"/>
        <w:jc w:val="left"/>
        <w:rPr>
          <w:rFonts w:ascii="Arial;sans-serif" w:hAnsi="Arial;sans-serif"/>
          <w:b w:val="false"/>
          <w:i/>
          <w:sz w:val="20"/>
        </w:rPr>
      </w:pPr>
      <w:r>
        <w:rPr>
          <w:rFonts w:ascii="Arial;sans-serif" w:hAnsi="Arial;sans-serif"/>
          <w:b w:val="false"/>
          <w:i/>
          <w:sz w:val="20"/>
        </w:rPr>
        <w:t>Total other income (expense)</w:t>
      </w:r>
    </w:p>
    <w:p>
      <w:pPr>
        <w:pStyle w:val="TextBody"/>
        <w:bidi w:val="0"/>
        <w:spacing w:before="120" w:after="0"/>
        <w:jc w:val="left"/>
        <w:rPr>
          <w:rFonts w:ascii="Arial;sans-serif" w:hAnsi="Arial;sans-serif"/>
          <w:b w:val="false"/>
          <w:sz w:val="20"/>
        </w:rPr>
      </w:pPr>
      <w:r>
        <w:rPr>
          <w:rFonts w:ascii="Arial;sans-serif" w:hAnsi="Arial;sans-serif"/>
          <w:b w:val="false"/>
          <w:sz w:val="20"/>
        </w:rPr>
        <w:t>Interest income is related to interest earned on cash balances held. Interest expense is primarily due to debt related to our Delayed Draw Term Loan and Convertible Senior Notes. Other income (expense), net is primarily related to transaction gains and losses on foreign currency transactions and sublease income.</w:t>
      </w:r>
    </w:p>
    <w:p>
      <w:pPr>
        <w:pStyle w:val="TextBody"/>
        <w:bidi w:val="0"/>
        <w:spacing w:before="120" w:after="0"/>
        <w:jc w:val="left"/>
        <w:rPr/>
      </w:pPr>
      <w:r>
        <w:rPr/>
        <w:t> </w:t>
      </w:r>
    </w:p>
    <w:tbl>
      <w:tblPr>
        <w:tblW w:w="8278" w:type="dxa"/>
        <w:jc w:val="left"/>
        <w:tblInd w:w="0" w:type="dxa"/>
        <w:tblLayout w:type="fixed"/>
        <w:tblCellMar>
          <w:top w:w="28" w:type="dxa"/>
          <w:left w:w="28" w:type="dxa"/>
          <w:bottom w:w="28" w:type="dxa"/>
          <w:right w:w="28" w:type="dxa"/>
        </w:tblCellMar>
      </w:tblPr>
      <w:tblGrid>
        <w:gridCol w:w="2656"/>
        <w:gridCol w:w="146"/>
        <w:gridCol w:w="288"/>
        <w:gridCol w:w="882"/>
        <w:gridCol w:w="166"/>
        <w:gridCol w:w="146"/>
        <w:gridCol w:w="288"/>
        <w:gridCol w:w="882"/>
        <w:gridCol w:w="166"/>
        <w:gridCol w:w="146"/>
        <w:gridCol w:w="211"/>
        <w:gridCol w:w="646"/>
        <w:gridCol w:w="166"/>
        <w:gridCol w:w="146"/>
        <w:gridCol w:w="146"/>
        <w:gridCol w:w="586"/>
        <w:gridCol w:w="6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center"/>
              <w:rPr/>
            </w:pPr>
            <w:r>
              <w:rPr/>
              <w:t> </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78.9</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(7,299</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(4,525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(2,774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61.3</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130.1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(6,450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56.6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120" w:after="0"/>
        <w:jc w:val="left"/>
        <w:rPr>
          <w:rFonts w:ascii="Arial;sans-serif" w:hAnsi="Arial;sans-serif"/>
          <w:b w:val="false"/>
          <w:sz w:val="20"/>
        </w:rPr>
      </w:pPr>
      <w:r>
        <w:rPr>
          <w:rFonts w:ascii="Arial;sans-serif" w:hAnsi="Arial;sans-serif"/>
          <w:b w:val="false"/>
          <w:sz w:val="20"/>
        </w:rPr>
        <w:t>The increase in interest expense is primarily related to higher interest rates on borrowings under the Delayed Draw Term loan during the three months ended June 30, 2023 compared to interest rates on borrowings under the revolving Credit Agreement during the three months ended June 30, 2022. The Company entered into the Delayed Draw term loan in September 2022. There were no amounts outstanding under the revolving Credit Agreement during the three months ended June 30, 2023.</w:t>
      </w:r>
    </w:p>
    <w:p>
      <w:pPr>
        <w:pStyle w:val="TextBody"/>
        <w:bidi w:val="0"/>
        <w:spacing w:before="120" w:after="0"/>
        <w:jc w:val="left"/>
        <w:rPr/>
      </w:pPr>
      <w:r>
        <w:rPr/>
        <w:t> </w:t>
      </w:r>
    </w:p>
    <w:tbl>
      <w:tblPr>
        <w:tblW w:w="8278" w:type="dxa"/>
        <w:jc w:val="left"/>
        <w:tblInd w:w="0" w:type="dxa"/>
        <w:tblLayout w:type="fixed"/>
        <w:tblCellMar>
          <w:top w:w="28" w:type="dxa"/>
          <w:left w:w="28" w:type="dxa"/>
          <w:bottom w:w="28" w:type="dxa"/>
          <w:right w:w="28" w:type="dxa"/>
        </w:tblCellMar>
      </w:tblPr>
      <w:tblGrid>
        <w:gridCol w:w="2656"/>
        <w:gridCol w:w="146"/>
        <w:gridCol w:w="256"/>
        <w:gridCol w:w="914"/>
        <w:gridCol w:w="166"/>
        <w:gridCol w:w="146"/>
        <w:gridCol w:w="288"/>
        <w:gridCol w:w="882"/>
        <w:gridCol w:w="166"/>
        <w:gridCol w:w="146"/>
        <w:gridCol w:w="211"/>
        <w:gridCol w:w="646"/>
        <w:gridCol w:w="166"/>
        <w:gridCol w:w="146"/>
        <w:gridCol w:w="146"/>
        <w:gridCol w:w="586"/>
        <w:gridCol w:w="6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5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center"/>
              <w:rPr/>
            </w:pPr>
            <w:r>
              <w:rPr/>
              <w:t> </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365.7</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(13,757</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(8,463</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(5,294</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62.6</w:t>
            </w:r>
          </w:p>
        </w:tc>
        <w:tc>
          <w:tcPr>
            <w:tcW w:w="611" w:type="dxa"/>
            <w:tcBorders/>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387.4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2656"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other income (expense)</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(10,801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(7,846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(2,955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120" w:after="0"/>
        <w:jc w:val="left"/>
        <w:rPr>
          <w:rFonts w:ascii="Arial;sans-serif" w:hAnsi="Arial;sans-serif"/>
          <w:b w:val="false"/>
          <w:sz w:val="20"/>
        </w:rPr>
      </w:pPr>
      <w:r>
        <w:rPr>
          <w:rFonts w:ascii="Arial;sans-serif" w:hAnsi="Arial;sans-serif"/>
          <w:b w:val="false"/>
          <w:sz w:val="20"/>
        </w:rPr>
        <w:t>The increase in interest expense for the six months ended June 30, 2023 is primarily related to the same factors impacting interest expense for the three months ended June 30, 2023 noted above. There were no amounts outstanding under the revolving Credit Agreement during the six months ended June 30, 2023.</w:t>
      </w:r>
    </w:p>
    <w:p>
      <w:pPr>
        <w:pStyle w:val="TextBody"/>
        <w:bidi w:val="0"/>
        <w:spacing w:before="240" w:after="0"/>
        <w:jc w:val="center"/>
        <w:rPr>
          <w:rFonts w:ascii="Arial;sans-serif" w:hAnsi="Arial;sans-serif"/>
          <w:b w:val="false"/>
          <w:sz w:val="20"/>
        </w:rPr>
      </w:pPr>
      <w:r>
        <w:rPr>
          <w:rFonts w:ascii="Arial;sans-serif" w:hAnsi="Arial;sans-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Arial;sans-serif" w:hAnsi="Arial;sans-serif"/>
          <w:b w:val="false"/>
          <w:i/>
          <w:sz w:val="20"/>
        </w:rPr>
      </w:pPr>
      <w:r>
        <w:rPr>
          <w:rFonts w:ascii="Arial;sans-serif" w:hAnsi="Arial;sans-serif"/>
          <w:b w:val="false"/>
          <w:i/>
          <w:sz w:val="20"/>
        </w:rPr>
        <w:t>Income tax expense</w:t>
      </w:r>
    </w:p>
    <w:p>
      <w:pPr>
        <w:pStyle w:val="TextBody"/>
        <w:bidi w:val="0"/>
        <w:spacing w:before="0" w:after="0"/>
        <w:jc w:val="left"/>
        <w:rPr/>
      </w:pPr>
      <w:r>
        <w:rPr/>
        <w:t> </w:t>
      </w:r>
    </w:p>
    <w:tbl>
      <w:tblPr>
        <w:tblW w:w="7458" w:type="dxa"/>
        <w:jc w:val="left"/>
        <w:tblInd w:w="0" w:type="dxa"/>
        <w:tblLayout w:type="fixed"/>
        <w:tblCellMar>
          <w:top w:w="28" w:type="dxa"/>
          <w:left w:w="28" w:type="dxa"/>
          <w:bottom w:w="28" w:type="dxa"/>
          <w:right w:w="28" w:type="dxa"/>
        </w:tblCellMar>
      </w:tblPr>
      <w:tblGrid>
        <w:gridCol w:w="2236"/>
        <w:gridCol w:w="146"/>
        <w:gridCol w:w="273"/>
        <w:gridCol w:w="897"/>
        <w:gridCol w:w="146"/>
        <w:gridCol w:w="146"/>
        <w:gridCol w:w="310"/>
        <w:gridCol w:w="860"/>
        <w:gridCol w:w="146"/>
        <w:gridCol w:w="146"/>
        <w:gridCol w:w="211"/>
        <w:gridCol w:w="586"/>
        <w:gridCol w:w="146"/>
        <w:gridCol w:w="146"/>
        <w:gridCol w:w="146"/>
        <w:gridCol w:w="586"/>
        <w:gridCol w:w="33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0"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9,491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165.6</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Company’s effective tax rate was 21.8% and 20.1% and income tax expense was $15.2 million and $5.7 million for the three months ended June 30, 2023 and June 30, 2022, respectively. The most significant items contributing to the change in the effective tax rate relate to an increase in foreign withholding taxes, partially offset by tax benefits related to increases in the foreign-derived intangible income (FDII) deduction and untaxed income attributed to noncontrolling interests. The difference between the statutory U.S. federal income tax rate of 21.0% and the effective tax rate for the quarter ended June 30, 2023 primarily relates to state income taxes and foreign withholding taxes, partially offset by benefits related to untaxed income attributable to noncontrolling interests,</w:t>
      </w:r>
      <w:r>
        <w:rPr>
          <w:rFonts w:ascii="Times New Roman" w:hAnsi="Times New Roman"/>
          <w:sz w:val="20"/>
        </w:rPr>
        <w:t xml:space="preserve"> </w:t>
      </w:r>
      <w:r>
        <w:rPr>
          <w:rFonts w:ascii="Arial;sans-serif" w:hAnsi="Arial;sans-serif"/>
          <w:b w:val="false"/>
          <w:sz w:val="20"/>
        </w:rPr>
        <w:t>earnings in lower tax jurisdictions, the FDII deduction, and the federal research tax credit.</w:t>
      </w:r>
    </w:p>
    <w:p>
      <w:pPr>
        <w:pStyle w:val="TextBody"/>
        <w:bidi w:val="0"/>
        <w:spacing w:before="120" w:after="0"/>
        <w:jc w:val="left"/>
        <w:rPr/>
      </w:pPr>
      <w:r>
        <w:rPr/>
        <w:t> </w:t>
      </w:r>
    </w:p>
    <w:tbl>
      <w:tblPr>
        <w:tblW w:w="7537" w:type="dxa"/>
        <w:jc w:val="left"/>
        <w:tblInd w:w="0" w:type="dxa"/>
        <w:tblLayout w:type="fixed"/>
        <w:tblCellMar>
          <w:top w:w="28" w:type="dxa"/>
          <w:left w:w="28" w:type="dxa"/>
          <w:bottom w:w="28" w:type="dxa"/>
          <w:right w:w="28" w:type="dxa"/>
        </w:tblCellMar>
      </w:tblPr>
      <w:tblGrid>
        <w:gridCol w:w="2236"/>
        <w:gridCol w:w="146"/>
        <w:gridCol w:w="273"/>
        <w:gridCol w:w="897"/>
        <w:gridCol w:w="146"/>
        <w:gridCol w:w="146"/>
        <w:gridCol w:w="273"/>
        <w:gridCol w:w="897"/>
        <w:gridCol w:w="146"/>
        <w:gridCol w:w="146"/>
        <w:gridCol w:w="211"/>
        <w:gridCol w:w="691"/>
        <w:gridCol w:w="146"/>
        <w:gridCol w:w="146"/>
        <w:gridCol w:w="164"/>
        <w:gridCol w:w="542"/>
        <w:gridCol w:w="33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93.0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12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 xml:space="preserve">The Company’s effective tax rate was 22.9% for both the six months ended </w:t>
      </w:r>
      <w:r>
        <w:rPr>
          <w:rFonts w:ascii="Arial;sans-serif" w:hAnsi="Arial;sans-serif"/>
          <w:b w:val="false"/>
          <w:sz w:val="22"/>
        </w:rPr>
        <w:t>J</w:t>
      </w:r>
      <w:r>
        <w:rPr>
          <w:rFonts w:ascii="Arial;sans-serif" w:hAnsi="Arial;sans-serif"/>
          <w:b w:val="false"/>
          <w:sz w:val="20"/>
        </w:rPr>
        <w:t xml:space="preserve">une 30, 2023 and June 30, 2022 and income tax expense was $26.7 million and $13.9 million for the six months ended </w:t>
      </w:r>
      <w:r>
        <w:rPr>
          <w:rFonts w:ascii="Arial;sans-serif" w:hAnsi="Arial;sans-serif"/>
          <w:b w:val="false"/>
          <w:sz w:val="22"/>
        </w:rPr>
        <w:t>J</w:t>
      </w:r>
      <w:r>
        <w:rPr>
          <w:rFonts w:ascii="Arial;sans-serif" w:hAnsi="Arial;sans-serif"/>
          <w:b w:val="false"/>
          <w:sz w:val="20"/>
        </w:rPr>
        <w:t>une 30, 2023 and June 30, 2022, respectively. The most significant items contributing to the change in the effective tax rate relate to an increase in tax benefits related to increases in the FDII deduction, and untaxed income attributed to noncontrolling interests, offset by an increase in foreign withholding taxes. The difference between the statutory U.S. federal income tax rate of 21.0% and the effective tax rate for the six months ended June 30, 2023 primarily relates to state income taxes and foreign withholding taxes, partially offset by benefits related to untaxed income attributable to noncontrolling interests,</w:t>
      </w:r>
      <w:r>
        <w:rPr>
          <w:rFonts w:ascii="Times New Roman" w:hAnsi="Times New Roman"/>
          <w:sz w:val="20"/>
        </w:rPr>
        <w:t xml:space="preserve"> </w:t>
      </w:r>
      <w:r>
        <w:rPr>
          <w:rFonts w:ascii="Arial;sans-serif" w:hAnsi="Arial;sans-serif"/>
          <w:b w:val="false"/>
          <w:sz w:val="20"/>
        </w:rPr>
        <w:t>earnings in lower tax jurisdictions, the FDII deduction, and the federal research tax credit.</w:t>
      </w:r>
    </w:p>
    <w:p>
      <w:pPr>
        <w:pStyle w:val="TextBody"/>
        <w:bidi w:val="0"/>
        <w:spacing w:before="240" w:after="0"/>
        <w:jc w:val="center"/>
        <w:rPr>
          <w:rFonts w:ascii="Times New Roman" w:hAnsi="Times New Roman"/>
          <w:sz w:val="20"/>
        </w:rPr>
      </w:pPr>
      <w:r>
        <w:rPr>
          <w:rFonts w:ascii="Arial;sans-serif" w:hAnsi="Arial;sans-serif"/>
          <w:b/>
          <w:sz w:val="20"/>
        </w:rPr>
        <w:t>Segment Results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We evaluate segment operating performance using segment revenue and segment Adjusted EBITDA attributable to Parsons Corporation. Adjusted EBITDA attributable to Parsons Corporation is Adjusted EBITDA excluding Adjusted EBITDA attributable to noncontrolling interests. Presented above, in</w:t>
      </w:r>
      <w:r>
        <w:rPr>
          <w:rFonts w:ascii="Times New Roman" w:hAnsi="Times New Roman"/>
          <w:sz w:val="20"/>
        </w:rPr>
        <w:t xml:space="preserve"> </w:t>
      </w:r>
      <w:r>
        <w:rPr>
          <w:rFonts w:ascii="Arial;sans-serif" w:hAnsi="Arial;sans-serif"/>
          <w:b w:val="false"/>
          <w:sz w:val="20"/>
        </w:rPr>
        <w:t>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table shows Adjusted EBITDA attributable to Parsons Corporation for each of our reportable segments and Adjusted EBITDA attributable to noncontrolling interests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355"/>
        <w:gridCol w:w="146"/>
        <w:gridCol w:w="230"/>
        <w:gridCol w:w="869"/>
        <w:gridCol w:w="146"/>
        <w:gridCol w:w="146"/>
        <w:gridCol w:w="246"/>
        <w:gridCol w:w="809"/>
        <w:gridCol w:w="146"/>
        <w:gridCol w:w="146"/>
        <w:gridCol w:w="230"/>
        <w:gridCol w:w="869"/>
        <w:gridCol w:w="146"/>
        <w:gridCol w:w="146"/>
        <w:gridCol w:w="230"/>
        <w:gridCol w:w="869"/>
        <w:gridCol w:w="476"/>
      </w:tblGrid>
      <w:tr>
        <w:trPr/>
        <w:tc>
          <w:tcPr>
            <w:tcW w:w="4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3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5"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Federal Solutions 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85,640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141,788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90,283</w:t>
            </w:r>
          </w:p>
        </w:tc>
        <w:tc>
          <w:tcPr>
            <w:tcW w:w="476" w:type="dxa"/>
            <w:tcBorders/>
            <w:vAlign w:val="center"/>
          </w:tcPr>
          <w:p>
            <w:pPr>
              <w:pStyle w:val="TableContents"/>
              <w:bidi w:val="0"/>
              <w:spacing w:before="0" w:after="0"/>
              <w:ind w:left="0" w:right="0" w:hanging="0"/>
              <w:jc w:val="left"/>
              <w:rPr/>
            </w:pPr>
            <w:r>
              <w:rPr/>
              <w:t> </w:t>
            </w:r>
          </w:p>
        </w:tc>
      </w:tr>
      <w:tr>
        <w:trPr/>
        <w:tc>
          <w:tcPr>
            <w:tcW w:w="435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Critical Infrastructure 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53,475</w:t>
            </w:r>
          </w:p>
        </w:tc>
        <w:tc>
          <w:tcPr>
            <w:tcW w:w="476" w:type="dxa"/>
            <w:tcBorders/>
            <w:vAlign w:val="center"/>
          </w:tcPr>
          <w:p>
            <w:pPr>
              <w:pStyle w:val="TableContents"/>
              <w:bidi w:val="0"/>
              <w:spacing w:before="0" w:after="0"/>
              <w:ind w:left="0" w:right="0" w:hanging="0"/>
              <w:jc w:val="left"/>
              <w:rPr/>
            </w:pPr>
            <w:r>
              <w:rPr/>
              <w:t> </w:t>
            </w:r>
          </w:p>
        </w:tc>
      </w:tr>
      <w:tr>
        <w:trPr/>
        <w:tc>
          <w:tcPr>
            <w:tcW w:w="435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11,730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21,616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7,904</w:t>
            </w:r>
          </w:p>
        </w:tc>
        <w:tc>
          <w:tcPr>
            <w:tcW w:w="476" w:type="dxa"/>
            <w:tcBorders>
              <w:bottom w:val="single" w:sz="4" w:space="0" w:color="000000"/>
            </w:tcBorders>
            <w:tcMar>
              <w:top w:w="0" w:type="dxa"/>
              <w:left w:w="0" w:type="dxa"/>
              <w:right w:w="0" w:type="dxa"/>
            </w:tcMar>
            <w:vAlign w:val="center"/>
          </w:tcPr>
          <w:p>
            <w:pPr>
              <w:pStyle w:val="TableContents"/>
              <w:bidi w:val="0"/>
              <w:spacing w:before="0" w:after="0"/>
              <w:ind w:left="0" w:right="0" w:firstLine="280"/>
              <w:jc w:val="left"/>
              <w:rPr/>
            </w:pPr>
            <w:r>
              <w:rPr/>
              <w:t> </w:t>
            </w:r>
          </w:p>
        </w:tc>
      </w:tr>
      <w:tr>
        <w:trPr/>
        <w:tc>
          <w:tcPr>
            <w:tcW w:w="4355" w:type="dxa"/>
            <w:tcBorders/>
            <w:vAlign w:val="center"/>
          </w:tcPr>
          <w:p>
            <w:pPr>
              <w:pStyle w:val="TableContents"/>
              <w:bidi w:val="0"/>
              <w:spacing w:before="0" w:after="0"/>
              <w:ind w:left="280" w:right="0" w:hanging="0"/>
              <w:jc w:val="left"/>
              <w:rPr>
                <w:rFonts w:ascii="Arial;sans-serif" w:hAnsi="Arial;sans-serif"/>
                <w:b w:val="false"/>
                <w:sz w:val="20"/>
              </w:rPr>
            </w:pPr>
            <w:r>
              <w:rPr>
                <w:rFonts w:ascii="Arial;sans-serif" w:hAnsi="Arial;sans-serif"/>
                <w:b w:val="false"/>
                <w:sz w:val="20"/>
              </w:rPr>
              <w:t>Total Adjusted EBITDA</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118,306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77,414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208,697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151,662</w:t>
            </w:r>
          </w:p>
        </w:tc>
        <w:tc>
          <w:tcPr>
            <w:tcW w:w="4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Arial;sans-serif" w:hAnsi="Arial;sans-serif"/>
          <w:b w:val="false"/>
          <w:i/>
          <w:sz w:val="20"/>
        </w:rPr>
      </w:pPr>
      <w:r>
        <w:rPr>
          <w:rFonts w:ascii="Arial;sans-serif" w:hAnsi="Arial;sans-serif"/>
          <w:b w:val="false"/>
          <w:i/>
          <w:sz w:val="20"/>
        </w:rPr>
        <w:t>Federal Solutions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450"/>
        <w:gridCol w:w="146"/>
        <w:gridCol w:w="237"/>
        <w:gridCol w:w="896"/>
        <w:gridCol w:w="286"/>
        <w:gridCol w:w="146"/>
        <w:gridCol w:w="237"/>
        <w:gridCol w:w="896"/>
        <w:gridCol w:w="286"/>
        <w:gridCol w:w="146"/>
        <w:gridCol w:w="211"/>
        <w:gridCol w:w="796"/>
        <w:gridCol w:w="286"/>
        <w:gridCol w:w="146"/>
        <w:gridCol w:w="164"/>
        <w:gridCol w:w="542"/>
        <w:gridCol w:w="334"/>
      </w:tblGrid>
      <w:tr>
        <w:trPr/>
        <w:tc>
          <w:tcPr>
            <w:tcW w:w="4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0"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762,797</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537,556</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225,241</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41.9</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5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85,640</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47,645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37,995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79.7</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5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Margin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11.2</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8.9</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2.4</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26.7</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40" w:after="0"/>
        <w:jc w:val="left"/>
        <w:rPr>
          <w:rFonts w:ascii="Times New Roman" w:hAnsi="Times New Roman"/>
          <w:sz w:val="20"/>
        </w:rPr>
      </w:pPr>
      <w:r>
        <w:rPr>
          <w:rFonts w:ascii="Arial;sans-serif" w:hAnsi="Arial;sans-serif"/>
          <w:b w:val="false"/>
          <w:sz w:val="20"/>
        </w:rPr>
        <w:t>The increase in Federal Solutions revenue for the three months ended June 30, 2023 compared to the corresponding period last year was primarily due to increases from business acquisitions of $117.6 million and organic growth of $107.6 million which included incentive fees on two contracts of approximately $20 million.</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The increase in Federal Solutions Adjusted EBITDA attributable to Parsons Corporation for the three months ended June 30, 2023 compared to the corresponding period last year was primarily due to the factors impacting revenue discussed above. These increases were offset in part by an increase in selling general and administrative expenses, primarily from business acquisitions.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375"/>
        <w:gridCol w:w="146"/>
        <w:gridCol w:w="211"/>
        <w:gridCol w:w="961"/>
        <w:gridCol w:w="286"/>
        <w:gridCol w:w="146"/>
        <w:gridCol w:w="211"/>
        <w:gridCol w:w="961"/>
        <w:gridCol w:w="286"/>
        <w:gridCol w:w="146"/>
        <w:gridCol w:w="211"/>
        <w:gridCol w:w="796"/>
        <w:gridCol w:w="286"/>
        <w:gridCol w:w="146"/>
        <w:gridCol w:w="164"/>
        <w:gridCol w:w="542"/>
        <w:gridCol w:w="331"/>
      </w:tblGrid>
      <w:tr>
        <w:trPr/>
        <w:tc>
          <w:tcPr>
            <w:tcW w:w="4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3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75"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1,397,343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1,029,185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368,158</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35.8</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141,788</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90,283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51,505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57.0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375"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Margin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10.1</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8.8</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16.0</w:t>
            </w:r>
          </w:p>
        </w:tc>
        <w:tc>
          <w:tcPr>
            <w:tcW w:w="3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240" w:after="0"/>
        <w:jc w:val="left"/>
        <w:rPr>
          <w:rFonts w:ascii="Times New Roman" w:hAnsi="Times New Roman"/>
          <w:sz w:val="20"/>
        </w:rPr>
      </w:pPr>
      <w:r>
        <w:rPr>
          <w:rFonts w:ascii="Arial;sans-serif" w:hAnsi="Arial;sans-serif"/>
          <w:b w:val="false"/>
          <w:sz w:val="20"/>
        </w:rPr>
        <w:t>The increase in Federal Solutions revenue for the six months ended June 30, 2023 compared to the corresponding period last year was primarily due to increases from business acquisitions of $230.0 million and organic growth of $138.2 million which included incentive fees on two contracts of approximately $20 million.</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The increase in Federal Solutions Adjusted EBITDA attributable to Parsons Corporation for the six months ended June 30, 2023 compared to the corresponding period last year was primarily due to the factors discussed above for Adjusted EBITDA for the three months ended June 30, 2023.</w:t>
      </w:r>
    </w:p>
    <w:p>
      <w:pPr>
        <w:pStyle w:val="TextBody"/>
        <w:bidi w:val="0"/>
        <w:spacing w:before="360" w:after="0"/>
        <w:jc w:val="left"/>
        <w:rPr>
          <w:rFonts w:ascii="Times New Roman" w:hAnsi="Times New Roman"/>
          <w:sz w:val="20"/>
        </w:rPr>
      </w:pPr>
      <w:r>
        <w:rPr>
          <w:rFonts w:ascii="Arial;sans-serif" w:hAnsi="Arial;sans-serif"/>
          <w:b w:val="false"/>
          <w:i/>
          <w:sz w:val="20"/>
        </w:rPr>
        <w:t>Critical Infrastructure</w:t>
      </w:r>
      <w:r>
        <w:rPr>
          <w:rFonts w:ascii="Times New Roman" w:hAnsi="Times New Roman"/>
          <w:sz w:val="20"/>
        </w:rPr>
        <w:t xml:space="preserve"> </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450"/>
        <w:gridCol w:w="146"/>
        <w:gridCol w:w="237"/>
        <w:gridCol w:w="896"/>
        <w:gridCol w:w="286"/>
        <w:gridCol w:w="146"/>
        <w:gridCol w:w="237"/>
        <w:gridCol w:w="896"/>
        <w:gridCol w:w="286"/>
        <w:gridCol w:w="146"/>
        <w:gridCol w:w="211"/>
        <w:gridCol w:w="796"/>
        <w:gridCol w:w="286"/>
        <w:gridCol w:w="146"/>
        <w:gridCol w:w="150"/>
        <w:gridCol w:w="556"/>
        <w:gridCol w:w="334"/>
      </w:tblGrid>
      <w:tr>
        <w:trPr/>
        <w:tc>
          <w:tcPr>
            <w:tcW w:w="4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0"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593,689</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471,165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122,524</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26.0</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5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20,936</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25,160</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(4,224</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-16.8</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50"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Margin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3.5</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-34.0</w:t>
            </w:r>
          </w:p>
        </w:tc>
        <w:tc>
          <w:tcPr>
            <w:tcW w:w="33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increase in Critical Infrastructure revenue for the three months ended June 30, 2023 compared to the corresponding period last year was primarily due to organic revenue growth of $119.9 million.</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The decrease in Critical Infrastructure Adjusted EBITDA attributable to Parsons Corporation for the three months ended June 30, 2023 compared to the corresponding period last year was primarily due to a project write-down of $20.7 million ($24.7 million in direct costs of contracts offset by $4.0 million in revenue), $7.0 million unconsolidated joint ventures loss discussed above and an increase in selling, general and administrative expenses. These decreases were offset by the factors impacting revenue discussed above.</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414"/>
        <w:gridCol w:w="146"/>
        <w:gridCol w:w="211"/>
        <w:gridCol w:w="961"/>
        <w:gridCol w:w="286"/>
        <w:gridCol w:w="146"/>
        <w:gridCol w:w="237"/>
        <w:gridCol w:w="895"/>
        <w:gridCol w:w="286"/>
        <w:gridCol w:w="146"/>
        <w:gridCol w:w="211"/>
        <w:gridCol w:w="796"/>
        <w:gridCol w:w="286"/>
        <w:gridCol w:w="146"/>
        <w:gridCol w:w="150"/>
        <w:gridCol w:w="556"/>
        <w:gridCol w:w="332"/>
      </w:tblGrid>
      <w:tr>
        <w:trPr/>
        <w:tc>
          <w:tcPr>
            <w:tcW w:w="4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4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Variance</w:t>
            </w:r>
          </w:p>
        </w:tc>
        <w:tc>
          <w:tcPr>
            <w:tcW w:w="3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4" w:type="dxa"/>
            <w:tcBorders/>
            <w:vAlign w:val="center"/>
          </w:tcPr>
          <w:p>
            <w:pPr>
              <w:pStyle w:val="TableContents"/>
              <w:bidi w:val="0"/>
              <w:spacing w:before="0" w:after="0"/>
              <w:ind w:left="0" w:right="0" w:hanging="0"/>
              <w:jc w:val="left"/>
              <w:rPr>
                <w:rFonts w:ascii="Arial;sans-serif" w:hAnsi="Arial;sans-serif"/>
                <w:b/>
                <w:sz w:val="16"/>
              </w:rPr>
            </w:pPr>
            <w:r>
              <w:rPr>
                <w:rFonts w:ascii="Arial;sans-serif" w:hAnsi="Arial;sans-serif"/>
                <w:b/>
                <w:sz w:val="16"/>
              </w:rPr>
              <w:t>(U.S. dollars in thousands)</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Dollar</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Percent</w:t>
            </w:r>
          </w:p>
        </w:tc>
        <w:tc>
          <w:tcPr>
            <w:tcW w:w="3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1,132,609</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928,605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204,004</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22.0</w:t>
            </w:r>
          </w:p>
        </w:tc>
        <w:tc>
          <w:tcPr>
            <w:tcW w:w="3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45,293</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53,475</w:t>
            </w:r>
          </w:p>
        </w:tc>
        <w:tc>
          <w:tcPr>
            <w:tcW w:w="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(8,182</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-15.3</w:t>
            </w:r>
          </w:p>
        </w:tc>
        <w:tc>
          <w:tcPr>
            <w:tcW w:w="3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1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Adjusted EBITDA Margin attributable to Parsons Corporation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5.8</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-1.8</w:t>
            </w:r>
          </w:p>
        </w:tc>
        <w:tc>
          <w:tcPr>
            <w:tcW w:w="28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-31.1</w:t>
            </w:r>
          </w:p>
        </w:tc>
        <w:tc>
          <w:tcPr>
            <w:tcW w:w="332"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Arial;sans-serif" w:hAnsi="Arial;sans-serif"/>
          <w:b w:val="false"/>
          <w:sz w:val="20"/>
        </w:rPr>
        <w:t>The increase in Critical Infrastructure revenue for the six months ended June 30, 2023 compared to the corresponding period last year was primarily due to organic revenue growth of $201.4 million.</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The decrease in Critical Infrastructure Adjusted EBITDA attributable to Parsons Corporation for the six months ended June 30, 2023 compared to the corresponding period last year was primarily due to the factors discussed for Adjusted EBITDA above for the three months ended June 30, 2023.</w:t>
      </w:r>
    </w:p>
    <w:p>
      <w:pPr>
        <w:pStyle w:val="TextBody"/>
        <w:bidi w:val="0"/>
        <w:spacing w:before="240" w:after="0"/>
        <w:jc w:val="center"/>
        <w:rPr>
          <w:rFonts w:ascii="Arial;sans-serif" w:hAnsi="Arial;sans-serif"/>
          <w:b/>
          <w:sz w:val="20"/>
        </w:rPr>
      </w:pPr>
      <w:r>
        <w:rPr>
          <w:rFonts w:ascii="Arial;sans-serif" w:hAnsi="Arial;sans-serif"/>
          <w:b/>
          <w:sz w:val="20"/>
        </w:rPr>
        <w:t>Liquidity and Capital Resources</w:t>
      </w:r>
    </w:p>
    <w:p>
      <w:pPr>
        <w:pStyle w:val="TextBody"/>
        <w:bidi w:val="0"/>
        <w:spacing w:before="240" w:after="0"/>
        <w:jc w:val="left"/>
        <w:rPr>
          <w:rFonts w:ascii="Times New Roman" w:hAnsi="Times New Roman"/>
          <w:sz w:val="20"/>
        </w:rPr>
      </w:pPr>
      <w:r>
        <w:rPr>
          <w:rFonts w:ascii="Arial;sans-serif" w:hAnsi="Arial;sans-serif"/>
          <w:b w:val="false"/>
          <w:sz w:val="20"/>
        </w:rPr>
        <w:t>We finance our operations and capital expenditures through a combination of internally generated cash from operations, our Senior Notes, Convertible Senior Notes, and periodic borrowings under our Revolving Credit Facility.</w:t>
      </w:r>
      <w:r>
        <w:rPr>
          <w:rFonts w:ascii="Times New Roman" w:hAnsi="Times New Roman"/>
          <w:sz w:val="20"/>
        </w:rPr>
        <w:t xml:space="preserve"> </w:t>
      </w:r>
    </w:p>
    <w:p>
      <w:pPr>
        <w:pStyle w:val="TextBody"/>
        <w:bidi w:val="0"/>
        <w:spacing w:before="240" w:after="0"/>
        <w:jc w:val="left"/>
        <w:rPr>
          <w:rFonts w:ascii="Arial;sans-serif" w:hAnsi="Arial;sans-serif"/>
          <w:b w:val="false"/>
          <w:sz w:val="20"/>
        </w:rPr>
      </w:pPr>
      <w:r>
        <w:rPr>
          <w:rFonts w:ascii="Arial;sans-serif" w:hAnsi="Arial;sans-serif"/>
          <w:b w:val="false"/>
          <w:sz w:val="20"/>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pStyle w:val="TextBody"/>
        <w:bidi w:val="0"/>
        <w:spacing w:before="240" w:after="0"/>
        <w:jc w:val="left"/>
        <w:rPr>
          <w:rFonts w:ascii="Times New Roman" w:hAnsi="Times New Roman"/>
          <w:sz w:val="20"/>
        </w:rPr>
      </w:pPr>
      <w:r>
        <w:rPr>
          <w:rFonts w:ascii="Arial;sans-serif" w:hAnsi="Arial;sans-serif"/>
          <w:b w:val="false"/>
          <w:sz w:val="20"/>
        </w:rPr>
        <w:t>As of June 30, 2023,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76 days at June 30, 2023 and 72 days at June 30, 2022. Driving the increase in Net DSO is accounts receivable, accounts payable and project related accruals</w:t>
      </w:r>
      <w:r>
        <w:rPr>
          <w:rFonts w:ascii="Times New Roman" w:hAnsi="Times New Roman"/>
          <w:sz w:val="20"/>
        </w:rPr>
        <w:t xml:space="preserve"> </w:t>
      </w:r>
    </w:p>
    <w:p>
      <w:pPr>
        <w:pStyle w:val="TextBody"/>
        <w:bidi w:val="0"/>
        <w:spacing w:before="240" w:after="0"/>
        <w:jc w:val="center"/>
        <w:rPr>
          <w:rFonts w:ascii="Arial;sans-serif" w:hAnsi="Arial;sans-serif"/>
          <w:b w:val="false"/>
          <w:sz w:val="20"/>
        </w:rPr>
      </w:pPr>
      <w:r>
        <w:rPr>
          <w:rFonts w:ascii="Arial;sans-serif" w:hAnsi="Arial;sans-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Arial;sans-serif" w:hAnsi="Arial;sans-serif"/>
          <w:b w:val="false"/>
          <w:sz w:val="20"/>
        </w:rPr>
        <w:t>amounts reflective of the Company's current business volume, while the trailing twelve months revenue reflects a trend from lower to higher business volume. Our working capital (current assets less current liabilities) was $685.3 million at June 30, 2023 and $611.7 million at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Our cash, cash equivalents and restricted cash decreased by $84.0 million to $178.6 million at June 30, 2023 from $262.5 million at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The following table summarizes our sources and uses of cash over the periods presented (in thousands):</w:t>
      </w:r>
      <w:r>
        <w:rPr>
          <w:rFonts w:ascii="Times New Roman" w:hAnsi="Times New Roman"/>
          <w:sz w:val="20"/>
        </w:rPr>
        <w:t xml:space="preserve"> </w:t>
      </w:r>
    </w:p>
    <w:p>
      <w:pPr>
        <w:pStyle w:val="TextBody"/>
        <w:bidi w:val="0"/>
        <w:spacing w:before="0" w:after="0"/>
        <w:jc w:val="left"/>
        <w:rPr/>
      </w:pPr>
      <w:r>
        <w:rPr/>
        <w:t> </w:t>
      </w:r>
    </w:p>
    <w:tbl>
      <w:tblPr>
        <w:tblW w:w="7465" w:type="dxa"/>
        <w:jc w:val="left"/>
        <w:tblInd w:w="0" w:type="dxa"/>
        <w:tblLayout w:type="fixed"/>
        <w:tblCellMar>
          <w:top w:w="28" w:type="dxa"/>
          <w:left w:w="28" w:type="dxa"/>
          <w:bottom w:w="28" w:type="dxa"/>
          <w:right w:w="28" w:type="dxa"/>
        </w:tblCellMar>
      </w:tblPr>
      <w:tblGrid>
        <w:gridCol w:w="4456"/>
        <w:gridCol w:w="146"/>
        <w:gridCol w:w="256"/>
        <w:gridCol w:w="914"/>
        <w:gridCol w:w="166"/>
        <w:gridCol w:w="146"/>
        <w:gridCol w:w="231"/>
        <w:gridCol w:w="939"/>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13,986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25,336</w:t>
            </w:r>
          </w:p>
        </w:tc>
        <w:tc>
          <w:tcPr>
            <w:tcW w:w="21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(84,218</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(403,837</w:t>
            </w:r>
          </w:p>
        </w:tc>
        <w:tc>
          <w:tcPr>
            <w:tcW w:w="21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(14,185</w:t>
            </w:r>
          </w:p>
        </w:tc>
        <w:tc>
          <w:tcPr>
            <w:tcW w:w="1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162,453</w:t>
            </w:r>
          </w:p>
        </w:tc>
        <w:tc>
          <w:tcPr>
            <w:tcW w:w="21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Effect of exchange rate changes</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(963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45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(83,950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(217,011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Arial;sans-serif" w:hAnsi="Arial;sans-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Net cash used in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Net cash provided by operating activities decreased $11.4 million for the six months ended June 30, 2023 compared to the six months ended June 30, 2022. The primary driver of the decrease in cash flows provided by operating activities was a $61.7 million increase in cash outflows from our working capital accounts (primarily from accounts receivable, prepaid expenses and other assets offset in part by accounts payable and accrued expenses and other current liabilities). As discussed above, Net DSO increased 4 days compared to last year. The increases in the other elements of working capital were the result of both timing differences and the increase in the Company's business volume. These cash outflows were offset in part by a $52.5 million change in net income including noncontrolling interests after adjusting for non-cash items.</w:t>
      </w:r>
    </w:p>
    <w:p>
      <w:pPr>
        <w:pStyle w:val="TextBody"/>
        <w:bidi w:val="0"/>
        <w:spacing w:before="120" w:after="0"/>
        <w:jc w:val="left"/>
        <w:rPr>
          <w:rFonts w:ascii="Arial;sans-serif" w:hAnsi="Arial;sans-serif"/>
          <w:b w:val="false"/>
          <w:sz w:val="20"/>
        </w:rPr>
      </w:pPr>
      <w:r>
        <w:rPr>
          <w:rFonts w:ascii="Arial;sans-serif" w:hAnsi="Arial;sans-serif"/>
          <w:b w:val="false"/>
          <w:sz w:val="20"/>
        </w:rPr>
        <w:t>Pursuant to Internal Revenue Service IR 2023-33, the Company qualifies for disaster area taxpayer relief. As such, the Company has deferred $19.0 million of its federal and California April and June 2023 quarterly income tax payments which were otherwise due during the quarter ended June 30, 2023. Deferred income tax payments are due by October 16, 2023.</w:t>
      </w:r>
    </w:p>
    <w:p>
      <w:pPr>
        <w:pStyle w:val="TextBody"/>
        <w:bidi w:val="0"/>
        <w:spacing w:before="360" w:after="0"/>
        <w:jc w:val="left"/>
        <w:rPr>
          <w:rFonts w:ascii="Times New Roman" w:hAnsi="Times New Roman"/>
          <w:sz w:val="20"/>
        </w:rPr>
      </w:pPr>
      <w:r>
        <w:rPr>
          <w:rFonts w:ascii="Arial;sans-serif" w:hAnsi="Arial;sans-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Net cash used in investing activities consists primarily of cash flows associated with capital expenditures, joint ventures and business acquisitions.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Arial;sans-serif" w:hAnsi="Arial;sans-serif"/>
          <w:b w:val="false"/>
          <w:sz w:val="20"/>
        </w:rPr>
        <w:t>Net cash used in investing activities decreased $319.6 million for the six months ended June 30, 2023, when compared to the six months ended June 30, 2022. This change was primarily driven by a $337.0 million reduction in payments for acquisitions offset in part by a $13.3 million increase from investments in unconsolidated joint ventures.</w:t>
      </w:r>
      <w:r>
        <w:rPr>
          <w:rFonts w:ascii="Times New Roman" w:hAnsi="Times New Roman"/>
          <w:sz w:val="20"/>
        </w:rPr>
        <w:t xml:space="preserve"> </w:t>
      </w:r>
    </w:p>
    <w:p>
      <w:pPr>
        <w:pStyle w:val="TextBody"/>
        <w:bidi w:val="0"/>
        <w:spacing w:before="240" w:after="0"/>
        <w:jc w:val="left"/>
        <w:rPr>
          <w:rFonts w:ascii="Arial;sans-serif" w:hAnsi="Arial;sans-serif"/>
          <w:b w:val="false"/>
          <w:sz w:val="20"/>
        </w:rPr>
      </w:pPr>
      <w:r>
        <w:rPr>
          <w:rFonts w:ascii="Arial;sans-serif" w:hAnsi="Arial;sans-serif"/>
          <w:b w:val="false"/>
          <w:sz w:val="20"/>
        </w:rPr>
        <w:t>The Company continually evaluates potential business acquisition opportunities. In the event the Company makes a business acquisition, a significant amount of cash may be used to fund the purchase price.</w:t>
      </w:r>
    </w:p>
    <w:p>
      <w:pPr>
        <w:pStyle w:val="TextBody"/>
        <w:bidi w:val="0"/>
        <w:spacing w:before="240" w:after="0"/>
        <w:jc w:val="left"/>
        <w:rPr>
          <w:rFonts w:ascii="Times New Roman" w:hAnsi="Times New Roman"/>
          <w:sz w:val="20"/>
        </w:rPr>
      </w:pPr>
      <w:r>
        <w:rPr>
          <w:rFonts w:ascii="Arial;sans-serif" w:hAnsi="Arial;sans-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Net cash used in financing activities is primarily associated with proceeds from debt, the repayment thereof, and distributions to noncontrolling interests.</w:t>
      </w:r>
      <w:r>
        <w:rPr>
          <w:rFonts w:ascii="Times New Roman" w:hAnsi="Times New Roman"/>
          <w:sz w:val="20"/>
        </w:rPr>
        <w:t xml:space="preserve"> </w:t>
      </w:r>
    </w:p>
    <w:p>
      <w:pPr>
        <w:pStyle w:val="TextBody"/>
        <w:bidi w:val="0"/>
        <w:spacing w:before="240" w:after="0"/>
        <w:jc w:val="left"/>
        <w:rPr>
          <w:rFonts w:ascii="Arial;sans-serif" w:hAnsi="Arial;sans-serif"/>
          <w:b w:val="false"/>
          <w:sz w:val="20"/>
        </w:rPr>
      </w:pPr>
      <w:r>
        <w:rPr>
          <w:rFonts w:ascii="Arial;sans-serif" w:hAnsi="Arial;sans-serif"/>
          <w:b w:val="false"/>
          <w:sz w:val="20"/>
        </w:rPr>
        <w:t>Net cash provided by financing activities decreased $176.6 million for the six months ended June 30, 2023 compared to the six months ended June 30, 2022. The change in cash flows from financing activities is primarily due to a decrease of $188.8 million from net, borrowing related activities offset in part by a decrease in cash used of $7.9 million from distributions to noncontrolling interests and a decrease of $7.5 million from repurchases of common stock.</w:t>
      </w:r>
    </w:p>
    <w:p>
      <w:pPr>
        <w:pStyle w:val="TextBody"/>
        <w:bidi w:val="0"/>
        <w:spacing w:before="240" w:after="0"/>
        <w:jc w:val="center"/>
        <w:rPr>
          <w:rFonts w:ascii="Arial;sans-serif" w:hAnsi="Arial;sans-serif"/>
          <w:b w:val="false"/>
          <w:sz w:val="20"/>
        </w:rPr>
      </w:pPr>
      <w:r>
        <w:rPr>
          <w:rFonts w:ascii="Arial;sans-serif" w:hAnsi="Arial;sans-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Arial;sans-serif" w:hAnsi="Arial;sans-serif"/>
          <w:b/>
          <w:i/>
          <w:sz w:val="20"/>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have in place several secondary bank credit lines for issuing letters of credit, principally for foreign contracts, to support performance and completion guarantees. Letters of credit commitments outstanding under these bank lines aggregated to $243.0 million as of June 30, 2023. Letters of credit outstanding under the Credit Agreement total $43.9 million as of June 30,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Arial;sans-serif" w:hAnsi="Arial;sans-serif"/>
          <w:b/>
          <w:i/>
          <w:sz w:val="20"/>
        </w:rPr>
        <w:t>Recent Accounting Pronouncements</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See the information set forth in “Note 3—New Accounting Pronouncements” in the notes to our consolidated financial statements included elsewhere in this Quarterly Report on Form 10-Q.</w:t>
      </w:r>
    </w:p>
    <w:p>
      <w:pPr>
        <w:pStyle w:val="TextBody"/>
        <w:bidi w:val="0"/>
        <w:spacing w:before="360" w:after="0"/>
        <w:jc w:val="left"/>
        <w:rPr>
          <w:rFonts w:ascii="Arial;sans-serif" w:hAnsi="Arial;sans-serif"/>
          <w:b/>
          <w:i/>
          <w:sz w:val="20"/>
        </w:rPr>
      </w:pPr>
      <w:r>
        <w:rPr>
          <w:rFonts w:ascii="Arial;sans-serif" w:hAnsi="Arial;sans-serif"/>
          <w:b/>
          <w:i/>
          <w:sz w:val="20"/>
        </w:rPr>
        <w:t>Off-Balance Sheet Arrangements</w:t>
      </w:r>
    </w:p>
    <w:p>
      <w:pPr>
        <w:pStyle w:val="TextBody"/>
        <w:bidi w:val="0"/>
        <w:spacing w:before="120" w:after="0"/>
        <w:jc w:val="left"/>
        <w:rPr>
          <w:rFonts w:ascii="Times New Roman" w:hAnsi="Times New Roman"/>
          <w:sz w:val="20"/>
        </w:rPr>
      </w:pPr>
      <w:r>
        <w:rPr>
          <w:rFonts w:ascii="Arial;sans-serif" w:hAnsi="Arial;sans-serif"/>
          <w:b w:val="false"/>
          <w:sz w:val="20"/>
        </w:rPr>
        <w:t>As of June 30, 2023, we have no off-balance sheet arrangements that have or are reasonably likely to have a material current or future effect on our financial condition, changes in financial condition, revenue or expenses, results of operations, liquidity, capital expenditures or capital resources.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3" w:name="i_item3"/>
      <w:bookmarkEnd w:id="13"/>
      <w:r>
        <w:rPr>
          <w:rFonts w:ascii="Arial;sans-serif" w:hAnsi="Arial;sans-serif"/>
          <w:b/>
          <w:sz w:val="20"/>
        </w:rPr>
        <w:t>Item 3. Quantitative and Qualitati</w:t>
      </w:r>
      <w:bookmarkStart w:id="14" w:name="item_3_quantitative_qualitative_disclosu"/>
      <w:bookmarkEnd w:id="14"/>
      <w:r>
        <w:rPr>
          <w:rFonts w:ascii="Arial;sans-serif" w:hAnsi="Arial;sans-serif"/>
          <w:b/>
          <w:sz w:val="20"/>
        </w:rPr>
        <w:t>ve Disclosures About Market Risk.</w:t>
      </w:r>
    </w:p>
    <w:p>
      <w:pPr>
        <w:pStyle w:val="TextBody"/>
        <w:bidi w:val="0"/>
        <w:spacing w:before="120" w:after="0"/>
        <w:jc w:val="left"/>
        <w:rPr>
          <w:rFonts w:ascii="Times New Roman" w:hAnsi="Times New Roman"/>
          <w:sz w:val="20"/>
        </w:rPr>
      </w:pPr>
      <w:r>
        <w:rPr>
          <w:rFonts w:ascii="Arial;sans-serif" w:hAnsi="Arial;sans-serif"/>
          <w:b/>
          <w:i/>
          <w:sz w:val="20"/>
        </w:rPr>
        <w:t>Interest Rate Risk</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We are exposed to interest rate risks related to the Company’s Revolving Credit Facility and Delayed Draw</w:t>
        <w:br/>
        <w:t>Term Loan.</w:t>
      </w:r>
    </w:p>
    <w:p>
      <w:pPr>
        <w:pStyle w:val="TextBody"/>
        <w:bidi w:val="0"/>
        <w:spacing w:before="120" w:after="0"/>
        <w:jc w:val="left"/>
        <w:rPr>
          <w:rFonts w:ascii="Times New Roman" w:hAnsi="Times New Roman"/>
          <w:sz w:val="20"/>
        </w:rPr>
      </w:pPr>
      <w:r>
        <w:rPr>
          <w:rFonts w:ascii="Arial;sans-serif" w:hAnsi="Arial;sans-serif"/>
          <w:b w:val="false"/>
          <w:sz w:val="20"/>
        </w:rPr>
        <w:t>As of June 30, 2023, there were no amounts outstanding under the Revolving Credit Facility. Borrowings under the new Credit Facility effective June 2021 bear interest at either the Term SOFR rate plus a margin between 1.0% and 1.625%, or a base rate (as defined in the Credit Agreement) plus a margin of between 0% and 0.625%, both based on the leverage ratio of the Company at the end of each quarter.</w:t>
      </w:r>
      <w:r>
        <w:rPr>
          <w:rFonts w:ascii="Times New Roman" w:hAnsi="Times New Roman"/>
          <w:sz w:val="20"/>
        </w:rPr>
        <w:t xml:space="preserve"> </w:t>
      </w:r>
      <w:r>
        <w:rPr>
          <w:rFonts w:ascii="Arial;sans-serif" w:hAnsi="Arial;sans-serif"/>
          <w:b w:val="false"/>
          <w:sz w:val="20"/>
        </w:rPr>
        <w:t>The rates on June 30, 2023 and December 31, 2022 were 8.5% and 5.7%, respectively.</w:t>
      </w:r>
    </w:p>
    <w:p>
      <w:pPr>
        <w:pStyle w:val="TextBody"/>
        <w:bidi w:val="0"/>
        <w:spacing w:before="120" w:after="0"/>
        <w:jc w:val="left"/>
        <w:rPr>
          <w:rFonts w:ascii="Arial;sans-serif" w:hAnsi="Arial;sans-serif"/>
          <w:b w:val="false"/>
          <w:sz w:val="20"/>
        </w:rPr>
      </w:pPr>
      <w:r>
        <w:rPr>
          <w:rFonts w:ascii="Arial;sans-serif" w:hAnsi="Arial;sans-serif"/>
          <w:b w:val="false"/>
          <w:sz w:val="20"/>
        </w:rPr>
        <w:t>As of June 30, 2023, there was $350.0 million outstanding under the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June 30, 2023 and December 31, 2022 were 6.5% and 5.7%, respectively.</w:t>
      </w:r>
    </w:p>
    <w:p>
      <w:pPr>
        <w:pStyle w:val="TextBody"/>
        <w:bidi w:val="0"/>
        <w:spacing w:before="360" w:after="0"/>
        <w:jc w:val="left"/>
        <w:rPr>
          <w:rFonts w:ascii="Times New Roman" w:hAnsi="Times New Roman"/>
          <w:sz w:val="20"/>
        </w:rPr>
      </w:pPr>
      <w:r>
        <w:rPr>
          <w:rFonts w:ascii="Arial;sans-serif" w:hAnsi="Arial;sans-serif"/>
          <w:b/>
          <w:i/>
          <w:sz w:val="20"/>
        </w:rPr>
        <w:t>Foreign Currency Exchange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Arial;sans-serif" w:hAnsi="Arial;sans-serif"/>
          <w:b w:val="false"/>
          <w:sz w:val="20"/>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r>
        <w:rPr>
          <w:rFonts w:ascii="Times New Roman" w:hAnsi="Times New Roman"/>
          <w:sz w:val="20"/>
        </w:rPr>
        <w:t xml:space="preserve"> </w:t>
      </w:r>
    </w:p>
    <w:p>
      <w:pPr>
        <w:pStyle w:val="TextBody"/>
        <w:bidi w:val="0"/>
        <w:spacing w:before="360" w:after="0"/>
        <w:jc w:val="left"/>
        <w:rPr>
          <w:rFonts w:ascii="Arial;sans-serif" w:hAnsi="Arial;sans-serif"/>
          <w:b/>
          <w:sz w:val="20"/>
        </w:rPr>
      </w:pPr>
      <w:bookmarkStart w:id="15" w:name="item_4_controls_procedures"/>
      <w:bookmarkEnd w:id="15"/>
      <w:r>
        <w:rPr>
          <w:rFonts w:ascii="Arial;sans-serif" w:hAnsi="Arial;sans-serif"/>
          <w:b/>
          <w:sz w:val="20"/>
        </w:rPr>
        <w:t>Item 4. Controls and Procedures.</w:t>
      </w:r>
    </w:p>
    <w:p>
      <w:pPr>
        <w:pStyle w:val="TextBody"/>
        <w:bidi w:val="0"/>
        <w:spacing w:before="120" w:after="0"/>
        <w:jc w:val="left"/>
        <w:rPr>
          <w:rFonts w:ascii="Arial;sans-serif" w:hAnsi="Arial;sans-serif"/>
          <w:b/>
          <w:sz w:val="20"/>
        </w:rPr>
      </w:pPr>
      <w:r>
        <w:rPr>
          <w:rFonts w:ascii="Arial;sans-serif" w:hAnsi="Arial;sans-serif"/>
          <w:b/>
          <w:sz w:val="20"/>
        </w:rPr>
        <w:t>Evaluation of Disclosure Control and Procedures</w:t>
      </w:r>
    </w:p>
    <w:p>
      <w:pPr>
        <w:pStyle w:val="TextBody"/>
        <w:bidi w:val="0"/>
        <w:spacing w:before="120" w:after="0"/>
        <w:jc w:val="left"/>
        <w:rPr>
          <w:rFonts w:ascii="Arial;sans-serif" w:hAnsi="Arial;sans-serif"/>
          <w:b w:val="false"/>
          <w:sz w:val="20"/>
        </w:rPr>
      </w:pPr>
      <w:r>
        <w:rPr>
          <w:rFonts w:ascii="Arial;sans-serif" w:hAnsi="Arial;sans-serif"/>
          <w:b w:val="false"/>
          <w:sz w:val="20"/>
        </w:rPr>
        <w:t>Our management carried out, as of June 30, 2023,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2023,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240" w:after="0"/>
        <w:jc w:val="center"/>
        <w:rPr>
          <w:rFonts w:ascii="Arial;sans-serif" w:hAnsi="Arial;sans-serif"/>
          <w:b w:val="false"/>
          <w:sz w:val="20"/>
        </w:rPr>
      </w:pPr>
      <w:r>
        <w:rPr>
          <w:rFonts w:ascii="Arial;sans-serif" w:hAnsi="Arial;sans-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Arial;sans-serif" w:hAnsi="Arial;sans-serif"/>
          <w:b w:val="false"/>
          <w:sz w:val="20"/>
        </w:rPr>
      </w:pPr>
      <w:r>
        <w:rPr>
          <w:rFonts w:ascii="Arial;sans-serif" w:hAnsi="Arial;sans-serif"/>
          <w:b w:val="false"/>
          <w:sz w:val="20"/>
        </w:rPr>
        <w:t>Consistent with the guidance issued by the Securities and Exchange Commission Staff, management has excluded IPKeys, which we acquired on April 13, 2023, from its evaluation of the effectiveness of our internal control over financial reporting as of June 30, 2023. The total assets and revenue related to IPKeys, a wholly owned subsidiary, are approximately 1% and less than 1%, respectively, of the related consolidated financial statement amounts as of and for the year ended June 30, 2023.</w:t>
      </w:r>
    </w:p>
    <w:p>
      <w:pPr>
        <w:pStyle w:val="TextBody"/>
        <w:bidi w:val="0"/>
        <w:spacing w:before="360" w:after="0"/>
        <w:jc w:val="left"/>
        <w:rPr>
          <w:rFonts w:ascii="Arial;sans-serif" w:hAnsi="Arial;sans-serif"/>
          <w:b/>
          <w:sz w:val="20"/>
        </w:rPr>
      </w:pPr>
      <w:r>
        <w:rPr>
          <w:rFonts w:ascii="Arial;sans-serif" w:hAnsi="Arial;sans-serif"/>
          <w:b/>
          <w:sz w:val="20"/>
        </w:rPr>
        <w:t>Changes in Internal Control Over Financial Reporting</w:t>
      </w:r>
    </w:p>
    <w:p>
      <w:pPr>
        <w:pStyle w:val="TextBody"/>
        <w:bidi w:val="0"/>
        <w:spacing w:before="120" w:after="0"/>
        <w:jc w:val="left"/>
        <w:rPr>
          <w:rFonts w:ascii="Arial;sans-serif" w:hAnsi="Arial;sans-serif"/>
          <w:b w:val="false"/>
          <w:sz w:val="20"/>
        </w:rPr>
      </w:pPr>
      <w:r>
        <w:rPr>
          <w:rFonts w:ascii="Arial;sans-serif" w:hAnsi="Arial;sans-serif"/>
          <w:b w:val="false"/>
          <w:sz w:val="20"/>
        </w:rPr>
        <w:t>During the second quarter of 2023, there were no changes to our internal control over financial reporting that have materially affected, or are reasonably likely to materially affect, our internal control over financial reporting.</w:t>
      </w:r>
    </w:p>
    <w:p>
      <w:pPr>
        <w:pStyle w:val="TextBody"/>
        <w:bidi w:val="0"/>
        <w:spacing w:before="240" w:after="0"/>
        <w:jc w:val="center"/>
        <w:rPr>
          <w:rFonts w:ascii="Arial;sans-serif" w:hAnsi="Arial;sans-serif"/>
          <w:b w:val="false"/>
          <w:sz w:val="20"/>
        </w:rPr>
      </w:pPr>
      <w:r>
        <w:rPr>
          <w:rFonts w:ascii="Arial;sans-serif" w:hAnsi="Arial;sans-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6" w:name="i_item4t"/>
      <w:bookmarkEnd w:id="16"/>
      <w:r>
        <w:rPr>
          <w:rFonts w:ascii="Arial;sans-serif" w:hAnsi="Arial;sans-serif"/>
          <w:b/>
          <w:sz w:val="20"/>
        </w:rPr>
        <w:t>PART II—OTHER</w:t>
      </w:r>
      <w:bookmarkStart w:id="17" w:name="part_iior_information"/>
      <w:bookmarkEnd w:id="17"/>
      <w:r>
        <w:rPr>
          <w:rFonts w:ascii="Times New Roman" w:hAnsi="Times New Roman"/>
          <w:sz w:val="20"/>
        </w:rPr>
        <w:t xml:space="preserve"> </w:t>
      </w:r>
      <w:r>
        <w:rPr>
          <w:rFonts w:ascii="Arial;sans-serif" w:hAnsi="Arial;sans-serif"/>
          <w:b/>
          <w:sz w:val="20"/>
        </w:rPr>
        <w:t>INFORMATION</w:t>
      </w:r>
    </w:p>
    <w:p>
      <w:pPr>
        <w:pStyle w:val="TextBody"/>
        <w:bidi w:val="0"/>
        <w:spacing w:before="240" w:after="0"/>
        <w:jc w:val="left"/>
        <w:rPr>
          <w:rFonts w:ascii="Arial;sans-serif" w:hAnsi="Arial;sans-serif"/>
          <w:b/>
          <w:sz w:val="20"/>
        </w:rPr>
      </w:pPr>
      <w:bookmarkStart w:id="18" w:name="item_1_legal_proceedings"/>
      <w:bookmarkEnd w:id="18"/>
      <w:r>
        <w:rPr>
          <w:rFonts w:ascii="Arial;sans-serif" w:hAnsi="Arial;sans-serif"/>
          <w:b/>
          <w:sz w:val="20"/>
        </w:rPr>
        <w:t>Item 1. Legal Proceedings.</w:t>
      </w:r>
    </w:p>
    <w:p>
      <w:pPr>
        <w:pStyle w:val="TextBody"/>
        <w:bidi w:val="0"/>
        <w:spacing w:before="120" w:after="0"/>
        <w:jc w:val="left"/>
        <w:rPr>
          <w:rFonts w:ascii="Arial;sans-serif" w:hAnsi="Arial;sans-serif"/>
          <w:b w:val="false"/>
          <w:sz w:val="20"/>
        </w:rPr>
      </w:pPr>
      <w:r>
        <w:rPr>
          <w:rFonts w:ascii="Arial;sans-serif" w:hAnsi="Arial;sans-serif"/>
          <w:b w:val="false"/>
          <w:sz w:val="20"/>
        </w:rPr>
        <w:t>The information required by this Item 1 is included in “Note 12 – Contingencies” included in the Notes to Consolidated Financial Statements appearing under Part I, Item 1 of this Form 10-Q which is incorporated herein by reference.</w:t>
      </w:r>
    </w:p>
    <w:p>
      <w:pPr>
        <w:pStyle w:val="TextBody"/>
        <w:bidi w:val="0"/>
        <w:spacing w:before="360" w:after="0"/>
        <w:jc w:val="left"/>
        <w:rPr>
          <w:rFonts w:ascii="Arial;sans-serif" w:hAnsi="Arial;sans-serif"/>
          <w:b/>
          <w:sz w:val="20"/>
        </w:rPr>
      </w:pPr>
      <w:bookmarkStart w:id="19" w:name="item_1a_risk_factors"/>
      <w:bookmarkEnd w:id="19"/>
      <w:r>
        <w:rPr>
          <w:rFonts w:ascii="Arial;sans-serif" w:hAnsi="Arial;sans-serif"/>
          <w:b/>
          <w:sz w:val="20"/>
        </w:rPr>
        <w:t>Item 1A. Risk Factors.</w:t>
      </w:r>
    </w:p>
    <w:p>
      <w:pPr>
        <w:pStyle w:val="TextBody"/>
        <w:bidi w:val="0"/>
        <w:spacing w:before="120" w:after="0"/>
        <w:jc w:val="left"/>
        <w:rPr>
          <w:rFonts w:ascii="Arial;sans-serif" w:hAnsi="Arial;sans-serif"/>
          <w:b w:val="false"/>
          <w:sz w:val="20"/>
        </w:rPr>
      </w:pPr>
      <w:r>
        <w:rPr>
          <w:rFonts w:ascii="Arial;sans-serif" w:hAnsi="Arial;sans-serif"/>
          <w:b w:val="false"/>
          <w:sz w:val="20"/>
        </w:rPr>
        <w:t>There have been no material changes from our Risk Factors disclosed in the Company’s Form 10-K for the year ended December 31, 2022.</w:t>
      </w:r>
    </w:p>
    <w:p>
      <w:pPr>
        <w:pStyle w:val="TextBody"/>
        <w:bidi w:val="0"/>
        <w:spacing w:before="360" w:after="0"/>
        <w:jc w:val="left"/>
        <w:rPr>
          <w:rFonts w:ascii="Arial;sans-serif" w:hAnsi="Arial;sans-serif"/>
          <w:b/>
          <w:sz w:val="20"/>
        </w:rPr>
      </w:pPr>
      <w:bookmarkStart w:id="20" w:name="item_2_unregistered_sales_equity_securit"/>
      <w:bookmarkEnd w:id="20"/>
      <w:r>
        <w:rPr>
          <w:rFonts w:ascii="Arial;sans-serif" w:hAnsi="Arial;sans-serif"/>
          <w:b/>
          <w:sz w:val="20"/>
        </w:rPr>
        <w:t>Item 2. Unregistered Sales of Equity Securities and Use of Proceeds.</w:t>
      </w:r>
    </w:p>
    <w:p>
      <w:pPr>
        <w:pStyle w:val="TextBody"/>
        <w:bidi w:val="0"/>
        <w:spacing w:before="240" w:after="0"/>
        <w:jc w:val="left"/>
        <w:rPr>
          <w:rFonts w:ascii="Times New Roman" w:hAnsi="Times New Roman"/>
          <w:sz w:val="20"/>
        </w:rPr>
      </w:pPr>
      <w:r>
        <w:rPr>
          <w:rFonts w:ascii="Arial;sans-serif" w:hAnsi="Arial;sans-serif"/>
          <w:b/>
          <w:sz w:val="20"/>
        </w:rPr>
        <w:t>Issuer Purchases of Equity Securities</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On August 9, 2021, the Company’s Board of Directors authorized the Company to acquire a number of shares of Common Stock having an aggregate market value of not greater than $100,000,000 from time to time, commencing on August 12, 2021. Repurchased shares of common stock are retired and included in “Repurchases of common stock” in cash flows from financing activities in the Consolidated Statements of Cash Flows. As of June 30, 2023, the Company has spent $51.7 million (which includes commissions paid of $27.6 thousand) repurchasing 1,378,941 shares of Common Stock at an average price of $37.49 per share.</w:t>
      </w:r>
    </w:p>
    <w:p>
      <w:pPr>
        <w:pStyle w:val="TextBody"/>
        <w:bidi w:val="0"/>
        <w:spacing w:before="120" w:after="0"/>
        <w:jc w:val="left"/>
        <w:rPr>
          <w:rFonts w:ascii="Times New Roman" w:hAnsi="Times New Roman"/>
          <w:sz w:val="20"/>
        </w:rPr>
      </w:pPr>
      <w:r>
        <w:rPr>
          <w:rFonts w:ascii="Arial;sans-serif" w:hAnsi="Arial;sans-serif"/>
          <w:b w:val="false"/>
          <w:sz w:val="20"/>
        </w:rPr>
        <w:t>The following table presents the Company’s purchases of equity securities for the three months ended</w:t>
        <w:br/>
        <w:t>June 30, 2023.</w:t>
        <w:br/>
      </w:r>
      <w:r>
        <w:rPr>
          <w:rFonts w:ascii="Times New Roman" w:hAnsi="Times New Roman"/>
          <w:sz w:val="20"/>
        </w:rPr>
        <w:t> </w:t>
      </w:r>
    </w:p>
    <w:tbl>
      <w:tblPr>
        <w:tblW w:w="10205" w:type="dxa"/>
        <w:jc w:val="left"/>
        <w:tblInd w:w="0" w:type="dxa"/>
        <w:tblLayout w:type="fixed"/>
        <w:tblCellMar>
          <w:top w:w="28" w:type="dxa"/>
          <w:left w:w="28" w:type="dxa"/>
          <w:bottom w:w="28" w:type="dxa"/>
          <w:right w:w="28" w:type="dxa"/>
        </w:tblCellMar>
      </w:tblPr>
      <w:tblGrid>
        <w:gridCol w:w="858"/>
        <w:gridCol w:w="146"/>
        <w:gridCol w:w="260"/>
        <w:gridCol w:w="1231"/>
        <w:gridCol w:w="146"/>
        <w:gridCol w:w="146"/>
        <w:gridCol w:w="346"/>
        <w:gridCol w:w="962"/>
        <w:gridCol w:w="146"/>
        <w:gridCol w:w="146"/>
        <w:gridCol w:w="407"/>
        <w:gridCol w:w="1933"/>
        <w:gridCol w:w="146"/>
        <w:gridCol w:w="146"/>
        <w:gridCol w:w="494"/>
        <w:gridCol w:w="2497"/>
        <w:gridCol w:w="195"/>
      </w:tblGrid>
      <w:tr>
        <w:trPr/>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858" w:type="dxa"/>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Period</w:t>
            </w:r>
          </w:p>
        </w:tc>
        <w:tc>
          <w:tcPr>
            <w:tcW w:w="146" w:type="dxa"/>
            <w:tcBorders/>
            <w:vAlign w:val="center"/>
          </w:tcPr>
          <w:p>
            <w:pPr>
              <w:pStyle w:val="TableContents"/>
              <w:bidi w:val="0"/>
              <w:spacing w:before="0" w:after="0"/>
              <w:ind w:left="0" w:right="0" w:hanging="0"/>
              <w:jc w:val="left"/>
              <w:rPr/>
            </w:pPr>
            <w:r>
              <w:rPr/>
              <w:t> </w:t>
            </w:r>
          </w:p>
        </w:tc>
        <w:tc>
          <w:tcPr>
            <w:tcW w:w="14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w:t>
              <w:br/>
              <w:t>Total number of shares (or units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(b)</w:t>
              <w:br/>
              <w:t>Average price paid per share (or unit)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w:t>
              <w:br/>
              <w:t>Total number of shares (or units) purchased as part of publicly announced plans or programs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w:t>
              <w:br/>
              <w:t>Maximum number (or approximate dollar value) of shares (or units) that may yet be purchased under the plans programs</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5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April 1 to 30, 2023</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left"/>
              <w:rPr/>
            </w:pPr>
            <w:r>
              <w:rPr/>
              <w:t> </w:t>
            </w:r>
          </w:p>
        </w:tc>
        <w:tc>
          <w:tcPr>
            <w:tcW w:w="19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50,299,193</w:t>
            </w:r>
          </w:p>
        </w:tc>
        <w:tc>
          <w:tcPr>
            <w:tcW w:w="195" w:type="dxa"/>
            <w:tcBorders/>
            <w:vAlign w:val="center"/>
          </w:tcPr>
          <w:p>
            <w:pPr>
              <w:pStyle w:val="TableContents"/>
              <w:bidi w:val="0"/>
              <w:spacing w:before="0" w:after="0"/>
              <w:ind w:left="0" w:right="0" w:hanging="0"/>
              <w:jc w:val="left"/>
              <w:rPr/>
            </w:pPr>
            <w:r>
              <w:rPr/>
              <w:t> </w:t>
            </w:r>
          </w:p>
        </w:tc>
      </w:tr>
      <w:tr>
        <w:trPr/>
        <w:tc>
          <w:tcPr>
            <w:tcW w:w="85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May 1 to 31, 2023</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left"/>
              <w:rPr/>
            </w:pPr>
            <w:r>
              <w:rPr/>
              <w:t> </w:t>
            </w:r>
          </w:p>
        </w:tc>
        <w:tc>
          <w:tcPr>
            <w:tcW w:w="1933"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pPr>
            <w:r>
              <w:rPr/>
              <w:t> </w:t>
            </w:r>
          </w:p>
        </w:tc>
        <w:tc>
          <w:tcPr>
            <w:tcW w:w="24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48,299,250</w:t>
            </w:r>
          </w:p>
        </w:tc>
        <w:tc>
          <w:tcPr>
            <w:tcW w:w="195" w:type="dxa"/>
            <w:tcBorders/>
            <w:vAlign w:val="center"/>
          </w:tcPr>
          <w:p>
            <w:pPr>
              <w:pStyle w:val="TableContents"/>
              <w:bidi w:val="0"/>
              <w:spacing w:before="0" w:after="0"/>
              <w:ind w:left="0" w:right="0" w:hanging="0"/>
              <w:jc w:val="left"/>
              <w:rPr/>
            </w:pPr>
            <w:r>
              <w:rPr/>
              <w:t> </w:t>
            </w:r>
          </w:p>
        </w:tc>
      </w:tr>
      <w:tr>
        <w:trPr/>
        <w:tc>
          <w:tcPr>
            <w:tcW w:w="85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June 1 to 30, 2023</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pPr>
            <w:r>
              <w:rPr/>
              <w:t> </w:t>
            </w:r>
          </w:p>
        </w:tc>
        <w:tc>
          <w:tcPr>
            <w:tcW w:w="24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48,299,250</w:t>
            </w:r>
          </w:p>
        </w:tc>
        <w:tc>
          <w:tcPr>
            <w:tcW w:w="195" w:type="dxa"/>
            <w:tcBorders/>
            <w:vAlign w:val="center"/>
          </w:tcPr>
          <w:p>
            <w:pPr>
              <w:pStyle w:val="TableContents"/>
              <w:bidi w:val="0"/>
              <w:spacing w:before="0" w:after="0"/>
              <w:ind w:left="0" w:right="0" w:hanging="0"/>
              <w:jc w:val="left"/>
              <w:rPr/>
            </w:pPr>
            <w:r>
              <w:rPr/>
              <w:t> </w:t>
            </w:r>
          </w:p>
        </w:tc>
      </w:tr>
      <w:tr>
        <w:trPr/>
        <w:tc>
          <w:tcPr>
            <w:tcW w:w="85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46,077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2497"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48,299,250</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8447" w:type="dxa"/>
        <w:jc w:val="left"/>
        <w:tblInd w:w="0" w:type="dxa"/>
        <w:tblLayout w:type="fixed"/>
        <w:tblCellMar>
          <w:top w:w="28" w:type="dxa"/>
          <w:left w:w="28" w:type="dxa"/>
          <w:bottom w:w="28" w:type="dxa"/>
          <w:right w:w="28" w:type="dxa"/>
        </w:tblCellMar>
      </w:tblPr>
      <w:tblGrid>
        <w:gridCol w:w="274"/>
        <w:gridCol w:w="1421"/>
        <w:gridCol w:w="146"/>
        <w:gridCol w:w="146"/>
        <w:gridCol w:w="591"/>
        <w:gridCol w:w="1644"/>
        <w:gridCol w:w="146"/>
        <w:gridCol w:w="146"/>
        <w:gridCol w:w="228"/>
        <w:gridCol w:w="1512"/>
        <w:gridCol w:w="146"/>
        <w:gridCol w:w="146"/>
        <w:gridCol w:w="225"/>
        <w:gridCol w:w="1485"/>
        <w:gridCol w:w="191"/>
      </w:tblGrid>
      <w:tr>
        <w:trPr/>
        <w:tc>
          <w:tcPr>
            <w:tcW w:w="27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 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Average Price Per Share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 Repurchased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 Shares Retired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21"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100,000,000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w:t>
            </w:r>
          </w:p>
        </w:tc>
        <w:tc>
          <w:tcPr>
            <w:tcW w:w="1644"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37.49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1,378,941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485" w:type="dxa"/>
            <w:tcBorders/>
            <w:vAlign w:val="center"/>
          </w:tcPr>
          <w:p>
            <w:pPr>
              <w:pStyle w:val="TableContents"/>
              <w:bidi w:val="0"/>
              <w:spacing w:before="0" w:after="0"/>
              <w:ind w:left="0" w:right="0" w:hanging="0"/>
              <w:jc w:val="right"/>
              <w:rPr>
                <w:rFonts w:ascii="Arial;sans-serif" w:hAnsi="Arial;sans-serif"/>
                <w:b w:val="false"/>
                <w:sz w:val="20"/>
              </w:rPr>
            </w:pPr>
            <w:r>
              <w:rPr>
                <w:rFonts w:ascii="Arial;sans-serif" w:hAnsi="Arial;sans-serif"/>
                <w:b w:val="false"/>
                <w:sz w:val="20"/>
              </w:rPr>
              <w:t>1,378,941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Arial;sans-serif" w:hAnsi="Arial;sans-serif"/>
          <w:b w:val="false"/>
          <w:sz w:val="20"/>
        </w:rPr>
      </w:pPr>
      <w:r>
        <w:rPr>
          <w:rFonts w:ascii="Arial;sans-serif" w:hAnsi="Arial;sans-serif"/>
          <w:b w:val="false"/>
          <w:sz w:val="20"/>
        </w:rPr>
        <w:t>(1) Includes commissions and calculated at the average price per share</w:t>
      </w:r>
    </w:p>
    <w:p>
      <w:pPr>
        <w:pStyle w:val="TextBody"/>
        <w:bidi w:val="0"/>
        <w:spacing w:before="360" w:after="0"/>
        <w:jc w:val="left"/>
        <w:rPr>
          <w:rFonts w:ascii="Times New Roman" w:hAnsi="Times New Roman"/>
          <w:sz w:val="20"/>
        </w:rPr>
      </w:pPr>
      <w:bookmarkStart w:id="21" w:name="item_3_defaults_upon_senior_securities"/>
      <w:bookmarkEnd w:id="21"/>
      <w:r>
        <w:rPr>
          <w:rFonts w:ascii="Arial;sans-serif" w:hAnsi="Arial;sans-serif"/>
          <w:b/>
          <w:sz w:val="20"/>
        </w:rPr>
        <w:t>Item 3. Defaults Upon</w:t>
      </w:r>
      <w:r>
        <w:rPr>
          <w:rFonts w:ascii="Times New Roman" w:hAnsi="Times New Roman"/>
          <w:sz w:val="20"/>
        </w:rPr>
        <w:t xml:space="preserve"> </w:t>
      </w:r>
      <w:r>
        <w:rPr>
          <w:rFonts w:ascii="Arial;sans-serif" w:hAnsi="Arial;sans-serif"/>
          <w:b/>
          <w:sz w:val="20"/>
        </w:rPr>
        <w:t>Senior Securities.</w:t>
      </w:r>
    </w:p>
    <w:p>
      <w:pPr>
        <w:pStyle w:val="TextBody"/>
        <w:bidi w:val="0"/>
        <w:spacing w:before="120" w:after="0"/>
        <w:jc w:val="left"/>
        <w:rPr>
          <w:rFonts w:ascii="Arial;sans-serif" w:hAnsi="Arial;sans-serif"/>
          <w:b w:val="false"/>
          <w:sz w:val="20"/>
        </w:rPr>
      </w:pPr>
      <w:r>
        <w:rPr>
          <w:rFonts w:ascii="Arial;sans-serif" w:hAnsi="Arial;sans-serif"/>
          <w:b w:val="false"/>
          <w:sz w:val="20"/>
        </w:rPr>
        <w:t>None</w:t>
      </w:r>
    </w:p>
    <w:p>
      <w:pPr>
        <w:pStyle w:val="TextBody"/>
        <w:bidi w:val="0"/>
        <w:spacing w:before="360" w:after="0"/>
        <w:jc w:val="left"/>
        <w:rPr>
          <w:rFonts w:ascii="Arial;sans-serif" w:hAnsi="Arial;sans-serif"/>
          <w:b/>
          <w:sz w:val="20"/>
        </w:rPr>
      </w:pPr>
      <w:bookmarkStart w:id="22" w:name="item_4_mine_safety_disclosures"/>
      <w:bookmarkEnd w:id="22"/>
      <w:r>
        <w:rPr>
          <w:rFonts w:ascii="Arial;sans-serif" w:hAnsi="Arial;sans-serif"/>
          <w:b/>
          <w:sz w:val="20"/>
        </w:rPr>
        <w:t>Item 4. Mine Safety Disclosures.</w:t>
      </w:r>
    </w:p>
    <w:p>
      <w:pPr>
        <w:pStyle w:val="TextBody"/>
        <w:bidi w:val="0"/>
        <w:spacing w:before="120" w:after="0"/>
        <w:jc w:val="left"/>
        <w:rPr>
          <w:rFonts w:ascii="Arial;sans-serif" w:hAnsi="Arial;sans-serif"/>
          <w:b w:val="false"/>
          <w:sz w:val="20"/>
        </w:rPr>
      </w:pPr>
      <w:r>
        <w:rPr>
          <w:rFonts w:ascii="Arial;sans-serif" w:hAnsi="Arial;sans-serif"/>
          <w:b w:val="false"/>
          <w:sz w:val="20"/>
        </w:rPr>
        <w:t>Not Applicable</w:t>
      </w:r>
    </w:p>
    <w:p>
      <w:pPr>
        <w:pStyle w:val="TextBody"/>
        <w:bidi w:val="0"/>
        <w:spacing w:before="240" w:after="0"/>
        <w:jc w:val="center"/>
        <w:rPr>
          <w:rFonts w:ascii="Arial;sans-serif" w:hAnsi="Arial;sans-serif"/>
          <w:b w:val="false"/>
          <w:sz w:val="20"/>
        </w:rPr>
      </w:pPr>
      <w:r>
        <w:rPr>
          <w:rFonts w:ascii="Arial;sans-serif" w:hAnsi="Arial;sans-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23" w:name="item_5_or_information"/>
      <w:bookmarkEnd w:id="23"/>
      <w:r>
        <w:rPr>
          <w:rFonts w:ascii="Arial;sans-serif" w:hAnsi="Arial;sans-serif"/>
          <w:b/>
          <w:sz w:val="20"/>
        </w:rPr>
        <w:t>Item 5. Other</w:t>
      </w:r>
      <w:r>
        <w:rPr>
          <w:rFonts w:ascii="Times New Roman" w:hAnsi="Times New Roman"/>
          <w:sz w:val="20"/>
        </w:rPr>
        <w:t xml:space="preserve"> </w:t>
      </w:r>
      <w:r>
        <w:rPr>
          <w:rFonts w:ascii="Arial;sans-serif" w:hAnsi="Arial;sans-serif"/>
          <w:b/>
          <w:sz w:val="20"/>
        </w:rPr>
        <w:t>Information.</w:t>
      </w:r>
    </w:p>
    <w:p>
      <w:pPr>
        <w:pStyle w:val="TextBody"/>
        <w:bidi w:val="0"/>
        <w:spacing w:before="240" w:after="0"/>
        <w:jc w:val="left"/>
        <w:rPr>
          <w:rFonts w:ascii="Times New Roman" w:hAnsi="Times New Roman"/>
          <w:sz w:val="20"/>
        </w:rPr>
      </w:pPr>
      <w:r>
        <w:rPr>
          <w:rFonts w:ascii="Arial;sans-serif" w:hAnsi="Arial;sans-serif"/>
          <w:b/>
          <w:sz w:val="20"/>
        </w:rPr>
        <w:t>Insider Trading Relationships and Policies</w:t>
      </w:r>
      <w:r>
        <w:rPr>
          <w:rFonts w:ascii="Times New Roman" w:hAnsi="Times New Roman"/>
          <w:sz w:val="20"/>
        </w:rPr>
        <w:t xml:space="preserve"> </w:t>
      </w:r>
    </w:p>
    <w:p>
      <w:pPr>
        <w:pStyle w:val="TextBody"/>
        <w:bidi w:val="0"/>
        <w:spacing w:before="120" w:after="0"/>
        <w:jc w:val="left"/>
        <w:rPr>
          <w:rFonts w:ascii="Arial;sans-serif" w:hAnsi="Arial;sans-serif"/>
          <w:b w:val="false"/>
          <w:sz w:val="20"/>
        </w:rPr>
      </w:pPr>
      <w:r>
        <w:rPr>
          <w:rFonts w:ascii="Arial;sans-serif" w:hAnsi="Arial;sans-serif"/>
          <w:b w:val="false"/>
          <w:sz w:val="20"/>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pStyle w:val="TextBody"/>
        <w:bidi w:val="0"/>
        <w:spacing w:before="120" w:after="0"/>
        <w:jc w:val="left"/>
        <w:rPr/>
      </w:pPr>
      <w:r>
        <w:rPr/>
        <w:t> </w:t>
      </w:r>
    </w:p>
    <w:p>
      <w:pPr>
        <w:pStyle w:val="TextBody"/>
        <w:bidi w:val="0"/>
        <w:spacing w:before="360" w:after="0"/>
        <w:jc w:val="left"/>
        <w:rPr>
          <w:rFonts w:ascii="Arial;sans-serif" w:hAnsi="Arial;sans-serif"/>
          <w:b/>
          <w:sz w:val="20"/>
        </w:rPr>
      </w:pPr>
      <w:bookmarkStart w:id="24" w:name="item_6_exhibits"/>
      <w:bookmarkEnd w:id="24"/>
      <w:r>
        <w:rPr>
          <w:rFonts w:ascii="Arial;sans-serif" w:hAnsi="Arial;sans-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Exhibit</w:t>
            </w:r>
          </w:p>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08"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Description</w:t>
            </w:r>
          </w:p>
        </w:tc>
      </w:tr>
      <w:tr>
        <w:trPr/>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19.1*</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hyperlink w:anchor="psn-ex19_1.htm">
              <w:r>
                <w:rPr>
                  <w:rStyle w:val="InternetLink"/>
                  <w:rFonts w:ascii="Arial;sans-serif" w:hAnsi="Arial;sans-serif"/>
                  <w:b w:val="false"/>
                  <w:sz w:val="20"/>
                  <w:u w:val="single"/>
                </w:rPr>
                <w:t>Parsons Corporation Insider Trading Compliance Policy</w:t>
              </w:r>
            </w:hyperlink>
          </w:p>
        </w:tc>
      </w:tr>
      <w:tr>
        <w:trPr/>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08" w:type="dxa"/>
            <w:tcBorders/>
            <w:vAlign w:val="center"/>
          </w:tcPr>
          <w:p>
            <w:pPr>
              <w:pStyle w:val="TableContents"/>
              <w:bidi w:val="0"/>
              <w:spacing w:before="0" w:after="0"/>
              <w:ind w:left="0" w:right="0" w:hanging="0"/>
              <w:jc w:val="left"/>
              <w:rPr/>
            </w:pPr>
            <w:hyperlink w:anchor="psn-ex31_1.htm">
              <w:r>
                <w:rPr>
                  <w:rStyle w:val="InternetLink"/>
                  <w:rFonts w:ascii="Arial;sans-serif" w:hAnsi="Arial;sans-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08" w:type="dxa"/>
            <w:tcBorders/>
            <w:vAlign w:val="center"/>
          </w:tcPr>
          <w:p>
            <w:pPr>
              <w:pStyle w:val="TableContents"/>
              <w:bidi w:val="0"/>
              <w:spacing w:before="0" w:after="0"/>
              <w:ind w:left="0" w:right="0" w:hanging="0"/>
              <w:jc w:val="left"/>
              <w:rPr/>
            </w:pPr>
            <w:hyperlink w:anchor="psn-ex31_2.htm">
              <w:r>
                <w:rPr>
                  <w:rStyle w:val="InternetLink"/>
                  <w:rFonts w:ascii="Arial;sans-serif" w:hAnsi="Arial;sans-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32.1*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08" w:type="dxa"/>
            <w:tcBorders/>
            <w:vAlign w:val="center"/>
          </w:tcPr>
          <w:p>
            <w:pPr>
              <w:pStyle w:val="TableContents"/>
              <w:bidi w:val="0"/>
              <w:spacing w:before="0" w:after="0"/>
              <w:ind w:left="0" w:right="0" w:hanging="0"/>
              <w:jc w:val="left"/>
              <w:rPr/>
            </w:pPr>
            <w:hyperlink w:anchor="psn-ex32_1.htm">
              <w:r>
                <w:rPr>
                  <w:rStyle w:val="InternetLink"/>
                  <w:rFonts w:ascii="Arial;sans-serif" w:hAnsi="Arial;sans-serif"/>
                  <w:b w:val="false"/>
                  <w:sz w:val="20"/>
                  <w:u w:val="single"/>
                </w:rPr>
                <w:t>Certification of Principal Executive Officer Pursuant to 18 U.S.C. Section 1350, as Adopted Pursuant to Section 906 of the Sarbanes-Oxley Act of 2002.</w:t>
              </w:r>
            </w:hyperlink>
          </w:p>
        </w:tc>
      </w:tr>
      <w:tr>
        <w:trPr/>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08" w:type="dxa"/>
            <w:tcBorders/>
            <w:vAlign w:val="center"/>
          </w:tcPr>
          <w:p>
            <w:pPr>
              <w:pStyle w:val="TableContents"/>
              <w:bidi w:val="0"/>
              <w:spacing w:before="0" w:after="0"/>
              <w:ind w:left="0" w:right="0" w:hanging="0"/>
              <w:jc w:val="left"/>
              <w:rPr/>
            </w:pPr>
            <w:hyperlink w:anchor="psn-ex32_2.htm">
              <w:r>
                <w:rPr>
                  <w:rStyle w:val="InternetLink"/>
                  <w:rFonts w:ascii="Arial;sans-serif" w:hAnsi="Arial;sans-serif"/>
                  <w:b w:val="false"/>
                  <w:sz w:val="20"/>
                  <w:u w:val="single"/>
                </w:rPr>
                <w:t>Certification of Principal Financial Officer Pursuant to 18 U.S.C. Section 1350, as Adopted Pursuant to Section 906 of the Sarbanes-Oxley Act of 2002.</w:t>
              </w:r>
            </w:hyperlink>
          </w:p>
        </w:tc>
      </w:tr>
      <w:tr>
        <w:trPr/>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3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The following financial statements from the Company’s Quarterly Report on Form 10-Q for the quarter ended June 30, 2023,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tc>
      </w:tr>
      <w:tr>
        <w:trPr/>
        <w:tc>
          <w:tcPr>
            <w:tcW w:w="7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pPr>
            <w:r>
              <w:rPr/>
              <w:t> </w:t>
            </w:r>
          </w:p>
        </w:tc>
      </w:tr>
      <w:tr>
        <w:trPr/>
        <w:tc>
          <w:tcPr>
            <w:tcW w:w="751"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308"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(formatted as inline XBRL with applicable taxonomy extension information contained in Exhibits 101).</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Arial;sans-serif" w:hAnsi="Arial;sans-serif"/>
          <w:b w:val="false"/>
          <w:sz w:val="20"/>
        </w:rPr>
      </w:pPr>
      <w:r>
        <w:rPr>
          <w:rFonts w:ascii="Arial;sans-serif" w:hAnsi="Arial;sans-serif"/>
          <w:b w:val="false"/>
          <w:sz w:val="20"/>
        </w:rPr>
        <w:t>* Filed herewith.</w:t>
      </w:r>
    </w:p>
    <w:p>
      <w:pPr>
        <w:pStyle w:val="TextBody"/>
        <w:bidi w:val="0"/>
        <w:spacing w:before="240" w:after="0"/>
        <w:jc w:val="center"/>
        <w:rPr>
          <w:rFonts w:ascii="Arial;sans-serif" w:hAnsi="Arial;sans-serif"/>
          <w:b w:val="false"/>
          <w:sz w:val="20"/>
        </w:rPr>
      </w:pPr>
      <w:r>
        <w:rPr>
          <w:rFonts w:ascii="Arial;sans-serif" w:hAnsi="Arial;sans-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20"/>
        </w:rPr>
      </w:pPr>
      <w:bookmarkStart w:id="25" w:name="signatures"/>
      <w:bookmarkEnd w:id="25"/>
      <w:r>
        <w:rPr>
          <w:rFonts w:ascii="Arial;sans-serif" w:hAnsi="Arial;sans-serif"/>
          <w:b/>
          <w:sz w:val="20"/>
        </w:rPr>
        <w:t>SIGNATURES</w:t>
      </w:r>
    </w:p>
    <w:p>
      <w:pPr>
        <w:pStyle w:val="TextBody"/>
        <w:bidi w:val="0"/>
        <w:spacing w:before="240" w:after="0"/>
        <w:jc w:val="left"/>
        <w:rPr>
          <w:rFonts w:ascii="Arial;sans-serif" w:hAnsi="Arial;sans-serif"/>
          <w:b w:val="false"/>
          <w:sz w:val="20"/>
        </w:rPr>
      </w:pPr>
      <w:r>
        <w:rPr>
          <w:rFonts w:ascii="Arial;sans-serif" w:hAnsi="Arial;sans-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4878" w:type="dxa"/>
        <w:jc w:val="left"/>
        <w:tblInd w:w="0" w:type="dxa"/>
        <w:tblLayout w:type="fixed"/>
        <w:tblCellMar>
          <w:top w:w="28" w:type="dxa"/>
          <w:left w:w="28" w:type="dxa"/>
          <w:bottom w:w="28" w:type="dxa"/>
          <w:right w:w="28" w:type="dxa"/>
        </w:tblCellMar>
      </w:tblPr>
      <w:tblGrid>
        <w:gridCol w:w="1966"/>
        <w:gridCol w:w="406"/>
        <w:gridCol w:w="2506"/>
      </w:tblGrid>
      <w:tr>
        <w:trPr/>
        <w:tc>
          <w:tcPr>
            <w:tcW w:w="19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2912" w:type="dxa"/>
            <w:gridSpan w:val="2"/>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Parsons Corporation</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2, 2023</w:t>
            </w:r>
          </w:p>
        </w:tc>
        <w:tc>
          <w:tcPr>
            <w:tcW w:w="4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25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/s/ Matthew M. Ofilos</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40" w:after="0"/>
              <w:ind w:left="0" w:right="0" w:hanging="0"/>
              <w:jc w:val="center"/>
              <w:rPr>
                <w:rFonts w:ascii="Arial;sans-serif" w:hAnsi="Arial;sans-serif"/>
                <w:b w:val="false"/>
                <w:sz w:val="20"/>
              </w:rPr>
            </w:pPr>
            <w:r>
              <w:rPr>
                <w:rFonts w:ascii="Arial;sans-serif" w:hAnsi="Arial;sans-serif"/>
                <w:b w:val="false"/>
                <w:sz w:val="20"/>
              </w:rPr>
              <w:t>Matthew M. Ofilos</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Chief Financial Officer</w:t>
            </w:r>
          </w:p>
        </w:tc>
      </w:tr>
      <w:tr>
        <w:trPr/>
        <w:tc>
          <w:tcPr>
            <w:tcW w:w="19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(Principal Financial Officer)</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20"/>
        </w:rPr>
      </w:pPr>
      <w:r>
        <w:rPr>
          <w:rFonts w:ascii="Arial;sans-serif" w:hAnsi="Arial;sans-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val="false"/>
          <w:sz w:val="24"/>
        </w:rPr>
      </w:pPr>
      <w:bookmarkStart w:id="26" w:name="psn-ex19_1.htm"/>
      <w:bookmarkStart w:id="27" w:name="kspsnex19_1"/>
      <w:bookmarkEnd w:id="26"/>
      <w:bookmarkEnd w:id="27"/>
      <w:r>
        <w:rPr>
          <w:rFonts w:ascii="Times New Roman;serif" w:hAnsi="Times New Roman;serif"/>
          <w:b w:val="false"/>
          <w:sz w:val="24"/>
        </w:rPr>
        <w:t>Exhibit 19.1</w:t>
      </w:r>
      <w:r>
        <w:br w:type="page"/>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0" w:after="0"/>
        <w:jc w:val="left"/>
        <w:rPr/>
      </w:pPr>
      <w:r>
        <w:rPr/>
        <w:t> </w:t>
      </w:r>
    </w:p>
    <w:p>
      <w:pPr>
        <w:pStyle w:val="TextBody"/>
        <w:bidi w:val="0"/>
        <w:spacing w:before="120" w:after="120"/>
        <w:jc w:val="center"/>
        <w:rPr>
          <w:rFonts w:ascii="Times New Roman;serif" w:hAnsi="Times New Roman;serif"/>
          <w:b/>
          <w:caps/>
          <w:sz w:val="24"/>
        </w:rPr>
      </w:pPr>
      <w:r>
        <w:rPr>
          <w:rFonts w:ascii="Times New Roman;serif" w:hAnsi="Times New Roman;serif"/>
          <w:b/>
          <w:caps/>
          <w:sz w:val="24"/>
        </w:rPr>
        <w:t>Parsons Corporation</w:t>
        <w:br/>
        <w:t>INSIDER TRADING compliance POLICY</w:t>
      </w:r>
    </w:p>
    <w:p>
      <w:pPr>
        <w:pStyle w:val="TextBody"/>
        <w:bidi w:val="0"/>
        <w:spacing w:before="120" w:after="120"/>
        <w:jc w:val="left"/>
        <w:rPr/>
      </w:pPr>
      <w:r>
        <w:rPr/>
        <w:t> </w:t>
      </w:r>
    </w:p>
    <w:p>
      <w:pPr>
        <w:pStyle w:val="TextBody"/>
        <w:bidi w:val="0"/>
        <w:spacing w:before="0" w:after="240"/>
        <w:jc w:val="center"/>
        <w:rPr>
          <w:rFonts w:ascii="Times New Roman;serif" w:hAnsi="Times New Roman;serif"/>
          <w:b/>
          <w:smallCaps/>
          <w:sz w:val="24"/>
        </w:rPr>
      </w:pPr>
      <w:r>
        <w:rPr>
          <w:rFonts w:ascii="Times New Roman;serif" w:hAnsi="Times New Roman;serif"/>
          <w:b/>
          <w:smallCaps/>
          <w:sz w:val="24"/>
        </w:rPr>
        <w:t>CONTENTS</w:t>
      </w:r>
    </w:p>
    <w:p>
      <w:pPr>
        <w:pStyle w:val="TextBody"/>
        <w:bidi w:val="0"/>
        <w:spacing w:before="0" w:after="220"/>
        <w:jc w:val="both"/>
        <w:rPr>
          <w:rFonts w:ascii="Times New Roman;serif" w:hAnsi="Times New Roman;serif"/>
          <w:b/>
          <w:sz w:val="22"/>
        </w:rPr>
      </w:pPr>
      <w:r>
        <w:rPr>
          <w:rFonts w:ascii="Times New Roman;serif" w:hAnsi="Times New Roman;serif"/>
          <w:b/>
          <w:sz w:val="22"/>
        </w:rPr>
        <w:t>Page</w:t>
      </w:r>
    </w:p>
    <w:tbl>
      <w:tblPr>
        <w:tblW w:w="9093" w:type="dxa"/>
        <w:jc w:val="left"/>
        <w:tblInd w:w="0" w:type="dxa"/>
        <w:tblLayout w:type="fixed"/>
        <w:tblCellMar>
          <w:top w:w="28" w:type="dxa"/>
          <w:left w:w="28" w:type="dxa"/>
          <w:bottom w:w="28" w:type="dxa"/>
          <w:right w:w="28" w:type="dxa"/>
        </w:tblCellMar>
      </w:tblPr>
      <w:tblGrid>
        <w:gridCol w:w="511"/>
        <w:gridCol w:w="7471"/>
        <w:gridCol w:w="1111"/>
      </w:tblGrid>
      <w:tr>
        <w:trPr/>
        <w:tc>
          <w:tcPr>
            <w:tcW w:w="511"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11" w:type="dxa"/>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I.</w:t>
            </w:r>
          </w:p>
        </w:tc>
        <w:tc>
          <w:tcPr>
            <w:tcW w:w="7471" w:type="dxa"/>
            <w:tcBorders/>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SUMMARY</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1</w:t>
            </w:r>
          </w:p>
        </w:tc>
      </w:tr>
      <w:tr>
        <w:trPr/>
        <w:tc>
          <w:tcPr>
            <w:tcW w:w="511" w:type="dxa"/>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II.</w:t>
            </w:r>
          </w:p>
        </w:tc>
        <w:tc>
          <w:tcPr>
            <w:tcW w:w="7471" w:type="dxa"/>
            <w:tcBorders/>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STATEMENT OF POLICIES PROHIBITING INSIDER TRADING</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1</w:t>
            </w:r>
          </w:p>
        </w:tc>
      </w:tr>
      <w:tr>
        <w:trPr/>
        <w:tc>
          <w:tcPr>
            <w:tcW w:w="511" w:type="dxa"/>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III.</w:t>
            </w:r>
          </w:p>
        </w:tc>
        <w:tc>
          <w:tcPr>
            <w:tcW w:w="7471" w:type="dxa"/>
            <w:tcBorders/>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EXPLANATION OF INSIDER TRADING</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2</w:t>
            </w:r>
          </w:p>
        </w:tc>
      </w:tr>
      <w:tr>
        <w:trPr/>
        <w:tc>
          <w:tcPr>
            <w:tcW w:w="511" w:type="dxa"/>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IV.</w:t>
            </w:r>
          </w:p>
        </w:tc>
        <w:tc>
          <w:tcPr>
            <w:tcW w:w="7471" w:type="dxa"/>
            <w:tcBorders/>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STATEMENT OF PROCEDURES PREVENTING INSIDER TRADING</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7</w:t>
            </w:r>
          </w:p>
        </w:tc>
      </w:tr>
      <w:tr>
        <w:trPr/>
        <w:tc>
          <w:tcPr>
            <w:tcW w:w="511" w:type="dxa"/>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V.</w:t>
            </w:r>
          </w:p>
        </w:tc>
        <w:tc>
          <w:tcPr>
            <w:tcW w:w="7471" w:type="dxa"/>
            <w:tcBorders/>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ADDITIONAL PROHIBITED TRANSACTIONS</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10</w:t>
            </w:r>
          </w:p>
        </w:tc>
      </w:tr>
      <w:tr>
        <w:trPr/>
        <w:tc>
          <w:tcPr>
            <w:tcW w:w="511" w:type="dxa"/>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VI.</w:t>
            </w:r>
          </w:p>
        </w:tc>
        <w:tc>
          <w:tcPr>
            <w:tcW w:w="7471" w:type="dxa"/>
            <w:tcBorders/>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RULE 10b5-1 TRADING PLANS, SECTION 16 AND RULE 144</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12</w:t>
            </w:r>
          </w:p>
        </w:tc>
      </w:tr>
      <w:tr>
        <w:trPr/>
        <w:tc>
          <w:tcPr>
            <w:tcW w:w="511" w:type="dxa"/>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VII.</w:t>
            </w:r>
          </w:p>
        </w:tc>
        <w:tc>
          <w:tcPr>
            <w:tcW w:w="7471" w:type="dxa"/>
            <w:tcBorders/>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EXECUTION AND RETURN OF CERTIFICATION OF COMPLIANCE</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18</w:t>
            </w:r>
          </w:p>
        </w:tc>
      </w:tr>
      <w:tr>
        <w:trPr/>
        <w:tc>
          <w:tcPr>
            <w:tcW w:w="9093" w:type="dxa"/>
            <w:gridSpan w:val="3"/>
            <w:tcBorders/>
            <w:vAlign w:val="center"/>
          </w:tcPr>
          <w:p>
            <w:pPr>
              <w:pStyle w:val="TableContents"/>
              <w:pBdr/>
              <w:bidi w:val="0"/>
              <w:spacing w:before="0" w:after="240"/>
              <w:ind w:left="0" w:right="0" w:firstLine="720"/>
              <w:jc w:val="left"/>
              <w:rPr>
                <w:rFonts w:ascii="Times New Roman;serif" w:hAnsi="Times New Roman;serif"/>
                <w:b w:val="false"/>
                <w:sz w:val="24"/>
              </w:rPr>
            </w:pPr>
            <w:r>
              <w:rPr>
                <w:rFonts w:ascii="Times New Roman;serif" w:hAnsi="Times New Roman;serif"/>
                <w:b w:val="false"/>
                <w:sz w:val="24"/>
              </w:rPr>
              <w:t>ATTACHMENT A</w:t>
            </w:r>
          </w:p>
        </w:tc>
      </w:tr>
      <w:tr>
        <w:trPr/>
        <w:tc>
          <w:tcPr>
            <w:tcW w:w="7982" w:type="dxa"/>
            <w:gridSpan w:val="2"/>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SHORT-SWING PROFIT RULE SECTION 16(B) CHECKLIST</w:t>
            </w:r>
          </w:p>
        </w:tc>
        <w:tc>
          <w:tcPr>
            <w:tcW w:w="1111" w:type="dxa"/>
            <w:tcBorders/>
            <w:vAlign w:val="center"/>
          </w:tcPr>
          <w:p>
            <w:pPr>
              <w:pStyle w:val="TableContents"/>
              <w:bidi w:val="0"/>
              <w:spacing w:before="0" w:after="240"/>
              <w:ind w:left="0" w:right="0" w:firstLine="720"/>
              <w:jc w:val="right"/>
              <w:rPr>
                <w:rFonts w:ascii="Times New Roman;serif" w:hAnsi="Times New Roman;serif"/>
                <w:b w:val="false"/>
                <w:sz w:val="24"/>
              </w:rPr>
            </w:pPr>
            <w:r>
              <w:rPr>
                <w:rFonts w:ascii="Times New Roman;serif" w:hAnsi="Times New Roman;serif"/>
                <w:b w:val="false"/>
                <w:sz w:val="24"/>
              </w:rPr>
              <w:t>21</w:t>
            </w:r>
          </w:p>
        </w:tc>
      </w:tr>
      <w:tr>
        <w:trPr/>
        <w:tc>
          <w:tcPr>
            <w:tcW w:w="9093" w:type="dxa"/>
            <w:gridSpan w:val="3"/>
            <w:tcBorders/>
            <w:vAlign w:val="center"/>
          </w:tcPr>
          <w:p>
            <w:pPr>
              <w:pStyle w:val="TableContents"/>
              <w:pBdr/>
              <w:bidi w:val="0"/>
              <w:spacing w:before="0" w:after="240"/>
              <w:ind w:left="0" w:right="0" w:firstLine="720"/>
              <w:jc w:val="left"/>
              <w:rPr>
                <w:rFonts w:ascii="Times New Roman;serif" w:hAnsi="Times New Roman;serif"/>
                <w:b w:val="false"/>
                <w:sz w:val="24"/>
              </w:rPr>
            </w:pPr>
            <w:r>
              <w:rPr>
                <w:rFonts w:ascii="Times New Roman;serif" w:hAnsi="Times New Roman;serif"/>
                <w:b w:val="false"/>
                <w:sz w:val="24"/>
              </w:rPr>
              <w:t>ATTACHMENT B</w:t>
            </w:r>
          </w:p>
        </w:tc>
      </w:tr>
      <w:tr>
        <w:trPr/>
        <w:tc>
          <w:tcPr>
            <w:tcW w:w="7982" w:type="dxa"/>
            <w:gridSpan w:val="2"/>
            <w:tcBorders/>
            <w:vAlign w:val="center"/>
          </w:tcPr>
          <w:p>
            <w:pPr>
              <w:pStyle w:val="TableContents"/>
              <w:pBdr/>
              <w:bidi w:val="0"/>
              <w:spacing w:before="0" w:after="240"/>
              <w:ind w:left="0" w:right="0" w:hanging="720"/>
              <w:jc w:val="left"/>
              <w:rPr>
                <w:rFonts w:ascii="Times New Roman;serif" w:hAnsi="Times New Roman;serif"/>
                <w:b w:val="false"/>
                <w:sz w:val="24"/>
              </w:rPr>
            </w:pPr>
            <w:r>
              <w:rPr>
                <w:rFonts w:ascii="Times New Roman;serif" w:hAnsi="Times New Roman;serif"/>
                <w:b w:val="false"/>
                <w:sz w:val="24"/>
              </w:rPr>
              <w:t>CERTIFICATION OF COMPLIANCE</w:t>
            </w:r>
          </w:p>
        </w:tc>
        <w:tc>
          <w:tcPr>
            <w:tcW w:w="1111" w:type="dxa"/>
            <w:tcBorders/>
            <w:vAlign w:val="center"/>
          </w:tcPr>
          <w:p>
            <w:pPr>
              <w:pStyle w:val="TableContents"/>
              <w:bidi w:val="0"/>
              <w:spacing w:before="0" w:after="240"/>
              <w:ind w:left="0" w:right="0" w:hanging="0"/>
              <w:jc w:val="right"/>
              <w:rPr>
                <w:rFonts w:ascii="Times New Roman;serif" w:hAnsi="Times New Roman;serif"/>
                <w:b w:val="false"/>
                <w:sz w:val="24"/>
              </w:rPr>
            </w:pPr>
            <w:r>
              <w:rPr>
                <w:rFonts w:ascii="Times New Roman;serif" w:hAnsi="Times New Roman;serif"/>
                <w:b w:val="false"/>
                <w:sz w:val="24"/>
              </w:rPr>
              <w:t>22</w:t>
            </w:r>
          </w:p>
        </w:tc>
      </w:tr>
    </w:tbl>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120" w:after="12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i</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center"/>
        <w:rPr>
          <w:rFonts w:ascii="Times New Roman;serif" w:hAnsi="Times New Roman;serif"/>
          <w:b/>
          <w:caps/>
          <w:sz w:val="24"/>
        </w:rPr>
      </w:pPr>
      <w:r>
        <w:rPr>
          <w:rFonts w:ascii="Times New Roman;serif" w:hAnsi="Times New Roman;serif"/>
          <w:b/>
          <w:caps/>
          <w:sz w:val="24"/>
        </w:rPr>
        <w:t>Parsons corporation</w:t>
        <w:br/>
        <w:t>INSIDER TRADING compliance POLICY</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I. </w:t>
      </w:r>
      <w:r>
        <w:rPr>
          <w:rFonts w:ascii="Times New Roman;serif" w:hAnsi="Times New Roman;serif"/>
          <w:b w:val="false"/>
          <w:caps/>
          <w:sz w:val="24"/>
          <w:u w:val="single"/>
        </w:rPr>
        <w:t>SUMMARY</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Preventing insider trading is necessary to comply with securities laws and to preserve the reputation and integrity of Parsons Corporation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criminal fines of up to $5 million for individuals and $25 million for corporations. Insider trading is also prohibited by this Insider Trading Compliance Policy (this “Policy”), and violation of this Policy may result in Company-imposed sanctions, including removal or dismissal for cause.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Chief Legal Officer.</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II. </w:t>
      </w:r>
      <w:r>
        <w:rPr>
          <w:rFonts w:ascii="Times New Roman;serif" w:hAnsi="Times New Roman;serif"/>
          <w:b w:val="false"/>
          <w:caps/>
          <w:sz w:val="24"/>
          <w:u w:val="single"/>
        </w:rPr>
        <w:t>STATEMENT OF POLICIES PROHIBITING INSIDER TRADING</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No officer, director or employee shall purchase or sell any type of security while in possession of material, non-public information relating to the security, whether the issuer of such security is the Company or any other company.</w:t>
      </w:r>
    </w:p>
    <w:p>
      <w:pPr>
        <w:pStyle w:val="TextBody"/>
        <w:bidi w:val="0"/>
        <w:spacing w:before="120" w:after="120"/>
        <w:jc w:val="left"/>
        <w:rPr>
          <w:rFonts w:ascii="Times New Roman" w:hAnsi="Times New Roman"/>
          <w:sz w:val="20"/>
        </w:rPr>
      </w:pPr>
      <w:r>
        <w:rPr>
          <w:rFonts w:ascii="Times New Roman;serif" w:hAnsi="Times New Roman;serif"/>
          <w:b/>
          <w:sz w:val="24"/>
        </w:rPr>
        <w:t>Additionally, no officer, director or employee shall purchase or sell any security of the Company during the period beginning on the 14</w:t>
      </w:r>
      <w:r>
        <w:rPr>
          <w:rFonts w:ascii="Times New Roman;serif" w:hAnsi="Times New Roman;serif"/>
          <w:b/>
          <w:sz w:val="16"/>
        </w:rPr>
        <w:t>th</w:t>
      </w:r>
      <w:r>
        <w:rPr>
          <w:rFonts w:ascii="Times New Roman" w:hAnsi="Times New Roman"/>
          <w:sz w:val="20"/>
        </w:rPr>
        <w:t xml:space="preserve"> </w:t>
      </w:r>
      <w:r>
        <w:rPr>
          <w:rFonts w:ascii="Times New Roman;serif" w:hAnsi="Times New Roman;serif"/>
          <w:b/>
          <w:sz w:val="24"/>
        </w:rPr>
        <w:t>calendar day before the end of any fiscal quarter of the Company and ending upon completion of the second full trading day</w:t>
      </w:r>
      <w:r>
        <w:rPr>
          <w:rFonts w:ascii="Times New Roman" w:hAnsi="Times New Roman"/>
          <w:sz w:val="20"/>
        </w:rPr>
        <w:t xml:space="preserve"> </w:t>
      </w:r>
      <w:r>
        <w:rPr>
          <w:rFonts w:ascii="Times New Roman;serif" w:hAnsi="Times New Roman;serif"/>
          <w:b/>
          <w:sz w:val="24"/>
        </w:rPr>
        <w:t>after the public release of earnings data for such fiscal quarter or during any other trading suspension period declared by the Company. For purposes of this Policy, the term “security” of the Company includes both (i) the security traded on the NYSE as “PSN” and (ii) the .25% Convertible Senior Notes due in 2025.</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These prohibitions do not apply to:</w:t>
      </w:r>
    </w:p>
    <w:p>
      <w:pPr>
        <w:pStyle w:val="TextBody"/>
        <w:bidi w:val="0"/>
        <w:spacing w:before="120" w:after="120"/>
        <w:jc w:val="left"/>
        <w:rPr/>
      </w:pPr>
      <w:r>
        <w:rPr/>
        <w:t xml:space="preserve"> </w:t>
      </w:r>
      <w:r>
        <w:rPr>
          <w:rFonts w:ascii="Times New Roman;serif" w:hAnsi="Times New Roman;serif"/>
          <w:b w:val="false"/>
          <w:sz w:val="24"/>
        </w:rPr>
        <w:t>purchases of the Company’s securities from the Company or sales of the Company’s securities to the Company;</w:t>
      </w:r>
    </w:p>
    <w:p>
      <w:pPr>
        <w:pStyle w:val="TextBody"/>
        <w:bidi w:val="0"/>
        <w:spacing w:before="120" w:after="120"/>
        <w:jc w:val="left"/>
        <w:rPr/>
      </w:pPr>
      <w:r>
        <w:rPr/>
        <w:t xml:space="preserve"> </w:t>
      </w:r>
      <w:r>
        <w:rPr>
          <w:rFonts w:ascii="Times New Roman;serif" w:hAnsi="Times New Roman;serif"/>
          <w:b w:val="false"/>
          <w:sz w:val="24"/>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stock option through a broker </w:t>
      </w:r>
      <w:r>
        <w:rPr>
          <w:rFonts w:ascii="Times New Roman;serif" w:hAnsi="Times New Roman;serif"/>
          <w:b w:val="false"/>
          <w:sz w:val="24"/>
          <w:u w:val="single"/>
        </w:rPr>
        <w:t>does</w:t>
      </w:r>
      <w:r>
        <w:rPr>
          <w:rFonts w:ascii="Times New Roman" w:hAnsi="Times New Roman"/>
          <w:sz w:val="20"/>
        </w:rPr>
        <w:t xml:space="preserve"> </w:t>
      </w:r>
      <w:r>
        <w:rPr>
          <w:rFonts w:ascii="Times New Roman;serif" w:hAnsi="Times New Roman;serif"/>
          <w:b w:val="false"/>
          <w:sz w:val="24"/>
        </w:rPr>
        <w:t>involve a market sale of the Company’s securities, and therefore would not qualify under this exception);</w:t>
      </w:r>
      <w:r>
        <w:rPr>
          <w:rFonts w:ascii="Times New Roman" w:hAnsi="Times New Roman"/>
          <w:sz w:val="20"/>
        </w:rPr>
        <w:t xml:space="preserve"> </w:t>
      </w:r>
    </w:p>
    <w:p>
      <w:pPr>
        <w:pStyle w:val="TextBody"/>
        <w:bidi w:val="0"/>
        <w:spacing w:before="120" w:after="120"/>
        <w:jc w:val="left"/>
        <w:rPr/>
      </w:pPr>
      <w:r>
        <w:rPr/>
        <w:t xml:space="preserve"> </w:t>
      </w:r>
      <w:r>
        <w:rPr>
          <w:rFonts w:ascii="Times New Roman;serif" w:hAnsi="Times New Roman;serif"/>
          <w:b w:val="false"/>
          <w:i/>
          <w:sz w:val="24"/>
        </w:rPr>
        <w:t>bona fide</w:t>
      </w:r>
      <w:r>
        <w:rPr>
          <w:rFonts w:ascii="Times New Roman" w:hAnsi="Times New Roman"/>
          <w:sz w:val="20"/>
        </w:rPr>
        <w:t xml:space="preserve"> </w:t>
      </w:r>
      <w:r>
        <w:rPr>
          <w:rFonts w:ascii="Times New Roman;serif" w:hAnsi="Times New Roman;serif"/>
          <w:b w:val="false"/>
          <w:sz w:val="24"/>
        </w:rPr>
        <w:t>gifts of the Company’s securities; or</w:t>
      </w:r>
    </w:p>
    <w:p>
      <w:pPr>
        <w:pStyle w:val="TextBody"/>
        <w:bidi w:val="0"/>
        <w:spacing w:before="120" w:after="120"/>
        <w:jc w:val="left"/>
        <w:rPr/>
      </w:pPr>
      <w:r>
        <w:rPr/>
        <w:t xml:space="preserve"> </w:t>
      </w:r>
      <w:r>
        <w:rPr>
          <w:rFonts w:ascii="Times New Roman;serif" w:hAnsi="Times New Roman;serif"/>
          <w:b w:val="false"/>
          <w:sz w:val="24"/>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No officer, director or employee shall directly or indirectly communicate (or “tip”) material, non-public information to anyone outside the Company (except in accordance with the Company’s policies regarding the protection or authorized external disclosure of Company information) or to anyone within the Company other than on a need-to-know basis.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III. </w:t>
      </w:r>
      <w:r>
        <w:rPr>
          <w:rFonts w:ascii="Times New Roman;serif" w:hAnsi="Times New Roman;serif"/>
          <w:b w:val="false"/>
          <w:caps/>
          <w:sz w:val="24"/>
          <w:u w:val="single"/>
        </w:rPr>
        <w:t>EXPLANATION OF INSIDER TRADING</w:t>
      </w:r>
    </w:p>
    <w:p>
      <w:pPr>
        <w:pStyle w:val="TextBody"/>
        <w:bidi w:val="0"/>
        <w:spacing w:before="120" w:after="120"/>
        <w:jc w:val="left"/>
        <w:rPr/>
      </w:pPr>
      <w:r>
        <w:rPr/>
        <w:t>“</w:t>
      </w:r>
      <w:r>
        <w:rPr>
          <w:rFonts w:ascii="Times New Roman;serif" w:hAnsi="Times New Roman;serif"/>
          <w:b w:val="false"/>
          <w:i/>
          <w:sz w:val="24"/>
        </w:rPr>
        <w:t>Insider trading”</w:t>
      </w:r>
      <w:r>
        <w:rPr>
          <w:rFonts w:ascii="Times New Roman" w:hAnsi="Times New Roman"/>
          <w:sz w:val="20"/>
        </w:rPr>
        <w:t xml:space="preserve"> </w:t>
      </w:r>
      <w:r>
        <w:rPr>
          <w:rFonts w:ascii="Times New Roman;serif" w:hAnsi="Times New Roman;serif"/>
          <w:b w:val="false"/>
          <w:sz w:val="24"/>
        </w:rPr>
        <w:t>refers to the purchase or sale of a security while in possession of “material,” “non-public” information relating to the security.</w:t>
      </w:r>
    </w:p>
    <w:p>
      <w:pPr>
        <w:pStyle w:val="TextBody"/>
        <w:bidi w:val="0"/>
        <w:spacing w:before="120" w:after="120"/>
        <w:jc w:val="left"/>
        <w:rPr/>
      </w:pPr>
      <w:r>
        <w:rPr/>
        <w:t>“</w:t>
      </w:r>
      <w:r>
        <w:rPr>
          <w:rFonts w:ascii="Times New Roman;serif" w:hAnsi="Times New Roman;serif"/>
          <w:b w:val="false"/>
          <w:i/>
          <w:sz w:val="24"/>
        </w:rPr>
        <w:t>Securities”</w:t>
      </w:r>
      <w:r>
        <w:rPr>
          <w:rFonts w:ascii="Times New Roman" w:hAnsi="Times New Roman"/>
          <w:sz w:val="20"/>
        </w:rPr>
        <w:t xml:space="preserve"> </w:t>
      </w:r>
      <w:r>
        <w:rPr>
          <w:rFonts w:ascii="Times New Roman;serif" w:hAnsi="Times New Roman;serif"/>
          <w:b w:val="false"/>
          <w:sz w:val="24"/>
        </w:rPr>
        <w:t>includes stocks, bonds, notes, debentures, options, warrants and other convertible securities, as well as derivative instruments.</w:t>
      </w:r>
    </w:p>
    <w:p>
      <w:pPr>
        <w:pStyle w:val="TextBody"/>
        <w:bidi w:val="0"/>
        <w:spacing w:before="120" w:after="120"/>
        <w:jc w:val="left"/>
        <w:rPr/>
      </w:pPr>
      <w:r>
        <w:rPr/>
        <w:t>“</w:t>
      </w:r>
      <w:r>
        <w:rPr>
          <w:rFonts w:ascii="Times New Roman;serif" w:hAnsi="Times New Roman;serif"/>
          <w:b w:val="false"/>
          <w:i/>
          <w:sz w:val="24"/>
        </w:rPr>
        <w:t>Purchase”</w:t>
      </w:r>
      <w:r>
        <w:rPr>
          <w:rFonts w:ascii="Times New Roman" w:hAnsi="Times New Roman"/>
          <w:sz w:val="20"/>
        </w:rPr>
        <w:t xml:space="preserve"> </w:t>
      </w:r>
      <w:r>
        <w:rPr>
          <w:rFonts w:ascii="Times New Roman;serif" w:hAnsi="Times New Roman;serif"/>
          <w:b w:val="false"/>
          <w:sz w:val="24"/>
        </w:rPr>
        <w:t xml:space="preserve">and </w:t>
      </w:r>
      <w:r>
        <w:rPr>
          <w:rFonts w:ascii="Times New Roman" w:hAnsi="Times New Roman"/>
          <w:sz w:val="20"/>
        </w:rPr>
        <w:t>“</w:t>
      </w:r>
      <w:r>
        <w:rPr>
          <w:rFonts w:ascii="Times New Roman;serif" w:hAnsi="Times New Roman;serif"/>
          <w:b w:val="false"/>
          <w:i/>
          <w:sz w:val="24"/>
        </w:rPr>
        <w:t>sale”</w:t>
      </w:r>
      <w:r>
        <w:rPr>
          <w:rFonts w:ascii="Times New Roman" w:hAnsi="Times New Roman"/>
          <w:sz w:val="20"/>
        </w:rPr>
        <w:t xml:space="preserve"> </w:t>
      </w:r>
      <w:r>
        <w:rPr>
          <w:rFonts w:ascii="Times New Roman;serif" w:hAnsi="Times New Roman;serif"/>
          <w:b w:val="false"/>
          <w:sz w:val="24"/>
        </w:rPr>
        <w:t xml:space="preserve">are defined broadly under the federal securities law. </w:t>
      </w:r>
      <w:r>
        <w:rPr>
          <w:rFonts w:ascii="Times New Roman" w:hAnsi="Times New Roman"/>
          <w:sz w:val="20"/>
        </w:rPr>
        <w:t>“</w:t>
      </w:r>
      <w:r>
        <w:rPr>
          <w:rFonts w:ascii="Times New Roman;serif" w:hAnsi="Times New Roman;serif"/>
          <w:b w:val="false"/>
          <w:i/>
          <w:sz w:val="24"/>
        </w:rPr>
        <w:t>Purchase”</w:t>
      </w:r>
      <w:r>
        <w:rPr>
          <w:rFonts w:ascii="Times New Roman" w:hAnsi="Times New Roman"/>
          <w:sz w:val="20"/>
        </w:rPr>
        <w:t xml:space="preserve"> </w:t>
      </w:r>
      <w:r>
        <w:rPr>
          <w:rFonts w:ascii="Times New Roman;serif" w:hAnsi="Times New Roman;serif"/>
          <w:b w:val="false"/>
          <w:sz w:val="24"/>
        </w:rPr>
        <w:t xml:space="preserve">includes not only the actual purchase of a security, but any contract to purchase or otherwise acquire a security. </w:t>
      </w:r>
      <w:r>
        <w:rPr>
          <w:rFonts w:ascii="Times New Roman" w:hAnsi="Times New Roman"/>
          <w:sz w:val="20"/>
        </w:rPr>
        <w:t>“</w:t>
      </w:r>
      <w:r>
        <w:rPr>
          <w:rFonts w:ascii="Times New Roman;serif" w:hAnsi="Times New Roman;serif"/>
          <w:b w:val="false"/>
          <w:i/>
          <w:sz w:val="24"/>
        </w:rPr>
        <w:t>Sale”</w:t>
      </w:r>
      <w:r>
        <w:rPr>
          <w:rFonts w:ascii="Times New Roman" w:hAnsi="Times New Roman"/>
          <w:sz w:val="20"/>
        </w:rPr>
        <w:t xml:space="preserve"> </w:t>
      </w:r>
      <w:r>
        <w:rPr>
          <w:rFonts w:ascii="Times New Roman;serif" w:hAnsi="Times New Roman;serif"/>
          <w:b w:val="false"/>
          <w:sz w:val="24"/>
        </w:rPr>
        <w:t>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It is generally understood that insider trading includes the following:</w:t>
      </w:r>
    </w:p>
    <w:p>
      <w:pPr>
        <w:pStyle w:val="TextBody"/>
        <w:bidi w:val="0"/>
        <w:spacing w:before="120" w:after="120"/>
        <w:jc w:val="left"/>
        <w:rPr/>
      </w:pPr>
      <w:r>
        <w:rPr/>
        <w:t xml:space="preserve"> </w:t>
      </w:r>
      <w:r>
        <w:rPr>
          <w:rFonts w:ascii="Times New Roman;serif" w:hAnsi="Times New Roman;serif"/>
          <w:b w:val="false"/>
          <w:sz w:val="24"/>
        </w:rPr>
        <w:t>Trading by insiders while in possession of material, non-public information;</w:t>
      </w:r>
    </w:p>
    <w:p>
      <w:pPr>
        <w:pStyle w:val="TextBody"/>
        <w:bidi w:val="0"/>
        <w:spacing w:before="120" w:after="120"/>
        <w:jc w:val="left"/>
        <w:rPr/>
      </w:pPr>
      <w:r>
        <w:rPr/>
        <w:t xml:space="preserve"> </w:t>
      </w:r>
      <w:r>
        <w:rPr>
          <w:rFonts w:ascii="Times New Roman;serif" w:hAnsi="Times New Roman;serif"/>
          <w:b w:val="false"/>
          <w:sz w:val="24"/>
        </w:rPr>
        <w:t>Trading by persons other than insiders while in possession of material, non-public information, if the information either was given in breach of an insider’s fiduciary duty to keep it confidential or was misappropriated; and</w:t>
      </w:r>
    </w:p>
    <w:p>
      <w:pPr>
        <w:pStyle w:val="TextBody"/>
        <w:bidi w:val="0"/>
        <w:spacing w:before="120" w:after="120"/>
        <w:jc w:val="left"/>
        <w:rPr/>
      </w:pPr>
      <w:r>
        <w:rPr/>
        <w:t xml:space="preserve"> </w:t>
      </w:r>
      <w:r>
        <w:rPr>
          <w:rFonts w:ascii="Times New Roman;serif" w:hAnsi="Times New Roman;serif"/>
          <w:b w:val="false"/>
          <w:sz w:val="24"/>
        </w:rPr>
        <w:t>Communicating or tipping material, non-public information to others, including recommending the purchase or sale of a security while in possession of such information.</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A. </w:t>
      </w:r>
      <w:r>
        <w:rPr>
          <w:rFonts w:ascii="Times New Roman;serif" w:hAnsi="Times New Roman;serif"/>
          <w:b w:val="false"/>
          <w:sz w:val="24"/>
          <w:u w:val="single"/>
        </w:rPr>
        <w:t>What Facts are Material?</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Examples of material information include (but are not limited to) information about dividends; corporate earnings or earnings forecasts; possible mergers, acquisitions, tender offers or dispositions; major new products or product developments; important business developments such as major contract awards or cancellations, trial results, developments regarding strategic collaborators or the status of regulatory submissions;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A good general rule of thumb: </w:t>
      </w:r>
      <w:r>
        <w:rPr>
          <w:rFonts w:ascii="Times New Roman;serif" w:hAnsi="Times New Roman;serif"/>
          <w:b/>
          <w:sz w:val="24"/>
        </w:rPr>
        <w:t>When in doubt, do not trade.</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 </w:t>
      </w:r>
      <w:r>
        <w:rPr>
          <w:rFonts w:ascii="Times New Roman;serif" w:hAnsi="Times New Roman;serif"/>
          <w:b w:val="false"/>
          <w:sz w:val="24"/>
          <w:u w:val="single"/>
        </w:rPr>
        <w:t>What is Non-public?</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serif" w:hAnsi="Times New Roman;serif"/>
          <w:b w:val="false"/>
          <w:sz w:val="24"/>
          <w:u w:val="single"/>
        </w:rPr>
        <w:t>Dow Jones</w:t>
      </w:r>
      <w:r>
        <w:rPr>
          <w:rFonts w:ascii="Times New Roman;serif" w:hAnsi="Times New Roman;serif"/>
          <w:b w:val="false"/>
          <w:sz w:val="24"/>
        </w:rPr>
        <w:t xml:space="preserve">, </w:t>
      </w:r>
      <w:r>
        <w:rPr>
          <w:rFonts w:ascii="Times New Roman;serif" w:hAnsi="Times New Roman;serif"/>
          <w:b w:val="false"/>
          <w:sz w:val="24"/>
          <w:u w:val="single"/>
        </w:rPr>
        <w:t>Business Wire</w:t>
      </w:r>
      <w:r>
        <w:rPr>
          <w:rFonts w:ascii="Times New Roman;serif" w:hAnsi="Times New Roman;serif"/>
          <w:b w:val="false"/>
          <w:sz w:val="24"/>
        </w:rPr>
        <w:t xml:space="preserve">, </w:t>
      </w:r>
      <w:r>
        <w:rPr>
          <w:rFonts w:ascii="Times New Roman;serif" w:hAnsi="Times New Roman;serif"/>
          <w:b w:val="false"/>
          <w:sz w:val="24"/>
          <w:u w:val="single"/>
        </w:rPr>
        <w:t>Reuters</w:t>
      </w:r>
      <w:r>
        <w:rPr>
          <w:rFonts w:ascii="Times New Roman;serif" w:hAnsi="Times New Roman;serif"/>
          <w:b w:val="false"/>
          <w:sz w:val="24"/>
        </w:rPr>
        <w:t xml:space="preserve">, </w:t>
      </w:r>
      <w:r>
        <w:rPr>
          <w:rFonts w:ascii="Times New Roman;serif" w:hAnsi="Times New Roman;serif"/>
          <w:b w:val="false"/>
          <w:sz w:val="24"/>
          <w:u w:val="single"/>
        </w:rPr>
        <w:t>The Wall Street Journal</w:t>
      </w:r>
      <w:r>
        <w:rPr>
          <w:rFonts w:ascii="Times New Roman;serif" w:hAnsi="Times New Roman;serif"/>
          <w:b w:val="false"/>
          <w:sz w:val="24"/>
        </w:rPr>
        <w:t xml:space="preserve">, </w:t>
      </w:r>
      <w:r>
        <w:rPr>
          <w:rFonts w:ascii="Times New Roman;serif" w:hAnsi="Times New Roman;serif"/>
          <w:b w:val="false"/>
          <w:sz w:val="24"/>
          <w:u w:val="single"/>
        </w:rPr>
        <w:t>Associated Press</w:t>
      </w:r>
      <w:r>
        <w:rPr>
          <w:rFonts w:ascii="Times New Roman;serif" w:hAnsi="Times New Roman;serif"/>
          <w:b w:val="false"/>
          <w:sz w:val="24"/>
        </w:rPr>
        <w:t xml:space="preserve">, or </w:t>
      </w:r>
      <w:r>
        <w:rPr>
          <w:rFonts w:ascii="Times New Roman;serif" w:hAnsi="Times New Roman;serif"/>
          <w:b w:val="false"/>
          <w:sz w:val="24"/>
          <w:u w:val="single"/>
        </w:rPr>
        <w:t>United Press International</w:t>
      </w:r>
      <w:r>
        <w:rPr>
          <w:rFonts w:ascii="Times New Roman;serif" w:hAnsi="Times New Roman;serif"/>
          <w:b w:val="false"/>
          <w:sz w:val="24"/>
        </w:rPr>
        <w:t>, a broadcast on widely available radio or television programs, publication in a widely available newspaper, magazine or news web site, a Regulation FD-compliant conference call, or public disclosure documents filed with the SEC that are available on the SEC’s web site.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C. </w:t>
      </w:r>
      <w:r>
        <w:rPr>
          <w:rFonts w:ascii="Times New Roman;serif" w:hAnsi="Times New Roman;serif"/>
          <w:b w:val="false"/>
          <w:sz w:val="24"/>
          <w:u w:val="single"/>
        </w:rPr>
        <w:t>Who is an Insider?</w:t>
      </w:r>
    </w:p>
    <w:p>
      <w:pPr>
        <w:pStyle w:val="TextBody"/>
        <w:bidi w:val="0"/>
        <w:spacing w:before="120" w:after="120"/>
        <w:jc w:val="left"/>
        <w:rPr/>
      </w:pPr>
      <w:r>
        <w:rPr/>
        <w:t>“</w:t>
      </w:r>
      <w:r>
        <w:rPr>
          <w:rFonts w:ascii="Times New Roman;serif" w:hAnsi="Times New Roman;serif"/>
          <w:b w:val="false"/>
          <w:sz w:val="24"/>
        </w:rPr>
        <w:t>Insiders” include officers, directors and employees of a company and anyone else who has material inside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Officers, directors and employees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disclosure of Company information) or to anyone within the Company other than on a need-to-know basis.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D. </w:t>
      </w:r>
      <w:r>
        <w:rPr>
          <w:rFonts w:ascii="Times New Roman;serif" w:hAnsi="Times New Roman;serif"/>
          <w:b w:val="false"/>
          <w:sz w:val="24"/>
          <w:u w:val="single"/>
        </w:rPr>
        <w:t>Trading by Persons Other than Insiders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E. </w:t>
      </w:r>
      <w:r>
        <w:rPr>
          <w:rFonts w:ascii="Times New Roman;serif" w:hAnsi="Times New Roman;serif"/>
          <w:b w:val="false"/>
          <w:sz w:val="24"/>
          <w:u w:val="single"/>
        </w:rPr>
        <w:t>Penalties for Engaging in Insider Trading</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Penalties for trading on or tipping material, non-public information can extend significantly beyond any profits made or losses avoided, both for individuals engaging in such unlawful conduct and their employers. The Securities and Exchange Commission (“SEC”) and Department of Justice have made the civil and criminal prosecution of insider trading violations a top priority. Enforcement remedies available to the government or private plaintiffs under the federal securities laws include:</w:t>
      </w:r>
    </w:p>
    <w:p>
      <w:pPr>
        <w:pStyle w:val="TextBody"/>
        <w:bidi w:val="0"/>
        <w:spacing w:before="120" w:after="120"/>
        <w:jc w:val="left"/>
        <w:rPr/>
      </w:pPr>
      <w:r>
        <w:rPr/>
        <w:t xml:space="preserve"> </w:t>
      </w:r>
      <w:r>
        <w:rPr>
          <w:rFonts w:ascii="Times New Roman;serif" w:hAnsi="Times New Roman;serif"/>
          <w:b w:val="false"/>
          <w:sz w:val="24"/>
        </w:rPr>
        <w:t>SEC administrative sanctions;</w:t>
      </w:r>
    </w:p>
    <w:p>
      <w:pPr>
        <w:pStyle w:val="TextBody"/>
        <w:bidi w:val="0"/>
        <w:spacing w:before="120" w:after="120"/>
        <w:jc w:val="left"/>
        <w:rPr/>
      </w:pPr>
      <w:r>
        <w:rPr/>
        <w:t xml:space="preserve"> </w:t>
      </w:r>
      <w:r>
        <w:rPr>
          <w:rFonts w:ascii="Times New Roman;serif" w:hAnsi="Times New Roman;serif"/>
          <w:b w:val="false"/>
          <w:sz w:val="24"/>
        </w:rPr>
        <w:t>Securities industry self-regulatory organization sanctions;</w:t>
      </w:r>
    </w:p>
    <w:p>
      <w:pPr>
        <w:pStyle w:val="TextBody"/>
        <w:bidi w:val="0"/>
        <w:spacing w:before="120" w:after="120"/>
        <w:jc w:val="left"/>
        <w:rPr/>
      </w:pPr>
      <w:r>
        <w:rPr/>
        <w:t xml:space="preserve"> </w:t>
      </w:r>
      <w:r>
        <w:rPr>
          <w:rFonts w:ascii="Times New Roman;serif" w:hAnsi="Times New Roman;serif"/>
          <w:b w:val="false"/>
          <w:sz w:val="24"/>
        </w:rPr>
        <w:t>Civil injunctions;</w:t>
      </w:r>
    </w:p>
    <w:p>
      <w:pPr>
        <w:pStyle w:val="TextBody"/>
        <w:bidi w:val="0"/>
        <w:spacing w:before="120" w:after="120"/>
        <w:jc w:val="left"/>
        <w:rPr/>
      </w:pPr>
      <w:r>
        <w:rPr/>
        <w:t xml:space="preserve"> </w:t>
      </w:r>
      <w:r>
        <w:rPr>
          <w:rFonts w:ascii="Times New Roman;serif" w:hAnsi="Times New Roman;serif"/>
          <w:b w:val="false"/>
          <w:sz w:val="24"/>
        </w:rPr>
        <w:t>Damage awards to private plaintiffs;</w:t>
      </w:r>
    </w:p>
    <w:p>
      <w:pPr>
        <w:pStyle w:val="TextBody"/>
        <w:bidi w:val="0"/>
        <w:spacing w:before="120" w:after="120"/>
        <w:jc w:val="left"/>
        <w:rPr/>
      </w:pPr>
      <w:r>
        <w:rPr/>
        <w:t xml:space="preserve"> </w:t>
      </w:r>
      <w:r>
        <w:rPr>
          <w:rFonts w:ascii="Times New Roman;serif" w:hAnsi="Times New Roman;serif"/>
          <w:b w:val="false"/>
          <w:sz w:val="24"/>
        </w:rPr>
        <w:t>Disgorgement of all profits;</w:t>
      </w:r>
    </w:p>
    <w:p>
      <w:pPr>
        <w:pStyle w:val="TextBody"/>
        <w:bidi w:val="0"/>
        <w:spacing w:before="120" w:after="120"/>
        <w:jc w:val="left"/>
        <w:rPr/>
      </w:pPr>
      <w:r>
        <w:rPr/>
        <w:t xml:space="preserve"> </w:t>
      </w:r>
      <w:r>
        <w:rPr>
          <w:rFonts w:ascii="Times New Roman;serif" w:hAnsi="Times New Roman;serif"/>
          <w:b w:val="false"/>
          <w:sz w:val="24"/>
        </w:rPr>
        <w:t>Civil fines for the violator of up to three times the amount of profit gained or loss avoided;</w:t>
      </w:r>
    </w:p>
    <w:p>
      <w:pPr>
        <w:pStyle w:val="TextBody"/>
        <w:bidi w:val="0"/>
        <w:spacing w:before="120" w:after="120"/>
        <w:jc w:val="left"/>
        <w:rPr/>
      </w:pPr>
      <w:r>
        <w:rPr/>
        <w:t xml:space="preserve"> </w:t>
      </w:r>
      <w:r>
        <w:rPr>
          <w:rFonts w:ascii="Times New Roman;serif" w:hAnsi="Times New Roman;serif"/>
          <w:b w:val="false"/>
          <w:sz w:val="24"/>
        </w:rPr>
        <w:t>Civil fines for the employer or other controlling person of a violator (i.e., where the violator is an employee or other controlled person) of up to the greater of $1,425,000 or three times the amount of profit gained or loss avoided by the violator;</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pPr>
      <w:r>
        <w:rPr/>
        <w:t xml:space="preserve"> </w:t>
      </w:r>
      <w:r>
        <w:rPr>
          <w:rFonts w:ascii="Times New Roman;serif" w:hAnsi="Times New Roman;serif"/>
          <w:b w:val="false"/>
          <w:sz w:val="24"/>
        </w:rPr>
        <w:t>Criminal fines for individual violators of up to $5,000,000 ($25,000,000 for an entity); and</w:t>
      </w:r>
    </w:p>
    <w:p>
      <w:pPr>
        <w:pStyle w:val="TextBody"/>
        <w:bidi w:val="0"/>
        <w:spacing w:before="120" w:after="120"/>
        <w:jc w:val="left"/>
        <w:rPr/>
      </w:pPr>
      <w:r>
        <w:rPr/>
        <w:t xml:space="preserve"> </w:t>
      </w:r>
      <w:r>
        <w:rPr>
          <w:rFonts w:ascii="Times New Roman;serif" w:hAnsi="Times New Roman;serif"/>
          <w:b w:val="false"/>
          <w:sz w:val="24"/>
        </w:rPr>
        <w:t>Jail sentences of up to 20 years.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F. </w:t>
      </w:r>
      <w:r>
        <w:rPr>
          <w:rFonts w:ascii="Times New Roman;serif" w:hAnsi="Times New Roman;serif"/>
          <w:b w:val="false"/>
          <w:sz w:val="24"/>
          <w:u w:val="single"/>
        </w:rPr>
        <w:t>Size of Transaction and Reason for Transaction Do Not Matter</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G. </w:t>
      </w:r>
      <w:r>
        <w:rPr>
          <w:rFonts w:ascii="Times New Roman;serif" w:hAnsi="Times New Roman;serif"/>
          <w:b w:val="false"/>
          <w:sz w:val="24"/>
          <w:u w:val="single"/>
        </w:rPr>
        <w:t>Examples of Insider Trading</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following are illustrations of insider trading violations. These illustrations are hypothetical and, consequently, not intended to reflect on the actual activities or business of the Company or any other entity.</w:t>
      </w:r>
    </w:p>
    <w:p>
      <w:pPr>
        <w:pStyle w:val="TextBody"/>
        <w:bidi w:val="0"/>
        <w:spacing w:before="120" w:after="120"/>
        <w:jc w:val="left"/>
        <w:rPr>
          <w:rFonts w:ascii="Times New Roman;serif" w:hAnsi="Times New Roman;serif"/>
          <w:b w:val="false"/>
          <w:sz w:val="24"/>
          <w:u w:val="single"/>
        </w:rPr>
      </w:pPr>
      <w:r>
        <w:rPr>
          <w:rFonts w:ascii="Times New Roman;serif" w:hAnsi="Times New Roman;serif"/>
          <w:b w:val="false"/>
          <w:sz w:val="24"/>
          <w:u w:val="single"/>
        </w:rPr>
        <w:t>Trading by Insider</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pStyle w:val="TextBody"/>
        <w:bidi w:val="0"/>
        <w:spacing w:before="120" w:after="120"/>
        <w:jc w:val="left"/>
        <w:rPr>
          <w:rFonts w:ascii="Times New Roman;serif" w:hAnsi="Times New Roman;serif"/>
          <w:b w:val="false"/>
          <w:sz w:val="24"/>
          <w:u w:val="single"/>
        </w:rPr>
      </w:pPr>
      <w:r>
        <w:rPr>
          <w:rFonts w:ascii="Times New Roman;serif" w:hAnsi="Times New Roman;serif"/>
          <w:b w:val="false"/>
          <w:sz w:val="24"/>
          <w:u w:val="single"/>
        </w:rPr>
        <w:t>Trading by Tippee</w:t>
      </w:r>
    </w:p>
    <w:p>
      <w:pPr>
        <w:pStyle w:val="TextBody"/>
        <w:bidi w:val="0"/>
        <w:spacing w:before="120" w:after="120"/>
        <w:jc w:val="left"/>
        <w:rPr>
          <w:rFonts w:ascii="Times New Roman" w:hAnsi="Times New Roman"/>
          <w:sz w:val="20"/>
        </w:rPr>
      </w:pPr>
      <w:r>
        <w:rPr>
          <w:rFonts w:ascii="Times New Roman;serif" w:hAnsi="Times New Roman;serif"/>
          <w:b w:val="false"/>
          <w:sz w:val="24"/>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friend are also subject to criminal prosecution and other remedies and sanctions, as described above.</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H. </w:t>
      </w:r>
      <w:r>
        <w:rPr>
          <w:rFonts w:ascii="Times New Roman;serif" w:hAnsi="Times New Roman;serif"/>
          <w:b w:val="false"/>
          <w:sz w:val="24"/>
          <w:u w:val="single"/>
        </w:rPr>
        <w:t>Prohibition of Records Falsification and False Statements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IV. </w:t>
      </w:r>
      <w:r>
        <w:rPr>
          <w:rFonts w:ascii="Times New Roman;serif" w:hAnsi="Times New Roman;serif"/>
          <w:b w:val="false"/>
          <w:caps/>
          <w:sz w:val="24"/>
          <w:u w:val="single"/>
        </w:rPr>
        <w:t>STATEMENT OF PROCEDURES PREVENTING INSIDER TRADING</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following procedures have been established, and will be maintained and enforced, by the Company to prevent insider trading. Every officer, director and employee is required to follow these procedures.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A. </w:t>
      </w:r>
      <w:r>
        <w:rPr>
          <w:rFonts w:ascii="Times New Roman;serif" w:hAnsi="Times New Roman;serif"/>
          <w:b w:val="false"/>
          <w:sz w:val="24"/>
          <w:u w:val="single"/>
        </w:rPr>
        <w:t>Pre-Clearance of All Trades by All Officers, Directors and Employees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To provide assistance in preventing inadvertent violations of applicable securities laws and to avoid the appearance of impropriety in connection with the purchase and sale of the Company’s securities, </w:t>
      </w:r>
      <w:r>
        <w:rPr>
          <w:rFonts w:ascii="Times New Roman;serif" w:hAnsi="Times New Roman;serif"/>
          <w:b/>
          <w:sz w:val="24"/>
        </w:rPr>
        <w:t>all transactions in the Company’s securities involving the acquisition of Company stock and the exercise of stock options by officers, directors and employees referenced in Attachment C hereto (each, a “Pre-Clearance Person”) must be pre-cleared</w:t>
      </w:r>
      <w:r>
        <w:rPr>
          <w:rFonts w:ascii="Times New Roman" w:hAnsi="Times New Roman"/>
          <w:sz w:val="20"/>
        </w:rPr>
        <w:t xml:space="preserve"> </w:t>
      </w:r>
      <w:r>
        <w:rPr>
          <w:rFonts w:ascii="Times New Roman;serif" w:hAnsi="Times New Roman;serif"/>
          <w:b w:val="false"/>
          <w:sz w:val="24"/>
        </w:rPr>
        <w:t>by the Company’s Chief Legal Officer. Pre-clearance does not relieve anyone of his or her responsibility under SEC rules.</w:t>
      </w:r>
    </w:p>
    <w:p>
      <w:pPr>
        <w:pStyle w:val="TextBody"/>
        <w:bidi w:val="0"/>
        <w:spacing w:before="120" w:after="120"/>
        <w:jc w:val="left"/>
        <w:rPr>
          <w:rFonts w:ascii="Times New Roman" w:hAnsi="Times New Roman"/>
          <w:sz w:val="20"/>
        </w:rPr>
      </w:pPr>
      <w:r>
        <w:rPr>
          <w:rFonts w:ascii="Times New Roman;serif" w:hAnsi="Times New Roman;serif"/>
          <w:b w:val="false"/>
          <w:sz w:val="24"/>
        </w:rPr>
        <w:t>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the Pre-Clearance Person must execute a certification (in the form approved by the Chief Legal Officer) that he or she is not aware of material nonpublic information about the Company. The Chief Legal Officer shall have sole discretion to decide whether to clear any contemplated transaction. The Chief Legal Officer shall have sole discretion to decide whether to clear transactions by all persons or entities subject to this policy, including members of the executive leadership team (ELT), as a result of their relationship with the Chief Legal Officer. All trades that are pre-cleared must be affected within five business days of receipt of the pre-clearance unless a specific exception has been granted by the Chief Legal Officer. A pre-cleared trade (or any portion of a pre-cleared trade) that has not been affected during the five-business day period must be pre-cleared again prior to execution. Notwithstanding receipt of pre-clearance, if the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 w:hAnsi="Times New Roman"/>
          <w:sz w:val="20"/>
        </w:rPr>
      </w:pPr>
      <w:r>
        <w:rPr>
          <w:rFonts w:ascii="Times New Roman;serif" w:hAnsi="Times New Roman;serif"/>
          <w:b w:val="false"/>
          <w:sz w:val="24"/>
        </w:rPr>
        <w:t>Pre-Clearance Person becomes aware of material non-public information or becomes subject to a black-out period before the transaction is affected, the transaction may not be completed.</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To provide further assistance in preventing inadvertent violations of applicable securities laws and to avoid the appearance of impropriety in connection with the purchase and sale of the Company’s securities, </w:t>
      </w:r>
      <w:r>
        <w:rPr>
          <w:rFonts w:ascii="Times New Roman;serif" w:hAnsi="Times New Roman;serif"/>
          <w:b/>
          <w:sz w:val="24"/>
        </w:rPr>
        <w:t>all transactions in the Company’s securities involving any sale or disposition of Company stock by a director or certain Pre-Clearance Persons, as referenced in Attachment D hereto, may only be made pursuant to a Trading Plan in accordance with the provisions set forth in Article VI, Section A herein.</w:t>
      </w:r>
    </w:p>
    <w:p>
      <w:pPr>
        <w:pStyle w:val="TextBody"/>
        <w:bidi w:val="0"/>
        <w:spacing w:before="120" w:after="120"/>
        <w:jc w:val="left"/>
        <w:rPr/>
      </w:pPr>
      <w:r>
        <w:rPr/>
        <w:t> </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None of the Company, the Chief Legal Officer or the Company’s other employees will have any liability for any delay in reviewing, or refusal of, a request for pre-clearance submitted pursuant to this Section IV.A. Notwithstanding any pre-clearance of a transaction pursuant to this Section IV.A, none of the Company, the Chief Legal Officer or the Company’s other employees assumes any liability for the legality or consequences of such transaction to the person engaging in such transaction.</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 </w:t>
      </w:r>
      <w:r>
        <w:rPr>
          <w:rFonts w:ascii="Times New Roman;serif" w:hAnsi="Times New Roman;serif"/>
          <w:b w:val="false"/>
          <w:sz w:val="24"/>
          <w:u w:val="single"/>
        </w:rPr>
        <w:t>Black-Out Periods</w:t>
      </w:r>
    </w:p>
    <w:p>
      <w:pPr>
        <w:pStyle w:val="TextBody"/>
        <w:bidi w:val="0"/>
        <w:spacing w:before="120" w:after="120"/>
        <w:jc w:val="left"/>
        <w:rPr>
          <w:rFonts w:ascii="Times New Roman" w:hAnsi="Times New Roman"/>
          <w:sz w:val="20"/>
        </w:rPr>
      </w:pPr>
      <w:r>
        <w:rPr>
          <w:rFonts w:ascii="Times New Roman;serif" w:hAnsi="Times New Roman;serif"/>
          <w:b/>
          <w:sz w:val="24"/>
        </w:rPr>
        <w:t>Additionally, except for a sale or disposition of stock in accordance with an approved trading plan, no officer, director or employee shall purchase or sell any security of the Company during the period beginning on the 14</w:t>
      </w:r>
      <w:r>
        <w:rPr>
          <w:rFonts w:ascii="Times New Roman;serif" w:hAnsi="Times New Roman;serif"/>
          <w:b/>
          <w:sz w:val="16"/>
        </w:rPr>
        <w:t>th</w:t>
      </w:r>
      <w:r>
        <w:rPr>
          <w:rFonts w:ascii="Times New Roman" w:hAnsi="Times New Roman"/>
          <w:sz w:val="20"/>
        </w:rPr>
        <w:t xml:space="preserve"> </w:t>
      </w:r>
      <w:r>
        <w:rPr>
          <w:rFonts w:ascii="Times New Roman;serif" w:hAnsi="Times New Roman;serif"/>
          <w:b/>
          <w:sz w:val="24"/>
        </w:rPr>
        <w:t>calendar day before the end of any fiscal quarter of the Company and ending upon completion of the second full trading day after the public release of earnings data for such fiscal quarter or during any other trading suspension period declared by the Company,</w:t>
      </w:r>
      <w:r>
        <w:rPr>
          <w:rFonts w:ascii="Times New Roman" w:hAnsi="Times New Roman"/>
          <w:sz w:val="20"/>
        </w:rPr>
        <w:t xml:space="preserve"> </w:t>
      </w:r>
      <w:r>
        <w:rPr>
          <w:rFonts w:ascii="Times New Roman;serif" w:hAnsi="Times New Roman;serif"/>
          <w:b w:val="false"/>
          <w:sz w:val="24"/>
        </w:rPr>
        <w:t>except for:</w:t>
      </w:r>
    </w:p>
    <w:p>
      <w:pPr>
        <w:pStyle w:val="TextBody"/>
        <w:bidi w:val="0"/>
        <w:spacing w:before="120" w:after="120"/>
        <w:jc w:val="left"/>
        <w:rPr/>
      </w:pPr>
      <w:r>
        <w:rPr/>
        <w:t xml:space="preserve"> </w:t>
      </w:r>
      <w:r>
        <w:rPr>
          <w:rFonts w:ascii="Times New Roman;serif" w:hAnsi="Times New Roman;serif"/>
          <w:b w:val="false"/>
          <w:sz w:val="24"/>
        </w:rPr>
        <w:t>purchases of the Company’s securities from the Company or sales of the Company’s securities to the Company;</w:t>
      </w:r>
    </w:p>
    <w:p>
      <w:pPr>
        <w:pStyle w:val="TextBody"/>
        <w:bidi w:val="0"/>
        <w:spacing w:before="120" w:after="120"/>
        <w:jc w:val="left"/>
        <w:rPr/>
      </w:pPr>
      <w:r>
        <w:rPr/>
        <w:t xml:space="preserve"> </w:t>
      </w:r>
      <w:r>
        <w:rPr>
          <w:rFonts w:ascii="Times New Roman;serif" w:hAnsi="Times New Roman;serif"/>
          <w:b w:val="false"/>
          <w:sz w:val="24"/>
        </w:rPr>
        <w:t xml:space="preserve">exercises of stock options or other equity awards the surrender of shares to the Company in payment of the exercise price or in satisfaction of any tax withholding obligations in a manner permitted by the applicable equity award agreement, or vesting of equity-based awards that do not involve a market sale of the Company’s securities (the “cashless exercise” of a Company stock option through a broker </w:t>
      </w:r>
      <w:r>
        <w:rPr>
          <w:rFonts w:ascii="Times New Roman;serif" w:hAnsi="Times New Roman;serif"/>
          <w:b w:val="false"/>
          <w:sz w:val="24"/>
          <w:u w:val="single"/>
        </w:rPr>
        <w:t>does</w:t>
      </w:r>
      <w:r>
        <w:rPr>
          <w:rFonts w:ascii="Times New Roman" w:hAnsi="Times New Roman"/>
          <w:sz w:val="20"/>
        </w:rPr>
        <w:t xml:space="preserve"> </w:t>
      </w:r>
      <w:r>
        <w:rPr>
          <w:rFonts w:ascii="Times New Roman;serif" w:hAnsi="Times New Roman;serif"/>
          <w:b w:val="false"/>
          <w:sz w:val="24"/>
        </w:rPr>
        <w:t>involve a market sale of the Company’s securities, and therefore would not qualify under this exception);</w:t>
      </w:r>
    </w:p>
    <w:p>
      <w:pPr>
        <w:pStyle w:val="TextBody"/>
        <w:bidi w:val="0"/>
        <w:spacing w:before="120" w:after="120"/>
        <w:jc w:val="left"/>
        <w:rPr/>
      </w:pPr>
      <w:r>
        <w:rPr/>
        <w:t xml:space="preserve"> </w:t>
      </w:r>
      <w:r>
        <w:rPr>
          <w:rFonts w:ascii="Times New Roman;serif" w:hAnsi="Times New Roman;serif"/>
          <w:b w:val="false"/>
          <w:i/>
          <w:sz w:val="24"/>
        </w:rPr>
        <w:t>bona fide</w:t>
      </w:r>
      <w:r>
        <w:rPr>
          <w:rFonts w:ascii="Times New Roman" w:hAnsi="Times New Roman"/>
          <w:sz w:val="20"/>
        </w:rPr>
        <w:t xml:space="preserve"> </w:t>
      </w:r>
      <w:r>
        <w:rPr>
          <w:rFonts w:ascii="Times New Roman;serif" w:hAnsi="Times New Roman;serif"/>
          <w:b w:val="false"/>
          <w:sz w:val="24"/>
        </w:rPr>
        <w:t>gifts of the Company’s securities; and</w:t>
      </w:r>
    </w:p>
    <w:p>
      <w:pPr>
        <w:pStyle w:val="TextBody"/>
        <w:bidi w:val="0"/>
        <w:spacing w:before="120" w:after="120"/>
        <w:jc w:val="left"/>
        <w:rPr/>
      </w:pPr>
      <w:r>
        <w:rPr/>
        <w:t xml:space="preserve"> </w:t>
      </w:r>
      <w:r>
        <w:rPr>
          <w:rFonts w:ascii="Times New Roman;serif" w:hAnsi="Times New Roman;serif"/>
          <w:b w:val="false"/>
          <w:sz w:val="24"/>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 pre-clearance without such amendment or modification being pre-cleared in advance pursuant to this Policy.</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Exceptions to the black-out period policy may be approved only by the Company’s Chief Legal Officer, or, in the case of exceptions for directors, the Board of Directors or Audit Committee of the Board of Directors.</w:t>
      </w:r>
    </w:p>
    <w:p>
      <w:pPr>
        <w:pStyle w:val="TextBody"/>
        <w:bidi w:val="0"/>
        <w:spacing w:before="120" w:after="120"/>
        <w:jc w:val="left"/>
        <w:rPr>
          <w:rFonts w:ascii="Times New Roman" w:hAnsi="Times New Roman"/>
          <w:sz w:val="20"/>
        </w:rPr>
      </w:pPr>
      <w:r>
        <w:rPr>
          <w:rFonts w:ascii="Times New Roman;serif" w:hAnsi="Times New Roman;serif"/>
          <w:b w:val="false"/>
          <w:sz w:val="24"/>
        </w:rPr>
        <w:t>From time to time, the Company, through the Board of Directors or the Chief Legal Officer may recommend that officers, directors, employees or others suspend trading in the Company’s securities because of developments that have not yet been disclosed to the public. Subject to the exceptions noted above, all those affected should not trade in our securities while the suspension is in effect and should not disclose to others that we have suspended trading.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C. </w:t>
      </w:r>
      <w:r>
        <w:rPr>
          <w:rFonts w:ascii="Times New Roman;serif" w:hAnsi="Times New Roman;serif"/>
          <w:b w:val="false"/>
          <w:sz w:val="24"/>
          <w:u w:val="single"/>
        </w:rPr>
        <w:t>Post-Termination Transactions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With the exception of the pre-clearance requirement, this Policy continues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D. </w:t>
      </w:r>
      <w:r>
        <w:rPr>
          <w:rFonts w:ascii="Times New Roman;serif" w:hAnsi="Times New Roman;serif"/>
          <w:b w:val="false"/>
          <w:sz w:val="24"/>
          <w:u w:val="single"/>
        </w:rPr>
        <w:t>Information Relating to the Company</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Access to Information</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anything other than need-to-know basis.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Inquiries from Third Parties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Inquiries from third parties, such as industry analysts or members of the media, about the Company should be directed to the Chief Legal Officer at (626) 440-3809.</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E. </w:t>
      </w:r>
      <w:r>
        <w:rPr>
          <w:rFonts w:ascii="Times New Roman;serif" w:hAnsi="Times New Roman;serif"/>
          <w:b w:val="false"/>
          <w:sz w:val="24"/>
          <w:u w:val="single"/>
        </w:rPr>
        <w:t>Limitations on Access to Company Information</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following procedures are designed to maintain confidentiality with respect to the Company’s business operations and activities.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All officers, directors and employees should take all steps and precautions necessary to restrict access to, and secure, material, non-public information by, among other things:</w:t>
      </w:r>
    </w:p>
    <w:p>
      <w:pPr>
        <w:pStyle w:val="TextBody"/>
        <w:bidi w:val="0"/>
        <w:spacing w:before="120" w:after="120"/>
        <w:jc w:val="left"/>
        <w:rPr/>
      </w:pPr>
      <w:r>
        <w:rPr/>
        <w:t xml:space="preserve"> </w:t>
      </w:r>
      <w:r>
        <w:rPr>
          <w:rFonts w:ascii="Times New Roman;serif" w:hAnsi="Times New Roman;serif"/>
          <w:b w:val="false"/>
          <w:sz w:val="24"/>
        </w:rPr>
        <w:t>Maintaining the confidentiality of Company-related transactions;</w:t>
      </w:r>
    </w:p>
    <w:p>
      <w:pPr>
        <w:pStyle w:val="TextBody"/>
        <w:bidi w:val="0"/>
        <w:spacing w:before="120" w:after="120"/>
        <w:jc w:val="left"/>
        <w:rPr/>
      </w:pPr>
      <w:r>
        <w:rPr/>
        <w:t xml:space="preserve"> </w:t>
      </w:r>
      <w:r>
        <w:rPr>
          <w:rFonts w:ascii="Times New Roman;serif" w:hAnsi="Times New Roman;serif"/>
          <w:b w:val="false"/>
          <w:sz w:val="24"/>
        </w:rPr>
        <w:t>Conducting their business and social activities so as not to risk inadvertent disclosure of confidential information. Review of confidential documents in public places should be conducted so as to prevent access by unauthorized persons;</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pPr>
      <w:r>
        <w:rPr/>
        <w:t xml:space="preserve"> </w:t>
      </w:r>
      <w:r>
        <w:rPr>
          <w:rFonts w:ascii="Times New Roman;serif" w:hAnsi="Times New Roman;serif"/>
          <w:b w:val="false"/>
          <w:sz w:val="24"/>
        </w:rPr>
        <w:t>Restricting access to documents and files (including computer files) containing material, non-public information to individuals on a need-to-know basis (including maintaining control over the distribution of documents and drafts of documents);</w:t>
      </w:r>
    </w:p>
    <w:p>
      <w:pPr>
        <w:pStyle w:val="TextBody"/>
        <w:bidi w:val="0"/>
        <w:spacing w:before="120" w:after="120"/>
        <w:jc w:val="left"/>
        <w:rPr/>
      </w:pPr>
      <w:r>
        <w:rPr/>
        <w:t xml:space="preserve"> </w:t>
      </w:r>
      <w:r>
        <w:rPr>
          <w:rFonts w:ascii="Times New Roman;serif" w:hAnsi="Times New Roman;serif"/>
          <w:b w:val="false"/>
          <w:sz w:val="24"/>
        </w:rPr>
        <w:t>Promptly removing and cleaning up all confidential documents and other materials from conference rooms following the conclusion of any meetings;</w:t>
      </w:r>
    </w:p>
    <w:p>
      <w:pPr>
        <w:pStyle w:val="TextBody"/>
        <w:bidi w:val="0"/>
        <w:spacing w:before="120" w:after="120"/>
        <w:jc w:val="left"/>
        <w:rPr/>
      </w:pPr>
      <w:r>
        <w:rPr/>
        <w:t xml:space="preserve"> </w:t>
      </w:r>
      <w:r>
        <w:rPr>
          <w:rFonts w:ascii="Times New Roman;serif" w:hAnsi="Times New Roman;serif"/>
          <w:b w:val="false"/>
          <w:sz w:val="24"/>
        </w:rPr>
        <w:t>Disposing of all confidential documents and other papers, after there is no longer any business or other legally required need, through shredders when appropriate;</w:t>
      </w:r>
    </w:p>
    <w:p>
      <w:pPr>
        <w:pStyle w:val="TextBody"/>
        <w:bidi w:val="0"/>
        <w:spacing w:before="120" w:after="120"/>
        <w:jc w:val="left"/>
        <w:rPr/>
      </w:pPr>
      <w:r>
        <w:rPr/>
        <w:t xml:space="preserve"> </w:t>
      </w:r>
      <w:r>
        <w:rPr>
          <w:rFonts w:ascii="Times New Roman;serif" w:hAnsi="Times New Roman;serif"/>
          <w:b w:val="false"/>
          <w:sz w:val="24"/>
        </w:rPr>
        <w:t>Restricting access to areas likely to contain confidential documents or material, non-public information;</w:t>
      </w:r>
    </w:p>
    <w:p>
      <w:pPr>
        <w:pStyle w:val="TextBody"/>
        <w:bidi w:val="0"/>
        <w:spacing w:before="120" w:after="120"/>
        <w:jc w:val="left"/>
        <w:rPr/>
      </w:pPr>
      <w:r>
        <w:rPr/>
        <w:t xml:space="preserve"> </w:t>
      </w:r>
      <w:r>
        <w:rPr>
          <w:rFonts w:ascii="Times New Roman;serif" w:hAnsi="Times New Roman;serif"/>
          <w:b w:val="false"/>
          <w:sz w:val="24"/>
        </w:rPr>
        <w:t>Safeguarding laptop computers, tablets, memory sticks, CDs and other items that contain confidential information; and</w:t>
      </w:r>
    </w:p>
    <w:p>
      <w:pPr>
        <w:pStyle w:val="TextBody"/>
        <w:bidi w:val="0"/>
        <w:spacing w:before="120" w:after="120"/>
        <w:jc w:val="left"/>
        <w:rPr/>
      </w:pPr>
      <w:r>
        <w:rPr/>
        <w:t xml:space="preserve"> </w:t>
      </w:r>
      <w:r>
        <w:rPr>
          <w:rFonts w:ascii="Times New Roman;serif" w:hAnsi="Times New Roman;serif"/>
          <w:b w:val="false"/>
          <w:sz w:val="24"/>
        </w:rPr>
        <w:t>Avoiding the discussion of material, non-public information in places where the information could be overheard by others such as in elevators, restrooms, hallways, restaurants, airplanes or taxicabs.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Personnel involved with material, non-public information, to the extent feasible, should conduct their business and activities in areas separate from other Company activities.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V. </w:t>
      </w:r>
      <w:r>
        <w:rPr>
          <w:rFonts w:ascii="Times New Roman;serif" w:hAnsi="Times New Roman;serif"/>
          <w:b w:val="false"/>
          <w:caps/>
          <w:sz w:val="24"/>
          <w:u w:val="single"/>
        </w:rPr>
        <w:t>ADDITIONAL PROHIBITED TRANSACTIONS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A. </w:t>
      </w:r>
      <w:r>
        <w:rPr>
          <w:rFonts w:ascii="Times New Roman;serif" w:hAnsi="Times New Roman;serif"/>
          <w:b w:val="false"/>
          <w:sz w:val="24"/>
          <w:u w:val="single"/>
        </w:rPr>
        <w:t>Short Sales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w:t>
      </w:r>
      <w:r>
        <w:rPr>
          <w:rFonts w:ascii="Times New Roman;serif" w:hAnsi="Times New Roman;serif"/>
          <w:b w:val="false"/>
          <w:i/>
          <w:sz w:val="24"/>
        </w:rPr>
        <w:t>i.e.</w:t>
      </w:r>
      <w:r>
        <w:rPr>
          <w:rFonts w:ascii="Times New Roman;serif" w:hAnsi="Times New Roman;serif"/>
          <w:b w:val="false"/>
          <w:sz w:val="24"/>
        </w:rPr>
        <w:t>, sales of shares that the insider does not own at the time of sale, or sales of shares against which the insider does not deliver the shares within 20 days after the sale.</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 </w:t>
      </w:r>
      <w:r>
        <w:rPr>
          <w:rFonts w:ascii="Times New Roman;serif" w:hAnsi="Times New Roman;serif"/>
          <w:b w:val="false"/>
          <w:sz w:val="24"/>
          <w:u w:val="single"/>
        </w:rPr>
        <w:t>Publicly Traded Options</w:t>
      </w:r>
    </w:p>
    <w:p>
      <w:pPr>
        <w:pStyle w:val="TextBody"/>
        <w:bidi w:val="0"/>
        <w:spacing w:before="120" w:after="120"/>
        <w:jc w:val="left"/>
        <w:rPr>
          <w:rFonts w:ascii="Times New Roman" w:hAnsi="Times New Roman"/>
          <w:sz w:val="20"/>
        </w:rPr>
      </w:pPr>
      <w:r>
        <w:rPr>
          <w:rFonts w:ascii="Times New Roman;serif" w:hAnsi="Times New Roman;serif"/>
          <w:b w:val="false"/>
          <w:sz w:val="24"/>
        </w:rPr>
        <w:t>A transaction in options is, in effect, a bet on the short-term movement of the Company’s stock and therefore creates the appearance that an officer, director or employee is trading based on inside information. Transactions in options also may focus an officer’s, director’s or employee’s attention on short-term performance at the expense of the Company’s long-term objectives. Accordingly, transactions in puts, calls or other derivative securities involving the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Company’s equity securities, on an exchange or in any other organized market, are prohibited by this Policy.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C. </w:t>
      </w:r>
      <w:r>
        <w:rPr>
          <w:rFonts w:ascii="Times New Roman;serif" w:hAnsi="Times New Roman;serif"/>
          <w:b w:val="false"/>
          <w:sz w:val="24"/>
          <w:u w:val="single"/>
        </w:rPr>
        <w:t>Hedging Transactions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 stock. These transactions allow the officer, director or employee to continue to own the covered securities, but without the full risks and rewards of ownership. When that occurs, the officer, director or employee may no longer have the same objectives as the Company’s other stockholders. Therefore, such transactions involving the Company’s equity securities are prohibited by this Policy.</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D. </w:t>
      </w:r>
      <w:r>
        <w:rPr>
          <w:rFonts w:ascii="Times New Roman;serif" w:hAnsi="Times New Roman;serif"/>
          <w:b w:val="false"/>
          <w:sz w:val="24"/>
          <w:u w:val="single"/>
        </w:rPr>
        <w:t>Purchases of the Company’s Securities on Margin; Pledging the Company’s Securities to Secure Margin or Other Loans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E. </w:t>
      </w:r>
      <w:r>
        <w:rPr>
          <w:rFonts w:ascii="Times New Roman;serif" w:hAnsi="Times New Roman;serif"/>
          <w:b w:val="false"/>
          <w:sz w:val="24"/>
          <w:u w:val="single"/>
        </w:rPr>
        <w:t>Director and Executive Officer Cashless Exercises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and (iii) the director or officer uses a “T+2” cashless exercise arrangement, in which the Company agrees to deliver stock against the payment of the purchase price on the same day the sale of the stock underlying the equity award settles.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Legal Officer.</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VI. </w:t>
      </w:r>
      <w:r>
        <w:rPr>
          <w:rFonts w:ascii="Times New Roman;serif" w:hAnsi="Times New Roman;serif"/>
          <w:b w:val="false"/>
          <w:sz w:val="24"/>
          <w:u w:val="single"/>
        </w:rPr>
        <w:t>RULE 10b5-1 TRADING PLANS, SECTION 16 AND RULE 144</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A. </w:t>
      </w:r>
      <w:r>
        <w:rPr>
          <w:rFonts w:ascii="Times New Roman;serif" w:hAnsi="Times New Roman;serif"/>
          <w:b w:val="false"/>
          <w:sz w:val="24"/>
          <w:u w:val="single"/>
        </w:rPr>
        <w:t>Rule 10b5-1 Trading Plans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Overview</w:t>
      </w:r>
    </w:p>
    <w:p>
      <w:pPr>
        <w:pStyle w:val="TextBody"/>
        <w:bidi w:val="0"/>
        <w:spacing w:before="120" w:after="120"/>
        <w:jc w:val="left"/>
        <w:rPr>
          <w:rFonts w:ascii="Times New Roman" w:hAnsi="Times New Roman"/>
          <w:sz w:val="20"/>
        </w:rPr>
      </w:pPr>
      <w:r>
        <w:rPr>
          <w:rFonts w:ascii="Times New Roman;serif" w:hAnsi="Times New Roman;serif"/>
          <w:b w:val="false"/>
          <w:sz w:val="24"/>
        </w:rPr>
        <w:t>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restrictions set forth in this Policy. </w:t>
      </w:r>
      <w:r>
        <w:rPr>
          <w:rFonts w:ascii="Times New Roman;serif" w:hAnsi="Times New Roman;serif"/>
          <w:b/>
          <w:sz w:val="24"/>
        </w:rPr>
        <w:t>All members of the Board of Directors and Pre-Clearance Persons identified in Attachment D hereto must have a Rule 10b5-1 Trading Plan (the “Trading Plan”) that has been approved by the Company’s Chief Legal Officer before they are permitted to sell or dispose of the Company’s stock. Each Trading Plan shall comply with all applicable rules and regulations imposed by the SEC and should include the following provisions:</w:t>
      </w:r>
    </w:p>
    <w:p>
      <w:pPr>
        <w:pStyle w:val="TextBody"/>
        <w:bidi w:val="0"/>
        <w:spacing w:before="0" w:after="240"/>
        <w:jc w:val="left"/>
        <w:rPr/>
      </w:pPr>
      <w:r>
        <w:rPr/>
        <w:t xml:space="preserve"> </w:t>
      </w:r>
      <w:r>
        <w:rPr>
          <w:rFonts w:ascii="Times New Roman;serif" w:hAnsi="Times New Roman;serif"/>
          <w:b w:val="false"/>
          <w:sz w:val="24"/>
        </w:rPr>
        <w:t>The Trading Plan must be prepared and approved during an open trading window for the Company;</w:t>
      </w:r>
    </w:p>
    <w:p>
      <w:pPr>
        <w:pStyle w:val="TextBody"/>
        <w:bidi w:val="0"/>
        <w:spacing w:before="0" w:after="240"/>
        <w:jc w:val="left"/>
        <w:rPr/>
      </w:pPr>
      <w:r>
        <w:rPr/>
        <w:t xml:space="preserve"> </w:t>
      </w:r>
      <w:r>
        <w:rPr>
          <w:rFonts w:ascii="Times New Roman;serif" w:hAnsi="Times New Roman;serif"/>
          <w:b w:val="false"/>
          <w:sz w:val="24"/>
        </w:rPr>
        <w:t>A cooling off period after the Trading Plan is approved by the Chief Legal Officer which provides that the first trade may not be made until the later of (i) ninety days after the adoption or modification of the trading plan, or (ii) two business days following the filing of the Form 10-Q or 10-K for the fiscal quarter in which the plan was adopted or modified, not to exceed 120 days following the adoption or modification of the plan ;</w:t>
      </w:r>
      <w:r>
        <w:rPr>
          <w:rFonts w:ascii="Times New Roman" w:hAnsi="Times New Roman"/>
          <w:sz w:val="20"/>
        </w:rPr>
        <w:t xml:space="preserve"> </w:t>
      </w:r>
    </w:p>
    <w:p>
      <w:pPr>
        <w:pStyle w:val="TextBody"/>
        <w:bidi w:val="0"/>
        <w:spacing w:before="0" w:after="240"/>
        <w:jc w:val="left"/>
        <w:rPr/>
      </w:pPr>
      <w:r>
        <w:rPr/>
        <w:t xml:space="preserve"> </w:t>
      </w:r>
      <w:r>
        <w:rPr>
          <w:rFonts w:ascii="Times New Roman;serif" w:hAnsi="Times New Roman;serif"/>
          <w:b w:val="false"/>
          <w:sz w:val="24"/>
        </w:rPr>
        <w:t>A written representation certifying that the person is not aware of any material, non-public information about Parsons and its securities, and is adopting or modifying the plan in good faith and not as part of a plan or scheme to evade the prohibition of Exchange Rule 10b5-1; and</w:t>
      </w:r>
    </w:p>
    <w:p>
      <w:pPr>
        <w:pStyle w:val="TextBody"/>
        <w:bidi w:val="0"/>
        <w:spacing w:before="0" w:after="240"/>
        <w:jc w:val="left"/>
        <w:rPr/>
      </w:pPr>
      <w:r>
        <w:rPr/>
        <w:t xml:space="preserve"> </w:t>
      </w:r>
      <w:r>
        <w:rPr>
          <w:rFonts w:ascii="Times New Roman;serif" w:hAnsi="Times New Roman;serif"/>
          <w:b w:val="false"/>
          <w:sz w:val="24"/>
        </w:rPr>
        <w:t>The Trading Plan must have a minimum length of at least one year before the Plan may amended or terminated.</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Any person who adopts or modifies a Rule 10b5-1 Trading Plan shall have an ongoing obligation of good faith with respect to his or her actions. For example, no person may use his or her influence to affect the timing of a disclosure related to Parsons’ securities so that a trade under his or her Rule 10b5-1 Trading Plan becomes more profitable.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Any person who adopts or modifies a Rule 10b5-1 Trading Plan may not have more than one Rule 10b5-1 Trading Plan for open market purchases or sales of Parsons’ securities, except for plans or modifications solely to authorize an agent to sell only enough securities as are necessary to satisfy applicable tax withholding obligations arising exclusively from the vesting of a compensatory award, and the person does not otherwise exercise control over the timing of such sales; provided, however, that a person may have a series of separate contracts with different broker-dealers to execute trades pursuant to a single Rule 10b5-1 Trading Plan, and a person may maintain two separate Rule 10b5-1 Trading Plans for open market purchases or sales, if trading under the later plan is not authorized to begin until after all trades under the earlier commencing plan are completed or expire without execution. Further, during any twelve-month period, a person is limited to one “single-trade plan” which is designed to affect an open market purchase or sale of the total amount of securities subject to the Trading Plan in a single transaction; provided, however, that a Trading Plan will not be treated as a “single-trade plan” if it grants discretion to a persons’ agent over whether to execute the plan through a single transaction.</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initiation of, and any amendment or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Chief Legal Officer, or such other person as the Board of Directors may designate from time to time (the “Authorizing Officer”), who may impose such conditions on the implementation and operation of the Trading Plan as the Authorizing Officer deems necessary or advisable. The Chief Legal Officer or another Authorizing Officer shall have the authority to amend, waive or interpret this Policy as it relates to any Trading Plan or the Company’s policies with respect to such plans. However, compliance of the Trading Plan to the terms of Rule 10b5-1 and the execution of transactions pursuant to the Trading Plan are the sole responsibility of the person initiating the Trading Plan, not the Company or the Authorizing Officer.</w:t>
      </w:r>
    </w:p>
    <w:p>
      <w:pPr>
        <w:pStyle w:val="TextBody"/>
        <w:bidi w:val="0"/>
        <w:spacing w:before="120" w:after="120"/>
        <w:jc w:val="left"/>
        <w:rPr>
          <w:rFonts w:ascii="Times New Roman;serif" w:hAnsi="Times New Roman;serif"/>
          <w:b/>
          <w:sz w:val="24"/>
        </w:rPr>
      </w:pPr>
      <w:r>
        <w:rPr>
          <w:rFonts w:ascii="Times New Roman;serif" w:hAnsi="Times New Roman;serif"/>
          <w:b/>
          <w:sz w:val="24"/>
        </w:rPr>
        <w:t>Trading Plans do not exempt individuals from complying with Section 16 short-swing profit rules or liability.</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w:t>
      </w:r>
    </w:p>
    <w:p>
      <w:pPr>
        <w:pStyle w:val="TextBody"/>
        <w:bidi w:val="0"/>
        <w:spacing w:before="120" w:after="120"/>
        <w:jc w:val="left"/>
        <w:rPr>
          <w:rFonts w:ascii="Times New Roman" w:hAnsi="Times New Roman"/>
          <w:sz w:val="20"/>
        </w:rPr>
      </w:pPr>
      <w:r>
        <w:rPr>
          <w:rFonts w:ascii="Times New Roman;serif" w:hAnsi="Times New Roman;serif"/>
          <w:b w:val="false"/>
          <w:sz w:val="24"/>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4"/>
        </w:rPr>
        <w:t>Officers, directors and employees may adopt Trading Plans with brokers that outline a pre-set plan for trading of the Company’s stock, including the exercise of options. Trades pursuant to a Trading Plan generally may occur at any time. However, the Company requires a cooling-off period of 30 days between the establishment of a Trading Plan and commencement of any transactions under such plan. An individual may adopt more than one Trading Plan. Please review the following description of how a Trading Plan works.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Pursuant to Rule 10b5-1, an individual’s purchase or sale of securities will not be “on the basis of” material, non-public information if:</w:t>
      </w:r>
    </w:p>
    <w:p>
      <w:pPr>
        <w:pStyle w:val="TextBody"/>
        <w:bidi w:val="0"/>
        <w:spacing w:before="120" w:after="120"/>
        <w:jc w:val="left"/>
        <w:rPr/>
      </w:pPr>
      <w:r>
        <w:rPr/>
        <w:t xml:space="preserve"> </w:t>
      </w:r>
      <w:r>
        <w:rPr>
          <w:rFonts w:ascii="Times New Roman;serif" w:hAnsi="Times New Roman;serif"/>
          <w:b w:val="false"/>
          <w:sz w:val="24"/>
        </w:rPr>
        <w:t xml:space="preserve">First, before becoming aware of the information, the individual enters into a binding contract to purchase or sell the securities, provides instructions to another person to sell the securities or adopts a written plan for trading the securities (i.e., the Trading Plan). </w:t>
      </w:r>
    </w:p>
    <w:p>
      <w:pPr>
        <w:pStyle w:val="TextBody"/>
        <w:bidi w:val="0"/>
        <w:spacing w:before="120" w:after="120"/>
        <w:jc w:val="left"/>
        <w:rPr/>
      </w:pPr>
      <w:r>
        <w:rPr/>
        <w:t xml:space="preserve"> </w:t>
      </w:r>
      <w:r>
        <w:rPr>
          <w:rFonts w:ascii="Times New Roman;serif" w:hAnsi="Times New Roman;serif"/>
          <w:b w:val="false"/>
          <w:sz w:val="24"/>
        </w:rPr>
        <w:t>Second, the Trading Plan must either:</w:t>
      </w:r>
    </w:p>
    <w:p>
      <w:pPr>
        <w:pStyle w:val="TextBody"/>
        <w:bidi w:val="0"/>
        <w:spacing w:before="120" w:after="120"/>
        <w:jc w:val="left"/>
        <w:rPr/>
      </w:pPr>
      <w:r>
        <w:rPr/>
        <w:t xml:space="preserve"> </w:t>
      </w:r>
      <w:r>
        <w:rPr>
          <w:rFonts w:ascii="Times New Roman;serif" w:hAnsi="Times New Roman;serif"/>
          <w:b w:val="false"/>
          <w:sz w:val="24"/>
        </w:rPr>
        <w:t>specify the amount of securities to be purchased or sold, the price at which the securities are to be purchased or sold and the date on which the securities are to be purchased or sold;</w:t>
      </w:r>
    </w:p>
    <w:p>
      <w:pPr>
        <w:pStyle w:val="TextBody"/>
        <w:bidi w:val="0"/>
        <w:spacing w:before="120" w:after="120"/>
        <w:jc w:val="left"/>
        <w:rPr/>
      </w:pPr>
      <w:r>
        <w:rPr/>
        <w:t xml:space="preserve"> </w:t>
      </w:r>
      <w:r>
        <w:rPr>
          <w:rFonts w:ascii="Times New Roman;serif" w:hAnsi="Times New Roman;serif"/>
          <w:b w:val="false"/>
          <w:sz w:val="24"/>
        </w:rPr>
        <w:t>include a written formula or computer program for determining the amount, price and date of the transactions; or</w:t>
      </w:r>
    </w:p>
    <w:p>
      <w:pPr>
        <w:pStyle w:val="TextBody"/>
        <w:bidi w:val="0"/>
        <w:spacing w:before="120" w:after="120"/>
        <w:jc w:val="left"/>
        <w:rPr/>
      </w:pPr>
      <w:r>
        <w:rPr/>
        <w:t xml:space="preserve"> </w:t>
      </w:r>
      <w:r>
        <w:rPr>
          <w:rFonts w:ascii="Times New Roman;serif" w:hAnsi="Times New Roman;serif"/>
          <w:b w:val="false"/>
          <w:sz w:val="24"/>
        </w:rPr>
        <w:t>prohibit the individual from exercising any subsequent influence over the purchase or sale of the Company’s stock under the Trading Plan in question.</w:t>
      </w:r>
    </w:p>
    <w:p>
      <w:pPr>
        <w:pStyle w:val="TextBody"/>
        <w:bidi w:val="0"/>
        <w:spacing w:before="120" w:after="120"/>
        <w:jc w:val="left"/>
        <w:rPr/>
      </w:pPr>
      <w:r>
        <w:rPr/>
        <w:t xml:space="preserve"> </w:t>
      </w:r>
      <w:r>
        <w:rPr>
          <w:rFonts w:ascii="Times New Roman;serif" w:hAnsi="Times New Roman;serif"/>
          <w:b w:val="false"/>
          <w:sz w:val="24"/>
        </w:rPr>
        <w:t>Third, the purchase or sale must occur pursuant to the Trading Plan and the individual must not enter into a corresponding hedging transaction or alter or deviate from the Trading Plan.</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Revocation of and Amendments to Trading Plans</w:t>
      </w:r>
    </w:p>
    <w:p>
      <w:pPr>
        <w:pStyle w:val="TextBody"/>
        <w:bidi w:val="0"/>
        <w:spacing w:before="120" w:after="120"/>
        <w:jc w:val="left"/>
        <w:rPr>
          <w:rFonts w:ascii="Times New Roman" w:hAnsi="Times New Roman"/>
          <w:sz w:val="20"/>
        </w:rPr>
      </w:pPr>
      <w:r>
        <w:rPr>
          <w:rFonts w:ascii="Times New Roman;serif" w:hAnsi="Times New Roman;serif"/>
          <w:b w:val="false"/>
          <w:sz w:val="24"/>
        </w:rPr>
        <w:t>Revocation of Trading Plans should occur only in unusual circumstances. Effectiveness of any revocation, amendment or modification of a Trading Plan will be subject to the prior review and approval of the Authorizing Officer, and, in the case of any amendment or modification, must comply with all requirements set forth in Section A of this Article VI. A revocation, amendment or modification of a Trading Plan may only be made during an open trading window for the Company. Once an amendment or modification to a Trading Plan is approved, as provided herein, the participant must observe a cooling off period, as described herein, before any sale or disposition of Company stock may occur. The cooling off period shall expire on the opening of the Company’s trading window for the subsequent quarter following approval of the amendment or modification of the Trading Plan.</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Once a Trading Plan has been revoked, the participant must wait until the opening of the Company’s trading window for the subsequent quarter following such revocation and 180 days before establishing a new Trading Plan and such Trading Plan must adhere to the further requirements noted in Section of this Article VI. You should note that revocation of a Trading Plan can result in the loss of an affirmative defense for past or future transactions under a Trading Plan. You should consult with your own legal counsel before deciding to revoke a Trading Plan. In any event, you should not assume that compliance with the 180-day bar will protect you from possible adverse legal consequences of a Trading Plan revocation.</w:t>
      </w:r>
    </w:p>
    <w:p>
      <w:pPr>
        <w:pStyle w:val="TextBody"/>
        <w:bidi w:val="0"/>
        <w:spacing w:before="120" w:after="120"/>
        <w:jc w:val="left"/>
        <w:rPr>
          <w:rFonts w:ascii="Times New Roman" w:hAnsi="Times New Roman"/>
          <w:sz w:val="20"/>
        </w:rPr>
      </w:pPr>
      <w:r>
        <w:rPr>
          <w:rFonts w:ascii="Times New Roman;serif" w:hAnsi="Times New Roman;serif"/>
          <w:b w:val="false"/>
          <w:sz w:val="24"/>
        </w:rPr>
        <w:t>A person acting in good faith may amend a prior Trading Plan so long as such amendments are made outside of a quarterly trading black-out period and at a time when the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 w:hAnsi="Times New Roman"/>
          <w:sz w:val="20"/>
        </w:rPr>
      </w:pPr>
      <w:r>
        <w:rPr>
          <w:rFonts w:ascii="Times New Roman;serif" w:hAnsi="Times New Roman;serif"/>
          <w:b w:val="false"/>
          <w:sz w:val="24"/>
        </w:rPr>
        <w:t>Trading Plan participant does not possess material, non-public information. Plan amendments must satisfy all requirements set forth herein.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Under certain circumstances, a Trading Plan </w:t>
      </w:r>
      <w:r>
        <w:rPr>
          <w:rFonts w:ascii="Times New Roman;serif" w:hAnsi="Times New Roman;serif"/>
          <w:b w:val="false"/>
          <w:i/>
          <w:sz w:val="24"/>
        </w:rPr>
        <w:t>must</w:t>
      </w:r>
      <w:r>
        <w:rPr>
          <w:rFonts w:ascii="Times New Roman" w:hAnsi="Times New Roman"/>
          <w:sz w:val="20"/>
        </w:rPr>
        <w:t xml:space="preserve"> </w:t>
      </w:r>
      <w:r>
        <w:rPr>
          <w:rFonts w:ascii="Times New Roman;serif" w:hAnsi="Times New Roman;serif"/>
          <w:b w:val="false"/>
          <w:sz w:val="24"/>
        </w:rPr>
        <w:t>be revoked. This may include circumstances such as the announcement of a merger or the occurrence of an event that would cause the transaction either to violate the law or to have an adverse effect on the Company. Further, the Company’s Board of Directors has the discretion to require the revocation of Trading Plans for participants, in its discretion. The Authorizing Officer or administrator of the Company’s stock plans is authorized to notify the broker in such circumstances, thereby insulating the insider in the event of revocation.</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3. </w:t>
      </w:r>
      <w:r>
        <w:rPr>
          <w:rFonts w:ascii="Times New Roman;serif" w:hAnsi="Times New Roman;serif"/>
          <w:b w:val="false"/>
          <w:sz w:val="24"/>
          <w:u w:val="single"/>
        </w:rPr>
        <w:t>Discretionary Plans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Although non-discretionary Trading Plans are preferred, discretionary Trading Plans, where the discretion or control over trading is transferred to a broker, are permitted if pre-approved by the Authorizing Officer.</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Authorizing Officer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4. </w:t>
      </w:r>
      <w:r>
        <w:rPr>
          <w:rFonts w:ascii="Times New Roman;serif" w:hAnsi="Times New Roman;serif"/>
          <w:b w:val="false"/>
          <w:sz w:val="24"/>
          <w:u w:val="single"/>
        </w:rPr>
        <w:t>Reporting (if Required)</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5. </w:t>
      </w:r>
      <w:r>
        <w:rPr>
          <w:rFonts w:ascii="Times New Roman;serif" w:hAnsi="Times New Roman;serif"/>
          <w:b w:val="false"/>
          <w:sz w:val="24"/>
          <w:u w:val="single"/>
        </w:rPr>
        <w:t>Options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Exercises of options for cash may be executed at any time. “Cashless exercise” option exercises are subject to trading windows. However, the Company will permit same day sales under approved Trading Plans that satisfy the requirements set forth herein.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6. </w:t>
      </w:r>
      <w:r>
        <w:rPr>
          <w:rFonts w:ascii="Times New Roman;serif" w:hAnsi="Times New Roman;serif"/>
          <w:b w:val="false"/>
          <w:sz w:val="24"/>
          <w:u w:val="single"/>
        </w:rPr>
        <w:t>Trades Outside of a Trading Plan</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During an open trading window, trades differing from Trading Plan instructions that are already in place are allowed as long as the Trading Plan continues to be followed.</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7. </w:t>
      </w:r>
      <w:r>
        <w:rPr>
          <w:rFonts w:ascii="Times New Roman;serif" w:hAnsi="Times New Roman;serif"/>
          <w:b w:val="false"/>
          <w:sz w:val="24"/>
          <w:u w:val="single"/>
        </w:rPr>
        <w:t>Public Announcements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8. </w:t>
      </w:r>
      <w:r>
        <w:rPr>
          <w:rFonts w:ascii="Times New Roman;serif" w:hAnsi="Times New Roman;serif"/>
          <w:b w:val="false"/>
          <w:sz w:val="24"/>
          <w:u w:val="single"/>
        </w:rPr>
        <w:t>Prohibited Transactions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9. </w:t>
      </w:r>
      <w:r>
        <w:rPr>
          <w:rFonts w:ascii="Times New Roman;serif" w:hAnsi="Times New Roman;serif"/>
          <w:b w:val="false"/>
          <w:sz w:val="24"/>
          <w:u w:val="single"/>
        </w:rPr>
        <w:t>No Section 16 Protection</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use of Trading Plans does not exempt participants from complying with the Section 16 reporting rules or liability for short-swing trades.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10. </w:t>
      </w:r>
      <w:r>
        <w:rPr>
          <w:rFonts w:ascii="Times New Roman;serif" w:hAnsi="Times New Roman;serif"/>
          <w:b w:val="false"/>
          <w:sz w:val="24"/>
          <w:u w:val="single"/>
        </w:rPr>
        <w:t>Limitation on Liability</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None of the Company, the Authorizing Officer or the Company’s other employees will have any liability for any delay in reviewing, or refusal of, a Trading Plan submitted pursuant to this Section VI.A. Notwithstanding any review of a Trading Plan pursuant to this Section VI.A, none of the Company, the Authorizing Officer or the Company’s other employees assumes any liability for the legality or consequences relating to such Trading Plan to the person adopting such Trading Plan.</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B. </w:t>
      </w:r>
      <w:r>
        <w:rPr>
          <w:rFonts w:ascii="Times New Roman;serif" w:hAnsi="Times New Roman;serif"/>
          <w:b w:val="false"/>
          <w:sz w:val="24"/>
          <w:u w:val="single"/>
        </w:rPr>
        <w:t>Section 16: Insider Reporting Requirements, Short-Swing Profits and Short Sales (Applicable to Officers, Directors and 10% Stockholders)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Reporting Obligations Under Section 16(a): SEC Forms 3, 4 and 5</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Section 16(a) of the 1934 Act generally requires all officers, directors and 10% stockholders (“insiders”),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days after the date on which such change occurs, or in certain cases on Form 5, within 45 days after fiscal year end. The two-day Form 4 deadline begins to run from the trade date rather than the settlement date. A Form 4 must be filed even if, as a result of balancing transactions, there has been no net change in holdings. In certain situations, purchases or sales of Company stock made within six months </w:t>
      </w:r>
      <w:r>
        <w:rPr>
          <w:rFonts w:ascii="Times New Roman;serif" w:hAnsi="Times New Roman;serif"/>
          <w:b w:val="false"/>
          <w:i/>
          <w:sz w:val="24"/>
        </w:rPr>
        <w:t>prior</w:t>
      </w:r>
      <w:r>
        <w:rPr>
          <w:rFonts w:ascii="Times New Roman" w:hAnsi="Times New Roman"/>
          <w:sz w:val="20"/>
        </w:rPr>
        <w:t xml:space="preserve"> </w:t>
      </w:r>
      <w:r>
        <w:rPr>
          <w:rFonts w:ascii="Times New Roman;serif" w:hAnsi="Times New Roman;serif"/>
          <w:b w:val="false"/>
          <w:sz w:val="24"/>
        </w:rPr>
        <w:t xml:space="preserve">to the filing of a Form 3 must be reported on Form 4. Similarly, certain purchases or sales of Company stock made within six months </w:t>
      </w:r>
      <w:r>
        <w:rPr>
          <w:rFonts w:ascii="Times New Roman;serif" w:hAnsi="Times New Roman;serif"/>
          <w:b w:val="false"/>
          <w:i/>
          <w:sz w:val="24"/>
        </w:rPr>
        <w:t>after</w:t>
      </w:r>
      <w:r>
        <w:rPr>
          <w:rFonts w:ascii="Times New Roman" w:hAnsi="Times New Roman"/>
          <w:sz w:val="20"/>
        </w:rPr>
        <w:t xml:space="preserve"> </w:t>
      </w:r>
      <w:r>
        <w:rPr>
          <w:rFonts w:ascii="Times New Roman;serif" w:hAnsi="Times New Roman;serif"/>
          <w:b w:val="false"/>
          <w:sz w:val="24"/>
        </w:rPr>
        <w:t>an officer or director ceases to be an insider must be reported on Form 4.</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Recovery of Profits Under Section 16(b)</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For the purpose of preventing the unfair use of information which may have been obtained by an insider, any profits realized by any officer, director or 10% stockholder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Officers and directors should consult the attached “Short-Swing Profit Rule Section 16(b) Checklist” attached hereto as “Attachment A” in addition to consulting the Chief Legal Officer prior to engaging in any transactions involving the Company’s securities, including without limitation, the Company’s stock, options or warrants.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3. </w:t>
      </w:r>
      <w:r>
        <w:rPr>
          <w:rFonts w:ascii="Times New Roman;serif" w:hAnsi="Times New Roman;serif"/>
          <w:b w:val="false"/>
          <w:sz w:val="24"/>
          <w:u w:val="single"/>
        </w:rPr>
        <w:t>Short Sales Prohibited Under Section 16(c)</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The Chief Legal Officer should be consulted if you have any questions regarding reporting obligations, short-swing profits or short sales under Section 16.</w:t>
      </w:r>
    </w:p>
    <w:p>
      <w:pPr>
        <w:pStyle w:val="TextBody"/>
        <w:bidi w:val="0"/>
        <w:spacing w:before="0" w:after="0"/>
        <w:jc w:val="left"/>
        <w:rPr>
          <w:rFonts w:ascii="Times New Roman" w:hAnsi="Times New Roman"/>
          <w:sz w:val="20"/>
        </w:rPr>
      </w:pPr>
      <w:r>
        <w:rPr>
          <w:rFonts w:ascii="Times New Roman;serif" w:hAnsi="Times New Roman;serif"/>
          <w:b w:val="false"/>
          <w:sz w:val="24"/>
        </w:rPr>
        <w:t xml:space="preserve">C. </w:t>
      </w:r>
      <w:r>
        <w:rPr>
          <w:rFonts w:ascii="Times New Roman;serif" w:hAnsi="Times New Roman;serif"/>
          <w:b w:val="false"/>
          <w:sz w:val="24"/>
          <w:u w:val="single"/>
        </w:rPr>
        <w:t>Rule 144 (Applicable to Officers, Directors and 10% Stockholders)</w:t>
      </w:r>
    </w:p>
    <w:p>
      <w:pPr>
        <w:pStyle w:val="TextBody"/>
        <w:bidi w:val="0"/>
        <w:spacing w:before="120" w:after="120"/>
        <w:jc w:val="left"/>
        <w:rPr>
          <w:rFonts w:ascii="Times New Roman" w:hAnsi="Times New Roman"/>
          <w:sz w:val="20"/>
        </w:rPr>
      </w:pPr>
      <w:r>
        <w:rPr>
          <w:rFonts w:ascii="Times New Roman;serif" w:hAnsi="Times New Roman;serif"/>
          <w:b w:val="false"/>
          <w:sz w:val="24"/>
        </w:rPr>
        <w:t xml:space="preserve">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w:t>
      </w:r>
      <w:r>
        <w:rPr>
          <w:rFonts w:ascii="Times New Roman;serif" w:hAnsi="Times New Roman;serif"/>
          <w:b w:val="false"/>
          <w:i/>
          <w:sz w:val="24"/>
        </w:rPr>
        <w:t>any</w:t>
      </w:r>
      <w:r>
        <w:rPr>
          <w:rFonts w:ascii="Times New Roman" w:hAnsi="Times New Roman"/>
          <w:sz w:val="20"/>
        </w:rPr>
        <w:t xml:space="preserve"> </w:t>
      </w:r>
      <w:r>
        <w:rPr>
          <w:rFonts w:ascii="Times New Roman;serif" w:hAnsi="Times New Roman;serif"/>
          <w:b w:val="false"/>
          <w:sz w:val="24"/>
        </w:rPr>
        <w:t>securities owned by directors, executive officers or other “affiliates” of the issuer, including stock purchased in the open market and stock received upon exercise of stock options. Sales of Company securities by affiliates (generally, directors, officers and 10%</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stockholders of the Company) must comply with the requirements of Rule 144, which are summarized below:</w:t>
      </w:r>
    </w:p>
    <w:p>
      <w:pPr>
        <w:pStyle w:val="TextBody"/>
        <w:bidi w:val="0"/>
        <w:spacing w:before="120" w:after="120"/>
        <w:jc w:val="left"/>
        <w:rPr/>
      </w:pPr>
      <w:r>
        <w:rPr/>
        <w:t xml:space="preserve"> </w:t>
      </w:r>
      <w:r>
        <w:rPr>
          <w:rFonts w:ascii="Times New Roman;serif" w:hAnsi="Times New Roman;serif"/>
          <w:b/>
          <w:i/>
          <w:sz w:val="24"/>
        </w:rPr>
        <w:t>Current Public Information.</w:t>
      </w:r>
      <w:r>
        <w:rPr>
          <w:rFonts w:ascii="Times New Roman" w:hAnsi="Times New Roman"/>
          <w:sz w:val="20"/>
        </w:rPr>
        <w:t xml:space="preserve"> </w:t>
      </w:r>
      <w:r>
        <w:rPr>
          <w:rFonts w:ascii="Times New Roman;serif" w:hAnsi="Times New Roman;serif"/>
          <w:b w:val="false"/>
          <w:sz w:val="24"/>
        </w:rPr>
        <w:t>The Company must have filed all SEC-required reports during the last 12 months.</w:t>
      </w:r>
    </w:p>
    <w:p>
      <w:pPr>
        <w:pStyle w:val="TextBody"/>
        <w:bidi w:val="0"/>
        <w:spacing w:before="120" w:after="120"/>
        <w:jc w:val="left"/>
        <w:rPr/>
      </w:pPr>
      <w:r>
        <w:rPr/>
        <w:t xml:space="preserve"> </w:t>
      </w:r>
      <w:r>
        <w:rPr>
          <w:rFonts w:ascii="Times New Roman;serif" w:hAnsi="Times New Roman;serif"/>
          <w:b/>
          <w:i/>
          <w:sz w:val="24"/>
        </w:rPr>
        <w:t>Volume Limitations.</w:t>
      </w:r>
      <w:r>
        <w:rPr>
          <w:rFonts w:ascii="Times New Roman" w:hAnsi="Times New Roman"/>
          <w:sz w:val="20"/>
        </w:rPr>
        <w:t xml:space="preserve"> </w:t>
      </w:r>
      <w:r>
        <w:rPr>
          <w:rFonts w:ascii="Times New Roman;serif" w:hAnsi="Times New Roman;serif"/>
          <w:b w:val="false"/>
          <w:sz w:val="24"/>
        </w:rPr>
        <w:t xml:space="preserve">Total sales of Company common stock by a covered individual for any three-month period may not exceed the </w:t>
      </w:r>
      <w:r>
        <w:rPr>
          <w:rFonts w:ascii="Times New Roman;serif" w:hAnsi="Times New Roman;serif"/>
          <w:b w:val="false"/>
          <w:i/>
          <w:sz w:val="24"/>
        </w:rPr>
        <w:t>greater</w:t>
      </w:r>
      <w:r>
        <w:rPr>
          <w:rFonts w:ascii="Times New Roman" w:hAnsi="Times New Roman"/>
          <w:sz w:val="20"/>
        </w:rPr>
        <w:t xml:space="preserve"> </w:t>
      </w:r>
      <w:r>
        <w:rPr>
          <w:rFonts w:ascii="Times New Roman;serif" w:hAnsi="Times New Roman;serif"/>
          <w:b w:val="false"/>
          <w:sz w:val="24"/>
        </w:rPr>
        <w:t>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pStyle w:val="TextBody"/>
        <w:bidi w:val="0"/>
        <w:spacing w:before="120" w:after="120"/>
        <w:jc w:val="left"/>
        <w:rPr/>
      </w:pPr>
      <w:r>
        <w:rPr/>
        <w:t xml:space="preserve"> </w:t>
      </w:r>
      <w:r>
        <w:rPr>
          <w:rFonts w:ascii="Times New Roman;serif" w:hAnsi="Times New Roman;serif"/>
          <w:b/>
          <w:i/>
          <w:sz w:val="24"/>
        </w:rPr>
        <w:t>Method of Sale.</w:t>
      </w:r>
      <w:r>
        <w:rPr>
          <w:rFonts w:ascii="Times New Roman" w:hAnsi="Times New Roman"/>
          <w:sz w:val="20"/>
        </w:rPr>
        <w:t xml:space="preserve"> </w:t>
      </w:r>
      <w:r>
        <w:rPr>
          <w:rFonts w:ascii="Times New Roman;serif" w:hAnsi="Times New Roman;serif"/>
          <w:b w:val="false"/>
          <w:sz w:val="24"/>
        </w:rPr>
        <w:t>The shares must be sold either in a “broker’s transaction” or in a transaction directly with a “market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r>
        <w:rPr>
          <w:rFonts w:ascii="Times New Roman" w:hAnsi="Times New Roman"/>
          <w:sz w:val="20"/>
        </w:rPr>
        <w:t xml:space="preserve"> </w:t>
      </w:r>
    </w:p>
    <w:p>
      <w:pPr>
        <w:pStyle w:val="TextBody"/>
        <w:bidi w:val="0"/>
        <w:spacing w:before="120" w:after="120"/>
        <w:jc w:val="left"/>
        <w:rPr/>
      </w:pPr>
      <w:r>
        <w:rPr/>
        <w:t xml:space="preserve"> </w:t>
      </w:r>
      <w:r>
        <w:rPr>
          <w:rFonts w:ascii="Times New Roman;serif" w:hAnsi="Times New Roman;serif"/>
          <w:b/>
          <w:i/>
          <w:sz w:val="24"/>
        </w:rPr>
        <w:t>Notice of Proposed Sale.</w:t>
      </w:r>
      <w:r>
        <w:rPr>
          <w:rFonts w:ascii="Times New Roman" w:hAnsi="Times New Roman"/>
          <w:sz w:val="20"/>
        </w:rPr>
        <w:t xml:space="preserve"> </w:t>
      </w:r>
      <w:r>
        <w:rPr>
          <w:rFonts w:ascii="Times New Roman;serif" w:hAnsi="Times New Roman;serif"/>
          <w:b w:val="false"/>
          <w:sz w:val="24"/>
        </w:rPr>
        <w:t>A notice of the sale (a Form 144) must be filed with the SEC at the time of the sale. Brokers generally have internal procedures for executing sales under Rule 144 and will assist you in completing the Form 144 and in complying with the other requirements of Rule 144.</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If you are subject to Rule 144, you must instruct your broker who handles trades in Company securities to follow the brokerage firm’s Rule 144 compliance procedures in connection with all trades.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VII. </w:t>
      </w:r>
      <w:r>
        <w:rPr>
          <w:rFonts w:ascii="Times New Roman;serif" w:hAnsi="Times New Roman;serif"/>
          <w:b w:val="false"/>
          <w:sz w:val="24"/>
          <w:u w:val="single"/>
        </w:rPr>
        <w:t>EXECUTION AND RETURN OF CERTIFICATION OF COMPLIANCE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After reading this Policy, all officers, directors and employees should execute and return to the Company’s Chief Legal Officer the Certification of Compliance form attached hereto as “Attachment B.”</w:t>
      </w:r>
    </w:p>
    <w:p>
      <w:pPr>
        <w:pStyle w:val="TextBody"/>
        <w:bidi w:val="0"/>
        <w:spacing w:before="120" w:after="12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0" w:after="0"/>
        <w:jc w:val="center"/>
        <w:rPr>
          <w:rFonts w:ascii="Times New Roman" w:hAnsi="Times New Roman"/>
          <w:sz w:val="20"/>
        </w:rPr>
      </w:pPr>
      <w:r>
        <w:rPr>
          <w:rFonts w:ascii="Times New Roman;serif" w:hAnsi="Times New Roman;serif"/>
          <w:b w:val="false"/>
          <w:sz w:val="24"/>
          <w:u w:val="single"/>
        </w:rPr>
        <w:t>ATTACHMENT A</w:t>
        <w:br/>
        <w:br/>
      </w:r>
      <w:r>
        <w:rPr>
          <w:rFonts w:ascii="Times New Roman;serif" w:hAnsi="Times New Roman;serif"/>
          <w:b w:val="false"/>
          <w:sz w:val="24"/>
        </w:rPr>
        <w:t>SHORT-SWING PROFIT RULE SECTION 16(B) CHECKLIST</w:t>
      </w:r>
    </w:p>
    <w:p>
      <w:pPr>
        <w:pStyle w:val="TextBody"/>
        <w:bidi w:val="0"/>
        <w:spacing w:before="0" w:after="240"/>
        <w:jc w:val="left"/>
        <w:rPr/>
      </w:pPr>
      <w:r>
        <w:rPr/>
        <w:t> </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Parsons Corporation (the “Company”).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pStyle w:val="TextBody"/>
        <w:bidi w:val="0"/>
        <w:spacing w:before="120" w:after="120"/>
        <w:jc w:val="center"/>
        <w:rPr>
          <w:rFonts w:ascii="Times New Roman;serif" w:hAnsi="Times New Roman;serif"/>
          <w:b/>
          <w:sz w:val="24"/>
        </w:rPr>
      </w:pPr>
      <w:r>
        <w:rPr>
          <w:rFonts w:ascii="Times New Roman;serif" w:hAnsi="Times New Roman;serif"/>
          <w:b/>
          <w:sz w:val="24"/>
        </w:rPr>
        <w:t>Sales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If a sale is to be made by an officer, director or 10% stockholder (or any family member living in the same household or certain affiliated entities):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1. Have there been any purchases by the insider (or family members living in the same household or certain affiliated entities) within the past six months?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2. Have there been any option grants or exercises not exempt under Rule 16b-3 within the past six months?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3. Are any purchases (or non-exempt option exercises) anticipated or required within the next six months?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4. Has a Form 4 been prepared?</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Note: If a sale is to be made by an affiliate of the Company, has a Form 144 been prepared and has the broker been reminded to sell pursuant to Rule 144?</w:t>
      </w:r>
    </w:p>
    <w:p>
      <w:pPr>
        <w:pStyle w:val="TextBody"/>
        <w:bidi w:val="0"/>
        <w:spacing w:before="120" w:after="120"/>
        <w:jc w:val="center"/>
        <w:rPr>
          <w:rFonts w:ascii="Times New Roman;serif" w:hAnsi="Times New Roman;serif"/>
          <w:b/>
          <w:sz w:val="24"/>
        </w:rPr>
      </w:pPr>
      <w:r>
        <w:rPr>
          <w:rFonts w:ascii="Times New Roman;serif" w:hAnsi="Times New Roman;serif"/>
          <w:b/>
          <w:sz w:val="24"/>
        </w:rPr>
        <w:t>Purchases And Option Exercises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If a purchase or option exercise for Company stock is to be made: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1. Have there been any sales by the insider (or family members living in the same household or certain affiliated entities) within the past six months?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2. Are any sales anticipated or required within the next six months (such as tax-related or year-end transactions)?</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3. Has a Form 4 been prepared?</w:t>
      </w:r>
    </w:p>
    <w:p>
      <w:pPr>
        <w:pStyle w:val="TextBody"/>
        <w:bidi w:val="0"/>
        <w:spacing w:before="120" w:after="120"/>
        <w:jc w:val="left"/>
        <w:rPr>
          <w:rFonts w:ascii="Times New Roman" w:hAnsi="Times New Roman"/>
          <w:sz w:val="20"/>
        </w:rPr>
      </w:pPr>
      <w:r>
        <w:rPr>
          <w:rFonts w:ascii="Times New Roman;serif" w:hAnsi="Times New Roman;serif"/>
          <w:b/>
          <w:sz w:val="24"/>
        </w:rPr>
        <w:t xml:space="preserve">Before proceeding with a purchase or sale, consider whether you are aware of material inside information which could affect the price of the Company stock. All transactions in the Company’s securities by officers and directors must be </w:t>
      </w:r>
      <w:r>
        <w:rPr>
          <w:rFonts w:ascii="Times New Roman;serif" w:hAnsi="Times New Roman;serif"/>
          <w:b/>
          <w:sz w:val="24"/>
          <w:u w:val="single"/>
        </w:rPr>
        <w:t>pre-cleared</w:t>
      </w:r>
      <w:r>
        <w:rPr>
          <w:rFonts w:ascii="Times New Roman" w:hAnsi="Times New Roman"/>
          <w:sz w:val="20"/>
        </w:rPr>
        <w:t xml:space="preserve"> </w:t>
      </w:r>
      <w:r>
        <w:rPr>
          <w:rFonts w:ascii="Times New Roman;serif" w:hAnsi="Times New Roman;serif"/>
          <w:b/>
          <w:sz w:val="24"/>
        </w:rPr>
        <w:t>by contacting the Company’s Chief Legal Officer or Chief Financial Officer.</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18</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Arial;sans-serif" w:hAnsi="Arial;sans-serif"/>
          <w:b w:val="false"/>
          <w:sz w:val="20"/>
        </w:rPr>
      </w:pPr>
      <w:r>
        <w:rPr>
          <w:rFonts w:ascii="Arial;sans-serif" w:hAnsi="Arial;sans-serif"/>
          <w:b w:val="false"/>
          <w:sz w:val="20"/>
        </w:rPr>
        <w:t>Sensitive</w:t>
      </w:r>
    </w:p>
    <w:p>
      <w:pPr>
        <w:pStyle w:val="TextBody"/>
        <w:bidi w:val="0"/>
        <w:spacing w:before="0" w:after="0"/>
        <w:jc w:val="center"/>
        <w:rPr>
          <w:rFonts w:ascii="Times New Roman" w:hAnsi="Times New Roman"/>
          <w:sz w:val="20"/>
        </w:rPr>
      </w:pPr>
      <w:r>
        <w:rPr>
          <w:rFonts w:ascii="Times New Roman;serif" w:hAnsi="Times New Roman;serif"/>
          <w:b w:val="false"/>
          <w:sz w:val="24"/>
          <w:u w:val="single"/>
        </w:rPr>
        <w:t>ATTACHMENT B</w:t>
      </w:r>
      <w:r>
        <w:rPr>
          <w:rFonts w:ascii="Times New Roman;serif" w:hAnsi="Times New Roman;serif"/>
          <w:b w:val="false"/>
          <w:sz w:val="24"/>
        </w:rPr>
        <w:br/>
        <w:br/>
        <w:t>CERTIFICATION OF COMPLIANCE</w:t>
      </w:r>
    </w:p>
    <w:p>
      <w:pPr>
        <w:pStyle w:val="TextBody"/>
        <w:bidi w:val="0"/>
        <w:spacing w:before="0" w:after="240"/>
        <w:jc w:val="left"/>
        <w:rPr/>
      </w:pPr>
      <w:r>
        <w:rPr/>
        <w:t> </w:t>
      </w:r>
    </w:p>
    <w:p>
      <w:pPr>
        <w:pStyle w:val="TextBody"/>
        <w:bidi w:val="0"/>
        <w:spacing w:before="120" w:after="120"/>
        <w:jc w:val="center"/>
        <w:rPr>
          <w:rFonts w:ascii="Times New Roman" w:hAnsi="Times New Roman"/>
          <w:sz w:val="20"/>
        </w:rPr>
      </w:pPr>
      <w:r>
        <w:rPr>
          <w:rFonts w:ascii="Times New Roman;serif" w:hAnsi="Times New Roman;serif"/>
          <w:b w:val="false"/>
          <w:sz w:val="24"/>
        </w:rPr>
        <w:t xml:space="preserve">RETURN BY [_________] </w:t>
      </w:r>
      <w:r>
        <w:rPr>
          <w:rFonts w:ascii="Times New Roman;serif" w:hAnsi="Times New Roman;serif"/>
          <w:b w:val="false"/>
          <w:i/>
          <w:sz w:val="24"/>
        </w:rPr>
        <w:t>[insert return deadline]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TO: __________________, Chief Legal Officer</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FROM: __________________________</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RE: INSIDER TRADING COMPLIANCE POLICY OF PARSONS CORPORATION</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 have received, reviewed and understand the above-referenced Insider Trading Compliance Policy and undertake, as a condition to my present and continued employment (or, if I am not an employee, affiliation with) Parsons Corporation, to comply fully with the policies and procedures contained therein.</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I hereby certify, to the best of my knowledge, that during the calendar year ending December 31, 20[__], I have complied fully with all policies and procedures set forth in the above-referenced Insider Trading Compliance Policy.</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___________________________ _______________</w:t>
        <w:br/>
        <w:t>SIGNATURE DATE</w:t>
      </w:r>
    </w:p>
    <w:p>
      <w:pPr>
        <w:pStyle w:val="TextBody"/>
        <w:bidi w:val="0"/>
        <w:spacing w:before="120" w:after="120"/>
        <w:jc w:val="left"/>
        <w:rPr>
          <w:rFonts w:ascii="Times New Roman;serif" w:hAnsi="Times New Roman;serif"/>
          <w:b w:val="false"/>
          <w:sz w:val="24"/>
        </w:rPr>
      </w:pPr>
      <w:r>
        <w:rPr>
          <w:rFonts w:ascii="Times New Roman;serif" w:hAnsi="Times New Roman;serif"/>
          <w:b w:val="false"/>
          <w:sz w:val="24"/>
        </w:rPr>
        <w:t>___________________________</w:t>
        <w:br/>
        <w:t>TITLE</w:t>
      </w:r>
    </w:p>
    <w:p>
      <w:pPr>
        <w:pStyle w:val="TextBody"/>
        <w:bidi w:val="0"/>
        <w:spacing w:before="120" w:after="12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19</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|US-DOCS\106876332.3|| | DATE \@ "MM-dd-yyyy" 07-05-2023 DATE \@ "HH:mm" 15:12|</w:t>
      </w:r>
    </w:p>
    <w:p>
      <w:pPr>
        <w:pStyle w:val="HorizontalLine"/>
        <w:pBdr>
          <w:bottom w:val="double" w:sz="2" w:space="0" w:color="808080"/>
        </w:pBdr>
        <w:bidi w:val="0"/>
        <w:spacing w:before="0" w:after="283"/>
        <w:jc w:val="left"/>
        <w:rPr/>
      </w:pPr>
      <w:r>
        <w:rPr/>
      </w:r>
    </w:p>
    <w:p>
      <w:pPr>
        <w:pStyle w:val="TextBody"/>
        <w:bidi w:val="0"/>
        <w:spacing w:before="0" w:after="0"/>
        <w:jc w:val="right"/>
        <w:rPr>
          <w:rFonts w:ascii="Arial;sans-serif" w:hAnsi="Arial;sans-serif"/>
          <w:b/>
          <w:sz w:val="20"/>
        </w:rPr>
      </w:pPr>
      <w:bookmarkStart w:id="28" w:name="psn-ex31_1.htm"/>
      <w:bookmarkStart w:id="29" w:name="kspsnex31_1"/>
      <w:bookmarkEnd w:id="28"/>
      <w:bookmarkEnd w:id="29"/>
      <w:r>
        <w:rPr>
          <w:rFonts w:ascii="Arial;sans-serif" w:hAnsi="Arial;sans-serif"/>
          <w:b/>
          <w:sz w:val="20"/>
        </w:rPr>
        <w:t>Exhibit 31.1</w:t>
      </w:r>
      <w:r>
        <w:br w:type="page"/>
      </w:r>
    </w:p>
    <w:p>
      <w:pPr>
        <w:pStyle w:val="TextBody"/>
        <w:bidi w:val="0"/>
        <w:spacing w:before="240" w:after="0"/>
        <w:jc w:val="center"/>
        <w:rPr>
          <w:rFonts w:ascii="Arial;sans-serif" w:hAnsi="Arial;sans-serif"/>
          <w:b/>
          <w:sz w:val="20"/>
        </w:rPr>
      </w:pPr>
      <w:r>
        <w:rPr>
          <w:rFonts w:ascii="Arial;sans-serif" w:hAnsi="Arial;sans-serif"/>
          <w:b/>
          <w:sz w:val="20"/>
        </w:rPr>
        <w:t>CERTIFICATION PURSUANT TO</w:t>
      </w:r>
    </w:p>
    <w:p>
      <w:pPr>
        <w:pStyle w:val="TextBody"/>
        <w:bidi w:val="0"/>
        <w:spacing w:before="0" w:after="0"/>
        <w:jc w:val="center"/>
        <w:rPr>
          <w:rFonts w:ascii="Arial;sans-serif" w:hAnsi="Arial;sans-serif"/>
          <w:b/>
          <w:sz w:val="20"/>
        </w:rPr>
      </w:pPr>
      <w:r>
        <w:rPr>
          <w:rFonts w:ascii="Arial;sans-serif" w:hAnsi="Arial;sans-serif"/>
          <w:b/>
          <w:sz w:val="20"/>
        </w:rPr>
        <w:t>RULES 13a-14(a) AND 15d-14(a) UNDER THE SECURITIES EXCHANGE ACT OF 1934,</w:t>
      </w:r>
    </w:p>
    <w:p>
      <w:pPr>
        <w:pStyle w:val="TextBody"/>
        <w:bidi w:val="0"/>
        <w:spacing w:before="0" w:after="0"/>
        <w:jc w:val="center"/>
        <w:rPr>
          <w:rFonts w:ascii="Arial;sans-serif" w:hAnsi="Arial;sans-serif"/>
          <w:b/>
          <w:sz w:val="20"/>
        </w:rPr>
      </w:pPr>
      <w:r>
        <w:rPr>
          <w:rFonts w:ascii="Arial;sans-serif" w:hAnsi="Arial;sans-serif"/>
          <w:b/>
          <w:sz w:val="20"/>
        </w:rPr>
        <w:t>AS ADOPTED PURSUANT TO SECTION 302 OF THE SARBANES-OXLEY ACT OF 2002</w:t>
      </w:r>
    </w:p>
    <w:p>
      <w:pPr>
        <w:pStyle w:val="TextBody"/>
        <w:bidi w:val="0"/>
        <w:spacing w:before="240" w:after="0"/>
        <w:jc w:val="left"/>
        <w:rPr>
          <w:rFonts w:ascii="Arial;sans-serif" w:hAnsi="Arial;sans-serif"/>
          <w:b w:val="false"/>
          <w:sz w:val="20"/>
        </w:rPr>
      </w:pPr>
      <w:r>
        <w:rPr>
          <w:rFonts w:ascii="Arial;sans-serif" w:hAnsi="Arial;sans-serif"/>
          <w:b w:val="false"/>
          <w:sz w:val="20"/>
        </w:rPr>
        <w:t>I, Carey A. Smith, certify that:</w:t>
      </w:r>
    </w:p>
    <w:p>
      <w:pPr>
        <w:pStyle w:val="TextBody"/>
        <w:bidi w:val="0"/>
        <w:spacing w:before="240" w:after="0"/>
        <w:jc w:val="left"/>
        <w:rPr>
          <w:rFonts w:ascii="Arial" w:hAnsi="Arial"/>
          <w:b w:val="false"/>
          <w:sz w:val="20"/>
        </w:rPr>
      </w:pPr>
      <w:r>
        <w:rPr>
          <w:rFonts w:ascii="Arial" w:hAnsi="Arial"/>
          <w:b w:val="false"/>
          <w:sz w:val="20"/>
        </w:rPr>
        <w:t>1.</w:t>
      </w:r>
    </w:p>
    <w:p>
      <w:pPr>
        <w:pStyle w:val="TextBody"/>
        <w:bidi w:val="0"/>
        <w:spacing w:before="240" w:after="0"/>
        <w:jc w:val="left"/>
        <w:rPr>
          <w:rFonts w:ascii="Arial;sans-serif" w:hAnsi="Arial;sans-serif"/>
          <w:b w:val="false"/>
          <w:sz w:val="20"/>
        </w:rPr>
      </w:pPr>
      <w:r>
        <w:rPr>
          <w:rFonts w:ascii="Arial;sans-serif" w:hAnsi="Arial;sans-serif"/>
          <w:b w:val="false"/>
          <w:sz w:val="20"/>
        </w:rPr>
        <w:t>I have reviewed this Quarterly Report on Form 10-Q of Parsons Corporation;</w:t>
      </w:r>
    </w:p>
    <w:p>
      <w:pPr>
        <w:pStyle w:val="TextBody"/>
        <w:bidi w:val="0"/>
        <w:spacing w:before="240" w:after="0"/>
        <w:jc w:val="left"/>
        <w:rPr>
          <w:rFonts w:ascii="Arial" w:hAnsi="Arial"/>
          <w:b w:val="false"/>
          <w:sz w:val="20"/>
        </w:rPr>
      </w:pPr>
      <w:r>
        <w:rPr>
          <w:rFonts w:ascii="Arial" w:hAnsi="Arial"/>
          <w:b w:val="false"/>
          <w:sz w:val="20"/>
        </w:rPr>
        <w:t>2.</w:t>
      </w:r>
    </w:p>
    <w:p>
      <w:pPr>
        <w:pStyle w:val="TextBody"/>
        <w:bidi w:val="0"/>
        <w:spacing w:before="240" w:after="0"/>
        <w:jc w:val="left"/>
        <w:rPr>
          <w:rFonts w:ascii="Arial;sans-serif" w:hAnsi="Arial;sans-serif"/>
          <w:b w:val="false"/>
          <w:sz w:val="20"/>
        </w:rPr>
      </w:pPr>
      <w:r>
        <w:rPr>
          <w:rFonts w:ascii="Arial;sans-serif" w:hAnsi="Arial;sans-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Arial" w:hAnsi="Arial"/>
          <w:b w:val="false"/>
          <w:sz w:val="20"/>
        </w:rPr>
      </w:pPr>
      <w:r>
        <w:rPr>
          <w:rFonts w:ascii="Arial" w:hAnsi="Arial"/>
          <w:b w:val="false"/>
          <w:sz w:val="20"/>
        </w:rPr>
        <w:t>3.</w:t>
      </w:r>
    </w:p>
    <w:p>
      <w:pPr>
        <w:pStyle w:val="TextBody"/>
        <w:bidi w:val="0"/>
        <w:spacing w:before="240" w:after="0"/>
        <w:jc w:val="left"/>
        <w:rPr>
          <w:rFonts w:ascii="Arial;sans-serif" w:hAnsi="Arial;sans-serif"/>
          <w:b w:val="false"/>
          <w:sz w:val="20"/>
        </w:rPr>
      </w:pPr>
      <w:r>
        <w:rPr>
          <w:rFonts w:ascii="Arial;sans-serif" w:hAnsi="Arial;sans-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160"/>
        <w:jc w:val="left"/>
        <w:rPr>
          <w:rFonts w:ascii="Arial" w:hAnsi="Arial"/>
          <w:b w:val="false"/>
          <w:sz w:val="20"/>
        </w:rPr>
      </w:pPr>
      <w:r>
        <w:rPr>
          <w:rFonts w:ascii="Arial" w:hAnsi="Arial"/>
          <w:b w:val="false"/>
          <w:sz w:val="20"/>
        </w:rPr>
        <w:t>4.</w:t>
      </w:r>
    </w:p>
    <w:p>
      <w:pPr>
        <w:pStyle w:val="TextBody"/>
        <w:bidi w:val="0"/>
        <w:spacing w:before="240" w:after="160"/>
        <w:jc w:val="left"/>
        <w:rPr>
          <w:rFonts w:ascii="Arial;sans-serif" w:hAnsi="Arial;sans-serif"/>
          <w:b w:val="false"/>
          <w:sz w:val="20"/>
        </w:rPr>
      </w:pPr>
      <w:r>
        <w:rPr>
          <w:rFonts w:ascii="Arial;sans-serif" w:hAnsi="Arial;sans-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Arial" w:hAnsi="Arial"/>
          <w:b w:val="false"/>
          <w:sz w:val="20"/>
        </w:rPr>
      </w:pPr>
      <w:r>
        <w:rPr>
          <w:rFonts w:ascii="Arial" w:hAnsi="Arial"/>
          <w:b w:val="false"/>
          <w:sz w:val="20"/>
        </w:rPr>
        <w:t>(a)</w:t>
      </w:r>
    </w:p>
    <w:p>
      <w:pPr>
        <w:pStyle w:val="TextBody"/>
        <w:bidi w:val="0"/>
        <w:spacing w:before="240" w:after="0"/>
        <w:jc w:val="left"/>
        <w:rPr>
          <w:rFonts w:ascii="Arial;sans-serif" w:hAnsi="Arial;sans-serif"/>
          <w:b w:val="false"/>
          <w:sz w:val="20"/>
        </w:rPr>
      </w:pPr>
      <w:r>
        <w:rPr>
          <w:rFonts w:ascii="Arial;sans-serif" w:hAnsi="Arial;sans-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Arial" w:hAnsi="Arial"/>
          <w:b w:val="false"/>
          <w:sz w:val="20"/>
        </w:rPr>
      </w:pPr>
      <w:r>
        <w:rPr>
          <w:rFonts w:ascii="Arial" w:hAnsi="Arial"/>
          <w:b w:val="false"/>
          <w:sz w:val="20"/>
        </w:rPr>
        <w:t>(b)</w:t>
      </w:r>
    </w:p>
    <w:p>
      <w:pPr>
        <w:pStyle w:val="TextBody"/>
        <w:bidi w:val="0"/>
        <w:spacing w:before="240" w:after="0"/>
        <w:jc w:val="left"/>
        <w:rPr>
          <w:rFonts w:ascii="Arial;sans-serif" w:hAnsi="Arial;sans-serif"/>
          <w:b w:val="false"/>
          <w:sz w:val="20"/>
        </w:rPr>
      </w:pPr>
      <w:r>
        <w:rPr>
          <w:rFonts w:ascii="Arial;sans-serif" w:hAnsi="Arial;sans-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Arial" w:hAnsi="Arial"/>
          <w:b w:val="false"/>
          <w:sz w:val="20"/>
        </w:rPr>
      </w:pPr>
      <w:r>
        <w:rPr>
          <w:rFonts w:ascii="Arial" w:hAnsi="Arial"/>
          <w:b w:val="false"/>
          <w:sz w:val="20"/>
        </w:rPr>
        <w:t>(c)</w:t>
      </w:r>
    </w:p>
    <w:p>
      <w:pPr>
        <w:pStyle w:val="TextBody"/>
        <w:bidi w:val="0"/>
        <w:spacing w:before="240" w:after="0"/>
        <w:jc w:val="left"/>
        <w:rPr>
          <w:rFonts w:ascii="Arial;sans-serif" w:hAnsi="Arial;sans-serif"/>
          <w:b w:val="false"/>
          <w:sz w:val="20"/>
        </w:rPr>
      </w:pPr>
      <w:r>
        <w:rPr>
          <w:rFonts w:ascii="Arial;sans-serif" w:hAnsi="Arial;sans-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Arial" w:hAnsi="Arial"/>
          <w:b w:val="false"/>
          <w:sz w:val="20"/>
        </w:rPr>
      </w:pPr>
      <w:r>
        <w:rPr>
          <w:rFonts w:ascii="Arial" w:hAnsi="Arial"/>
          <w:b w:val="false"/>
          <w:sz w:val="20"/>
        </w:rPr>
        <w:t>(d)</w:t>
      </w:r>
    </w:p>
    <w:p>
      <w:pPr>
        <w:pStyle w:val="TextBody"/>
        <w:bidi w:val="0"/>
        <w:spacing w:before="240" w:after="0"/>
        <w:jc w:val="left"/>
        <w:rPr>
          <w:rFonts w:ascii="Arial;sans-serif" w:hAnsi="Arial;sans-serif"/>
          <w:b w:val="false"/>
          <w:sz w:val="20"/>
        </w:rPr>
      </w:pPr>
      <w:r>
        <w:rPr>
          <w:rFonts w:ascii="Arial;sans-serif" w:hAnsi="Arial;sans-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Arial" w:hAnsi="Arial"/>
          <w:b w:val="false"/>
          <w:sz w:val="20"/>
        </w:rPr>
      </w:pPr>
      <w:r>
        <w:rPr>
          <w:rFonts w:ascii="Arial" w:hAnsi="Arial"/>
          <w:b w:val="false"/>
          <w:sz w:val="20"/>
        </w:rPr>
        <w:t>5.</w:t>
      </w:r>
    </w:p>
    <w:p>
      <w:pPr>
        <w:pStyle w:val="TextBody"/>
        <w:bidi w:val="0"/>
        <w:spacing w:before="240" w:after="0"/>
        <w:jc w:val="left"/>
        <w:rPr>
          <w:rFonts w:ascii="Arial;sans-serif" w:hAnsi="Arial;sans-serif"/>
          <w:b w:val="false"/>
          <w:sz w:val="20"/>
        </w:rPr>
      </w:pPr>
      <w:r>
        <w:rPr>
          <w:rFonts w:ascii="Arial;sans-serif" w:hAnsi="Arial;sans-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Arial" w:hAnsi="Arial"/>
          <w:b w:val="false"/>
          <w:sz w:val="20"/>
        </w:rPr>
      </w:pPr>
      <w:r>
        <w:rPr>
          <w:rFonts w:ascii="Arial" w:hAnsi="Arial"/>
          <w:b w:val="false"/>
          <w:sz w:val="20"/>
        </w:rPr>
        <w:t>(a)</w:t>
      </w:r>
    </w:p>
    <w:p>
      <w:pPr>
        <w:pStyle w:val="TextBody"/>
        <w:bidi w:val="0"/>
        <w:spacing w:before="240" w:after="0"/>
        <w:jc w:val="left"/>
        <w:rPr>
          <w:rFonts w:ascii="Arial;sans-serif" w:hAnsi="Arial;sans-serif"/>
          <w:b w:val="false"/>
          <w:sz w:val="20"/>
        </w:rPr>
      </w:pPr>
      <w:r>
        <w:rPr>
          <w:rFonts w:ascii="Arial;sans-serif" w:hAnsi="Arial;sans-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Arial" w:hAnsi="Arial"/>
          <w:b w:val="false"/>
          <w:sz w:val="20"/>
        </w:rPr>
      </w:pPr>
      <w:r>
        <w:rPr>
          <w:rFonts w:ascii="Arial" w:hAnsi="Arial"/>
          <w:b w:val="false"/>
          <w:sz w:val="20"/>
        </w:rPr>
        <w:t>(b)</w:t>
      </w:r>
    </w:p>
    <w:p>
      <w:pPr>
        <w:pStyle w:val="TextBody"/>
        <w:bidi w:val="0"/>
        <w:spacing w:before="240" w:after="283"/>
        <w:jc w:val="left"/>
        <w:rPr>
          <w:rFonts w:ascii="Arial;sans-serif" w:hAnsi="Arial;sans-serif"/>
          <w:b w:val="false"/>
          <w:sz w:val="20"/>
        </w:rPr>
      </w:pPr>
      <w:r>
        <w:rPr>
          <w:rFonts w:ascii="Arial;sans-serif" w:hAnsi="Arial;sans-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548" w:type="dxa"/>
        <w:jc w:val="left"/>
        <w:tblInd w:w="0" w:type="dxa"/>
        <w:tblLayout w:type="fixed"/>
        <w:tblCellMar>
          <w:top w:w="28" w:type="dxa"/>
          <w:left w:w="28" w:type="dxa"/>
          <w:bottom w:w="28" w:type="dxa"/>
          <w:right w:w="28" w:type="dxa"/>
        </w:tblCellMar>
      </w:tblPr>
      <w:tblGrid>
        <w:gridCol w:w="1966"/>
        <w:gridCol w:w="40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2, 2023</w:t>
            </w:r>
          </w:p>
        </w:tc>
        <w:tc>
          <w:tcPr>
            <w:tcW w:w="4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21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/s/ Carey A. Smith</w:t>
            </w:r>
          </w:p>
        </w:tc>
      </w:tr>
      <w:tr>
        <w:trPr/>
        <w:tc>
          <w:tcPr>
            <w:tcW w:w="19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40" w:after="0"/>
              <w:ind w:left="0" w:right="0" w:hanging="0"/>
              <w:jc w:val="center"/>
              <w:rPr>
                <w:rFonts w:ascii="Arial;sans-serif" w:hAnsi="Arial;sans-serif"/>
                <w:b w:val="false"/>
                <w:sz w:val="20"/>
              </w:rPr>
            </w:pPr>
            <w:r>
              <w:rPr>
                <w:rFonts w:ascii="Arial;sans-serif" w:hAnsi="Arial;sans-serif"/>
                <w:b w:val="false"/>
                <w:sz w:val="20"/>
              </w:rPr>
              <w:t>Carey A. Smith</w:t>
            </w:r>
          </w:p>
        </w:tc>
      </w:tr>
      <w:tr>
        <w:trPr/>
        <w:tc>
          <w:tcPr>
            <w:tcW w:w="19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Arial;sans-serif" w:hAnsi="Arial;sans-serif"/>
          <w:b/>
          <w:sz w:val="20"/>
        </w:rPr>
      </w:pPr>
      <w:bookmarkStart w:id="30" w:name="psn-ex31_2.htm"/>
      <w:bookmarkStart w:id="31" w:name="kspsnex31_2"/>
      <w:bookmarkEnd w:id="30"/>
      <w:bookmarkEnd w:id="31"/>
      <w:r>
        <w:rPr>
          <w:rFonts w:ascii="Arial;sans-serif" w:hAnsi="Arial;sans-serif"/>
          <w:b/>
          <w:sz w:val="20"/>
        </w:rPr>
        <w:t>Exhibit 31.2</w:t>
      </w:r>
      <w:r>
        <w:br w:type="page"/>
      </w:r>
    </w:p>
    <w:p>
      <w:pPr>
        <w:pStyle w:val="TextBody"/>
        <w:bidi w:val="0"/>
        <w:spacing w:before="240" w:after="0"/>
        <w:jc w:val="center"/>
        <w:rPr>
          <w:rFonts w:ascii="Arial;sans-serif" w:hAnsi="Arial;sans-serif"/>
          <w:b/>
          <w:sz w:val="20"/>
        </w:rPr>
      </w:pPr>
      <w:r>
        <w:rPr>
          <w:rFonts w:ascii="Arial;sans-serif" w:hAnsi="Arial;sans-serif"/>
          <w:b/>
          <w:sz w:val="20"/>
        </w:rPr>
        <w:t>CERTIFICATION PURSUANT TO</w:t>
      </w:r>
    </w:p>
    <w:p>
      <w:pPr>
        <w:pStyle w:val="TextBody"/>
        <w:bidi w:val="0"/>
        <w:spacing w:before="0" w:after="0"/>
        <w:jc w:val="center"/>
        <w:rPr>
          <w:rFonts w:ascii="Arial;sans-serif" w:hAnsi="Arial;sans-serif"/>
          <w:b/>
          <w:sz w:val="20"/>
        </w:rPr>
      </w:pPr>
      <w:r>
        <w:rPr>
          <w:rFonts w:ascii="Arial;sans-serif" w:hAnsi="Arial;sans-serif"/>
          <w:b/>
          <w:sz w:val="20"/>
        </w:rPr>
        <w:t>RULES 13a-14(a) AND 15d-14(a) UNDER THE SECURITIES EXCHANGE ACT OF 1934,</w:t>
      </w:r>
    </w:p>
    <w:p>
      <w:pPr>
        <w:pStyle w:val="TextBody"/>
        <w:bidi w:val="0"/>
        <w:spacing w:before="0" w:after="0"/>
        <w:jc w:val="center"/>
        <w:rPr>
          <w:rFonts w:ascii="Arial;sans-serif" w:hAnsi="Arial;sans-serif"/>
          <w:b/>
          <w:sz w:val="20"/>
        </w:rPr>
      </w:pPr>
      <w:r>
        <w:rPr>
          <w:rFonts w:ascii="Arial;sans-serif" w:hAnsi="Arial;sans-serif"/>
          <w:b/>
          <w:sz w:val="20"/>
        </w:rPr>
        <w:t>AS ADOPTED PURSUANT TO SECTION 302 OF THE SARBANES-OXLEY ACT OF 2002</w:t>
      </w:r>
    </w:p>
    <w:p>
      <w:pPr>
        <w:pStyle w:val="TextBody"/>
        <w:bidi w:val="0"/>
        <w:spacing w:before="240" w:after="0"/>
        <w:jc w:val="left"/>
        <w:rPr>
          <w:rFonts w:ascii="Arial;sans-serif" w:hAnsi="Arial;sans-serif"/>
          <w:b w:val="false"/>
          <w:sz w:val="20"/>
        </w:rPr>
      </w:pPr>
      <w:r>
        <w:rPr>
          <w:rFonts w:ascii="Arial;sans-serif" w:hAnsi="Arial;sans-serif"/>
          <w:b w:val="false"/>
          <w:sz w:val="20"/>
        </w:rPr>
        <w:t>I, Matthew M. Ofilos, certify that:</w:t>
      </w:r>
    </w:p>
    <w:p>
      <w:pPr>
        <w:pStyle w:val="TextBody"/>
        <w:bidi w:val="0"/>
        <w:spacing w:before="240" w:after="0"/>
        <w:jc w:val="left"/>
        <w:rPr>
          <w:rFonts w:ascii="Arial" w:hAnsi="Arial"/>
          <w:b w:val="false"/>
          <w:sz w:val="20"/>
        </w:rPr>
      </w:pPr>
      <w:r>
        <w:rPr>
          <w:rFonts w:ascii="Arial" w:hAnsi="Arial"/>
          <w:b w:val="false"/>
          <w:sz w:val="20"/>
        </w:rPr>
        <w:t>1.</w:t>
      </w:r>
    </w:p>
    <w:p>
      <w:pPr>
        <w:pStyle w:val="TextBody"/>
        <w:bidi w:val="0"/>
        <w:spacing w:before="240" w:after="0"/>
        <w:jc w:val="left"/>
        <w:rPr>
          <w:rFonts w:ascii="Arial;sans-serif" w:hAnsi="Arial;sans-serif"/>
          <w:b w:val="false"/>
          <w:sz w:val="20"/>
        </w:rPr>
      </w:pPr>
      <w:r>
        <w:rPr>
          <w:rFonts w:ascii="Arial;sans-serif" w:hAnsi="Arial;sans-serif"/>
          <w:b w:val="false"/>
          <w:sz w:val="20"/>
        </w:rPr>
        <w:t>I have reviewed this Quarterly Report on Form 10-Q of Parsons Corporation;</w:t>
      </w:r>
    </w:p>
    <w:p>
      <w:pPr>
        <w:pStyle w:val="TextBody"/>
        <w:bidi w:val="0"/>
        <w:spacing w:before="240" w:after="0"/>
        <w:jc w:val="left"/>
        <w:rPr>
          <w:rFonts w:ascii="Arial" w:hAnsi="Arial"/>
          <w:b w:val="false"/>
          <w:sz w:val="20"/>
        </w:rPr>
      </w:pPr>
      <w:r>
        <w:rPr>
          <w:rFonts w:ascii="Arial" w:hAnsi="Arial"/>
          <w:b w:val="false"/>
          <w:sz w:val="20"/>
        </w:rPr>
        <w:t>2.</w:t>
      </w:r>
    </w:p>
    <w:p>
      <w:pPr>
        <w:pStyle w:val="TextBody"/>
        <w:bidi w:val="0"/>
        <w:spacing w:before="240" w:after="0"/>
        <w:jc w:val="left"/>
        <w:rPr>
          <w:rFonts w:ascii="Arial;sans-serif" w:hAnsi="Arial;sans-serif"/>
          <w:b w:val="false"/>
          <w:sz w:val="20"/>
        </w:rPr>
      </w:pPr>
      <w:r>
        <w:rPr>
          <w:rFonts w:ascii="Arial;sans-serif" w:hAnsi="Arial;sans-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Arial" w:hAnsi="Arial"/>
          <w:b w:val="false"/>
          <w:sz w:val="20"/>
        </w:rPr>
      </w:pPr>
      <w:r>
        <w:rPr>
          <w:rFonts w:ascii="Arial" w:hAnsi="Arial"/>
          <w:b w:val="false"/>
          <w:sz w:val="20"/>
        </w:rPr>
        <w:t>3.</w:t>
      </w:r>
    </w:p>
    <w:p>
      <w:pPr>
        <w:pStyle w:val="TextBody"/>
        <w:bidi w:val="0"/>
        <w:spacing w:before="240" w:after="0"/>
        <w:jc w:val="left"/>
        <w:rPr>
          <w:rFonts w:ascii="Arial;sans-serif" w:hAnsi="Arial;sans-serif"/>
          <w:b w:val="false"/>
          <w:sz w:val="20"/>
        </w:rPr>
      </w:pPr>
      <w:r>
        <w:rPr>
          <w:rFonts w:ascii="Arial;sans-serif" w:hAnsi="Arial;sans-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Arial" w:hAnsi="Arial"/>
          <w:b w:val="false"/>
          <w:sz w:val="20"/>
        </w:rPr>
      </w:pPr>
      <w:r>
        <w:rPr>
          <w:rFonts w:ascii="Arial" w:hAnsi="Arial"/>
          <w:b w:val="false"/>
          <w:sz w:val="20"/>
        </w:rPr>
        <w:t>4.</w:t>
      </w:r>
    </w:p>
    <w:p>
      <w:pPr>
        <w:pStyle w:val="TextBody"/>
        <w:bidi w:val="0"/>
        <w:spacing w:before="240" w:after="0"/>
        <w:jc w:val="left"/>
        <w:rPr>
          <w:rFonts w:ascii="Arial;sans-serif" w:hAnsi="Arial;sans-serif"/>
          <w:b w:val="false"/>
          <w:sz w:val="20"/>
        </w:rPr>
      </w:pPr>
      <w:r>
        <w:rPr>
          <w:rFonts w:ascii="Arial;sans-serif" w:hAnsi="Arial;sans-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Arial" w:hAnsi="Arial"/>
          <w:b w:val="false"/>
          <w:sz w:val="20"/>
        </w:rPr>
      </w:pPr>
      <w:r>
        <w:rPr>
          <w:rFonts w:ascii="Arial" w:hAnsi="Arial"/>
          <w:b w:val="false"/>
          <w:sz w:val="20"/>
        </w:rPr>
        <w:t>(a)</w:t>
      </w:r>
    </w:p>
    <w:p>
      <w:pPr>
        <w:pStyle w:val="TextBody"/>
        <w:bidi w:val="0"/>
        <w:spacing w:before="240" w:after="0"/>
        <w:jc w:val="left"/>
        <w:rPr>
          <w:rFonts w:ascii="Arial;sans-serif" w:hAnsi="Arial;sans-serif"/>
          <w:b w:val="false"/>
          <w:sz w:val="20"/>
        </w:rPr>
      </w:pPr>
      <w:r>
        <w:rPr>
          <w:rFonts w:ascii="Arial;sans-serif" w:hAnsi="Arial;sans-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Arial" w:hAnsi="Arial"/>
          <w:b w:val="false"/>
          <w:sz w:val="20"/>
        </w:rPr>
      </w:pPr>
      <w:r>
        <w:rPr>
          <w:rFonts w:ascii="Arial" w:hAnsi="Arial"/>
          <w:b w:val="false"/>
          <w:sz w:val="20"/>
        </w:rPr>
        <w:t>(b)</w:t>
      </w:r>
    </w:p>
    <w:p>
      <w:pPr>
        <w:pStyle w:val="TextBody"/>
        <w:bidi w:val="0"/>
        <w:spacing w:before="240" w:after="0"/>
        <w:jc w:val="left"/>
        <w:rPr>
          <w:rFonts w:ascii="Arial;sans-serif" w:hAnsi="Arial;sans-serif"/>
          <w:b w:val="false"/>
          <w:sz w:val="20"/>
        </w:rPr>
      </w:pPr>
      <w:r>
        <w:rPr>
          <w:rFonts w:ascii="Arial;sans-serif" w:hAnsi="Arial;sans-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Arial" w:hAnsi="Arial"/>
          <w:b w:val="false"/>
          <w:sz w:val="20"/>
        </w:rPr>
      </w:pPr>
      <w:r>
        <w:rPr>
          <w:rFonts w:ascii="Arial" w:hAnsi="Arial"/>
          <w:b w:val="false"/>
          <w:sz w:val="20"/>
        </w:rPr>
        <w:t>(c)</w:t>
      </w:r>
    </w:p>
    <w:p>
      <w:pPr>
        <w:pStyle w:val="TextBody"/>
        <w:bidi w:val="0"/>
        <w:spacing w:before="240" w:after="0"/>
        <w:jc w:val="left"/>
        <w:rPr>
          <w:rFonts w:ascii="Arial;sans-serif" w:hAnsi="Arial;sans-serif"/>
          <w:b w:val="false"/>
          <w:sz w:val="20"/>
        </w:rPr>
      </w:pPr>
      <w:r>
        <w:rPr>
          <w:rFonts w:ascii="Arial;sans-serif" w:hAnsi="Arial;sans-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Arial" w:hAnsi="Arial"/>
          <w:b w:val="false"/>
          <w:sz w:val="20"/>
        </w:rPr>
      </w:pPr>
      <w:r>
        <w:rPr>
          <w:rFonts w:ascii="Arial" w:hAnsi="Arial"/>
          <w:b w:val="false"/>
          <w:sz w:val="20"/>
        </w:rPr>
        <w:t>(d)</w:t>
      </w:r>
    </w:p>
    <w:p>
      <w:pPr>
        <w:pStyle w:val="TextBody"/>
        <w:bidi w:val="0"/>
        <w:spacing w:before="240" w:after="0"/>
        <w:jc w:val="left"/>
        <w:rPr>
          <w:rFonts w:ascii="Arial;sans-serif" w:hAnsi="Arial;sans-serif"/>
          <w:b w:val="false"/>
          <w:sz w:val="20"/>
        </w:rPr>
      </w:pPr>
      <w:r>
        <w:rPr>
          <w:rFonts w:ascii="Arial;sans-serif" w:hAnsi="Arial;sans-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Arial" w:hAnsi="Arial"/>
          <w:b w:val="false"/>
          <w:sz w:val="20"/>
        </w:rPr>
      </w:pPr>
      <w:r>
        <w:rPr>
          <w:rFonts w:ascii="Arial" w:hAnsi="Arial"/>
          <w:b w:val="false"/>
          <w:sz w:val="20"/>
        </w:rPr>
        <w:t>5.</w:t>
      </w:r>
    </w:p>
    <w:p>
      <w:pPr>
        <w:pStyle w:val="TextBody"/>
        <w:bidi w:val="0"/>
        <w:spacing w:before="240" w:after="0"/>
        <w:jc w:val="left"/>
        <w:rPr>
          <w:rFonts w:ascii="Arial;sans-serif" w:hAnsi="Arial;sans-serif"/>
          <w:b w:val="false"/>
          <w:sz w:val="20"/>
        </w:rPr>
      </w:pPr>
      <w:r>
        <w:rPr>
          <w:rFonts w:ascii="Arial;sans-serif" w:hAnsi="Arial;sans-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Arial" w:hAnsi="Arial"/>
          <w:b w:val="false"/>
          <w:sz w:val="20"/>
        </w:rPr>
      </w:pPr>
      <w:r>
        <w:rPr>
          <w:rFonts w:ascii="Arial" w:hAnsi="Arial"/>
          <w:b w:val="false"/>
          <w:sz w:val="20"/>
        </w:rPr>
        <w:t>(a)</w:t>
      </w:r>
    </w:p>
    <w:p>
      <w:pPr>
        <w:pStyle w:val="TextBody"/>
        <w:bidi w:val="0"/>
        <w:spacing w:before="240" w:after="0"/>
        <w:jc w:val="left"/>
        <w:rPr>
          <w:rFonts w:ascii="Arial;sans-serif" w:hAnsi="Arial;sans-serif"/>
          <w:b w:val="false"/>
          <w:sz w:val="20"/>
        </w:rPr>
      </w:pPr>
      <w:r>
        <w:rPr>
          <w:rFonts w:ascii="Arial;sans-serif" w:hAnsi="Arial;sans-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Arial" w:hAnsi="Arial"/>
          <w:b w:val="false"/>
          <w:sz w:val="20"/>
        </w:rPr>
      </w:pPr>
      <w:r>
        <w:rPr>
          <w:rFonts w:ascii="Arial" w:hAnsi="Arial"/>
          <w:b w:val="false"/>
          <w:sz w:val="20"/>
        </w:rPr>
        <w:t>(b)</w:t>
      </w:r>
    </w:p>
    <w:p>
      <w:pPr>
        <w:pStyle w:val="TextBody"/>
        <w:bidi w:val="0"/>
        <w:spacing w:before="240" w:after="283"/>
        <w:jc w:val="left"/>
        <w:rPr>
          <w:rFonts w:ascii="Arial;sans-serif" w:hAnsi="Arial;sans-serif"/>
          <w:b w:val="false"/>
          <w:sz w:val="20"/>
        </w:rPr>
      </w:pPr>
      <w:r>
        <w:rPr>
          <w:rFonts w:ascii="Arial;sans-serif" w:hAnsi="Arial;sans-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458" w:type="dxa"/>
        <w:jc w:val="left"/>
        <w:tblInd w:w="0" w:type="dxa"/>
        <w:tblLayout w:type="fixed"/>
        <w:tblCellMar>
          <w:top w:w="28" w:type="dxa"/>
          <w:left w:w="28" w:type="dxa"/>
          <w:bottom w:w="28" w:type="dxa"/>
          <w:right w:w="28" w:type="dxa"/>
        </w:tblCellMar>
      </w:tblPr>
      <w:tblGrid>
        <w:gridCol w:w="1966"/>
        <w:gridCol w:w="40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2, 2023</w:t>
            </w:r>
          </w:p>
        </w:tc>
        <w:tc>
          <w:tcPr>
            <w:tcW w:w="4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20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/s/ Matthew M. Ofilos</w:t>
            </w:r>
          </w:p>
        </w:tc>
      </w:tr>
      <w:tr>
        <w:trPr/>
        <w:tc>
          <w:tcPr>
            <w:tcW w:w="19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40" w:after="0"/>
              <w:ind w:left="0" w:right="0" w:hanging="0"/>
              <w:jc w:val="center"/>
              <w:rPr>
                <w:rFonts w:ascii="Arial;sans-serif" w:hAnsi="Arial;sans-serif"/>
                <w:b w:val="false"/>
                <w:sz w:val="20"/>
              </w:rPr>
            </w:pPr>
            <w:r>
              <w:rPr>
                <w:rFonts w:ascii="Arial;sans-serif" w:hAnsi="Arial;sans-serif"/>
                <w:b w:val="false"/>
                <w:sz w:val="20"/>
              </w:rPr>
              <w:t>Matthew M. Ofilos</w:t>
            </w:r>
          </w:p>
        </w:tc>
      </w:tr>
      <w:tr>
        <w:trPr/>
        <w:tc>
          <w:tcPr>
            <w:tcW w:w="19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Arial;sans-serif" w:hAnsi="Arial;sans-serif"/>
          <w:b/>
          <w:sz w:val="20"/>
        </w:rPr>
      </w:pPr>
      <w:bookmarkStart w:id="32" w:name="psn-ex32_1.htm"/>
      <w:bookmarkStart w:id="33" w:name="kspsnex32_1"/>
      <w:bookmarkEnd w:id="32"/>
      <w:bookmarkEnd w:id="33"/>
      <w:r>
        <w:rPr>
          <w:rFonts w:ascii="Arial;sans-serif" w:hAnsi="Arial;sans-serif"/>
          <w:b/>
          <w:sz w:val="20"/>
        </w:rPr>
        <w:t>Exhibit 32.1</w:t>
      </w:r>
      <w:r>
        <w:br w:type="page"/>
      </w:r>
    </w:p>
    <w:p>
      <w:pPr>
        <w:pStyle w:val="TextBody"/>
        <w:bidi w:val="0"/>
        <w:spacing w:before="360" w:after="0"/>
        <w:jc w:val="center"/>
        <w:rPr>
          <w:rFonts w:ascii="Arial;sans-serif" w:hAnsi="Arial;sans-serif"/>
          <w:b/>
          <w:sz w:val="20"/>
        </w:rPr>
      </w:pPr>
      <w:r>
        <w:rPr>
          <w:rFonts w:ascii="Arial;sans-serif" w:hAnsi="Arial;sans-serif"/>
          <w:b/>
          <w:sz w:val="20"/>
        </w:rPr>
        <w:t>CERTIFICATION PURSUANT TO</w:t>
      </w:r>
    </w:p>
    <w:p>
      <w:pPr>
        <w:pStyle w:val="TextBody"/>
        <w:bidi w:val="0"/>
        <w:spacing w:before="0" w:after="0"/>
        <w:jc w:val="center"/>
        <w:rPr>
          <w:rFonts w:ascii="Arial;sans-serif" w:hAnsi="Arial;sans-serif"/>
          <w:b/>
          <w:sz w:val="20"/>
        </w:rPr>
      </w:pPr>
      <w:r>
        <w:rPr>
          <w:rFonts w:ascii="Arial;sans-serif" w:hAnsi="Arial;sans-serif"/>
          <w:b/>
          <w:sz w:val="20"/>
        </w:rPr>
        <w:t>18 U.S.C. SECTION 1350, AS ADOPTED PURSUANT TO</w:t>
      </w:r>
    </w:p>
    <w:p>
      <w:pPr>
        <w:pStyle w:val="TextBody"/>
        <w:bidi w:val="0"/>
        <w:spacing w:before="0" w:after="0"/>
        <w:jc w:val="center"/>
        <w:rPr>
          <w:rFonts w:ascii="Arial;sans-serif" w:hAnsi="Arial;sans-serif"/>
          <w:b/>
          <w:sz w:val="20"/>
        </w:rPr>
      </w:pPr>
      <w:r>
        <w:rPr>
          <w:rFonts w:ascii="Arial;sans-serif" w:hAnsi="Arial;sans-serif"/>
          <w:b/>
          <w:sz w:val="20"/>
        </w:rPr>
        <w:t>SECTION 906 OF THE SARBANES-OXLEY ACT OF 2002</w:t>
      </w:r>
    </w:p>
    <w:p>
      <w:pPr>
        <w:pStyle w:val="TextBody"/>
        <w:bidi w:val="0"/>
        <w:spacing w:before="240" w:after="0"/>
        <w:jc w:val="left"/>
        <w:rPr>
          <w:rFonts w:ascii="Arial;sans-serif" w:hAnsi="Arial;sans-serif"/>
          <w:b w:val="false"/>
          <w:sz w:val="20"/>
        </w:rPr>
      </w:pPr>
      <w:r>
        <w:rPr>
          <w:rFonts w:ascii="Arial;sans-serif" w:hAnsi="Arial;sans-serif"/>
          <w:b w:val="false"/>
          <w:sz w:val="20"/>
        </w:rPr>
        <w:t>In connection with the Quarterly Report of Parsons Corporation (the “Company”) on Form 10-Q for the period ending June 30, 2023 as filed with the Securities and Exchange Commission on the date hereof (the “Report”), I, Carey A. Smith, Chief Executive Officer of the Company, certify, pursuant to 18 U.S.C. § 1350, as adopted pursuant to § 906 of the Sarbanes-Oxley Act of 2002, that:</w:t>
      </w:r>
    </w:p>
    <w:p>
      <w:pPr>
        <w:pStyle w:val="TextBody"/>
        <w:bidi w:val="0"/>
        <w:spacing w:before="120" w:after="0"/>
        <w:jc w:val="left"/>
        <w:rPr>
          <w:rFonts w:ascii="Arial" w:hAnsi="Arial"/>
          <w:b w:val="false"/>
          <w:sz w:val="20"/>
        </w:rPr>
      </w:pPr>
      <w:r>
        <w:rPr>
          <w:rFonts w:ascii="Arial" w:hAnsi="Arial"/>
          <w:b w:val="false"/>
          <w:sz w:val="20"/>
        </w:rPr>
        <w:t>(1)</w:t>
      </w:r>
    </w:p>
    <w:p>
      <w:pPr>
        <w:pStyle w:val="TextBody"/>
        <w:bidi w:val="0"/>
        <w:spacing w:before="120" w:after="0"/>
        <w:jc w:val="left"/>
        <w:rPr>
          <w:rFonts w:ascii="Arial;sans-serif" w:hAnsi="Arial;sans-serif"/>
          <w:b w:val="false"/>
          <w:sz w:val="20"/>
        </w:rPr>
      </w:pPr>
      <w:r>
        <w:rPr>
          <w:rFonts w:ascii="Arial;sans-serif" w:hAnsi="Arial;sans-serif"/>
          <w:b w:val="false"/>
          <w:sz w:val="20"/>
        </w:rPr>
        <w:t>The Report fully complies with the requirements of section 13(a) or 15(d) of the Securities Exchange Act of 1934; and</w:t>
      </w:r>
    </w:p>
    <w:p>
      <w:pPr>
        <w:pStyle w:val="TextBody"/>
        <w:bidi w:val="0"/>
        <w:spacing w:before="240" w:after="0"/>
        <w:jc w:val="left"/>
        <w:rPr>
          <w:rFonts w:ascii="Arial" w:hAnsi="Arial"/>
          <w:b w:val="false"/>
          <w:sz w:val="20"/>
        </w:rPr>
      </w:pPr>
      <w:r>
        <w:rPr>
          <w:rFonts w:ascii="Arial" w:hAnsi="Arial"/>
          <w:b w:val="false"/>
          <w:sz w:val="20"/>
        </w:rPr>
        <w:t>(2)</w:t>
      </w:r>
    </w:p>
    <w:p>
      <w:pPr>
        <w:pStyle w:val="TextBody"/>
        <w:bidi w:val="0"/>
        <w:spacing w:before="240" w:after="283"/>
        <w:jc w:val="left"/>
        <w:rPr>
          <w:rFonts w:ascii="Arial;sans-serif" w:hAnsi="Arial;sans-serif"/>
          <w:b w:val="false"/>
          <w:sz w:val="20"/>
        </w:rPr>
      </w:pPr>
      <w:r>
        <w:rPr>
          <w:rFonts w:ascii="Arial;sans-serif" w:hAnsi="Arial;sans-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4657" w:type="dxa"/>
        <w:jc w:val="left"/>
        <w:tblInd w:w="0" w:type="dxa"/>
        <w:tblLayout w:type="fixed"/>
        <w:tblCellMar>
          <w:top w:w="28" w:type="dxa"/>
          <w:left w:w="28" w:type="dxa"/>
          <w:bottom w:w="28" w:type="dxa"/>
          <w:right w:w="28" w:type="dxa"/>
        </w:tblCellMar>
      </w:tblPr>
      <w:tblGrid>
        <w:gridCol w:w="1966"/>
        <w:gridCol w:w="109"/>
        <w:gridCol w:w="406"/>
        <w:gridCol w:w="2176"/>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2,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21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/s/ Carey A. Smith</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40" w:after="0"/>
              <w:ind w:left="0" w:right="0" w:hanging="0"/>
              <w:jc w:val="center"/>
              <w:rPr>
                <w:rFonts w:ascii="Arial;sans-serif" w:hAnsi="Arial;sans-serif"/>
                <w:b w:val="false"/>
                <w:sz w:val="20"/>
              </w:rPr>
            </w:pPr>
            <w:r>
              <w:rPr>
                <w:rFonts w:ascii="Arial;sans-serif" w:hAnsi="Arial;sans-serif"/>
                <w:b w:val="false"/>
                <w:sz w:val="20"/>
              </w:rPr>
              <w:t>Carey A. Smith</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Arial;sans-serif" w:hAnsi="Arial;sans-serif"/>
          <w:b w:val="false"/>
          <w:sz w:val="20"/>
        </w:rPr>
      </w:pPr>
      <w:r>
        <w:rPr>
          <w:rFonts w:ascii="Arial;sans-serif" w:hAnsi="Arial;sans-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Arial;sans-serif" w:hAnsi="Arial;sans-serif"/>
          <w:b/>
          <w:sz w:val="20"/>
        </w:rPr>
      </w:pPr>
      <w:bookmarkStart w:id="34" w:name="psn-ex32_2.htm"/>
      <w:bookmarkStart w:id="35" w:name="kspsnex32_2"/>
      <w:bookmarkEnd w:id="34"/>
      <w:bookmarkEnd w:id="35"/>
      <w:r>
        <w:rPr>
          <w:rFonts w:ascii="Arial;sans-serif" w:hAnsi="Arial;sans-serif"/>
          <w:b/>
          <w:sz w:val="20"/>
        </w:rPr>
        <w:t>Exhibit 32.2</w:t>
      </w:r>
      <w:r>
        <w:br w:type="page"/>
      </w:r>
    </w:p>
    <w:p>
      <w:pPr>
        <w:pStyle w:val="TextBody"/>
        <w:bidi w:val="0"/>
        <w:spacing w:before="360" w:after="0"/>
        <w:jc w:val="center"/>
        <w:rPr>
          <w:rFonts w:ascii="Arial;sans-serif" w:hAnsi="Arial;sans-serif"/>
          <w:b/>
          <w:sz w:val="20"/>
        </w:rPr>
      </w:pPr>
      <w:r>
        <w:rPr>
          <w:rFonts w:ascii="Arial;sans-serif" w:hAnsi="Arial;sans-serif"/>
          <w:b/>
          <w:sz w:val="20"/>
        </w:rPr>
        <w:t>CERTIFICATION PURSUANT TO</w:t>
      </w:r>
    </w:p>
    <w:p>
      <w:pPr>
        <w:pStyle w:val="TextBody"/>
        <w:bidi w:val="0"/>
        <w:spacing w:before="0" w:after="0"/>
        <w:jc w:val="center"/>
        <w:rPr>
          <w:rFonts w:ascii="Arial;sans-serif" w:hAnsi="Arial;sans-serif"/>
          <w:b/>
          <w:sz w:val="20"/>
        </w:rPr>
      </w:pPr>
      <w:r>
        <w:rPr>
          <w:rFonts w:ascii="Arial;sans-serif" w:hAnsi="Arial;sans-serif"/>
          <w:b/>
          <w:sz w:val="20"/>
        </w:rPr>
        <w:t>18 U.S.C. SECTION 1350, AS ADOPTED PURSUANT TO</w:t>
      </w:r>
    </w:p>
    <w:p>
      <w:pPr>
        <w:pStyle w:val="TextBody"/>
        <w:bidi w:val="0"/>
        <w:spacing w:before="0" w:after="0"/>
        <w:jc w:val="center"/>
        <w:rPr>
          <w:rFonts w:ascii="Arial;sans-serif" w:hAnsi="Arial;sans-serif"/>
          <w:b/>
          <w:sz w:val="20"/>
        </w:rPr>
      </w:pPr>
      <w:r>
        <w:rPr>
          <w:rFonts w:ascii="Arial;sans-serif" w:hAnsi="Arial;sans-serif"/>
          <w:b/>
          <w:sz w:val="20"/>
        </w:rPr>
        <w:t>SECTION 906 OF THE SARBANES-OXLEY ACT OF 2002</w:t>
      </w:r>
    </w:p>
    <w:p>
      <w:pPr>
        <w:pStyle w:val="TextBody"/>
        <w:bidi w:val="0"/>
        <w:spacing w:before="240" w:after="0"/>
        <w:jc w:val="left"/>
        <w:rPr>
          <w:rFonts w:ascii="Arial;sans-serif" w:hAnsi="Arial;sans-serif"/>
          <w:b w:val="false"/>
          <w:sz w:val="20"/>
        </w:rPr>
      </w:pPr>
      <w:r>
        <w:rPr>
          <w:rFonts w:ascii="Arial;sans-serif" w:hAnsi="Arial;sans-serif"/>
          <w:b w:val="false"/>
          <w:sz w:val="20"/>
        </w:rPr>
        <w:t>In connection with the Quarterly Report of Parsons Corporation (the “Company”) on Form 10-Q for the period ending June 30, 2023 as filed with the Securities and Exchange Commission on the date hereof (the “Report”), I, Matthew M. Ofilos, Chief Financial Officer of the Company, certify, pursuant to 18 U.S.C. § 1350, as adopted pursuant to § 906 of the Sarbanes-Oxley Act of 2002, that:</w:t>
      </w:r>
    </w:p>
    <w:p>
      <w:pPr>
        <w:pStyle w:val="TextBody"/>
        <w:bidi w:val="0"/>
        <w:spacing w:before="240" w:after="0"/>
        <w:jc w:val="left"/>
        <w:rPr>
          <w:rFonts w:ascii="Arial" w:hAnsi="Arial"/>
          <w:b w:val="false"/>
          <w:sz w:val="20"/>
        </w:rPr>
      </w:pPr>
      <w:r>
        <w:rPr>
          <w:rFonts w:ascii="Arial" w:hAnsi="Arial"/>
          <w:b w:val="false"/>
          <w:sz w:val="20"/>
        </w:rPr>
        <w:t>(1)</w:t>
      </w:r>
    </w:p>
    <w:p>
      <w:pPr>
        <w:pStyle w:val="TextBody"/>
        <w:bidi w:val="0"/>
        <w:spacing w:before="240" w:after="0"/>
        <w:jc w:val="left"/>
        <w:rPr>
          <w:rFonts w:ascii="Arial;sans-serif" w:hAnsi="Arial;sans-serif"/>
          <w:b w:val="false"/>
          <w:sz w:val="20"/>
        </w:rPr>
      </w:pPr>
      <w:r>
        <w:rPr>
          <w:rFonts w:ascii="Arial;sans-serif" w:hAnsi="Arial;sans-serif"/>
          <w:b w:val="false"/>
          <w:sz w:val="20"/>
        </w:rPr>
        <w:t>The Report fully complies with the requirements of section 13(a) or 15(d) of the Securities Exchange Act of 1934; and</w:t>
      </w:r>
    </w:p>
    <w:p>
      <w:pPr>
        <w:pStyle w:val="TextBody"/>
        <w:bidi w:val="0"/>
        <w:spacing w:before="240" w:after="0"/>
        <w:jc w:val="left"/>
        <w:rPr>
          <w:rFonts w:ascii="Arial" w:hAnsi="Arial"/>
          <w:b w:val="false"/>
          <w:sz w:val="20"/>
        </w:rPr>
      </w:pPr>
      <w:r>
        <w:rPr>
          <w:rFonts w:ascii="Arial" w:hAnsi="Arial"/>
          <w:b w:val="false"/>
          <w:sz w:val="20"/>
        </w:rPr>
        <w:t>(2)</w:t>
      </w:r>
    </w:p>
    <w:p>
      <w:pPr>
        <w:pStyle w:val="TextBody"/>
        <w:bidi w:val="0"/>
        <w:spacing w:before="240" w:after="283"/>
        <w:jc w:val="left"/>
        <w:rPr>
          <w:rFonts w:ascii="Arial;sans-serif" w:hAnsi="Arial;sans-serif"/>
          <w:b w:val="false"/>
          <w:sz w:val="20"/>
        </w:rPr>
      </w:pPr>
      <w:r>
        <w:rPr>
          <w:rFonts w:ascii="Arial;sans-serif" w:hAnsi="Arial;sans-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4567" w:type="dxa"/>
        <w:jc w:val="left"/>
        <w:tblInd w:w="0" w:type="dxa"/>
        <w:tblLayout w:type="fixed"/>
        <w:tblCellMar>
          <w:top w:w="28" w:type="dxa"/>
          <w:left w:w="28" w:type="dxa"/>
          <w:bottom w:w="28" w:type="dxa"/>
          <w:right w:w="28" w:type="dxa"/>
        </w:tblCellMar>
      </w:tblPr>
      <w:tblGrid>
        <w:gridCol w:w="1966"/>
        <w:gridCol w:w="109"/>
        <w:gridCol w:w="406"/>
        <w:gridCol w:w="2086"/>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Date: August 2,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Arial;sans-serif" w:hAnsi="Arial;sans-serif"/>
                <w:b w:val="false"/>
                <w:sz w:val="20"/>
              </w:rPr>
            </w:pPr>
            <w:r>
              <w:rPr>
                <w:rFonts w:ascii="Arial;sans-serif" w:hAnsi="Arial;sans-serif"/>
                <w:b w:val="false"/>
                <w:sz w:val="20"/>
              </w:rPr>
              <w:t>By:</w:t>
            </w:r>
          </w:p>
        </w:tc>
        <w:tc>
          <w:tcPr>
            <w:tcW w:w="20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/s/ Matthew M. Ofilos</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86" w:type="dxa"/>
            <w:tcBorders/>
            <w:vAlign w:val="center"/>
          </w:tcPr>
          <w:p>
            <w:pPr>
              <w:pStyle w:val="TableContents"/>
              <w:bidi w:val="0"/>
              <w:spacing w:before="40" w:after="0"/>
              <w:ind w:left="0" w:right="0" w:hanging="0"/>
              <w:jc w:val="center"/>
              <w:rPr>
                <w:rFonts w:ascii="Arial;sans-serif" w:hAnsi="Arial;sans-serif"/>
                <w:b w:val="false"/>
                <w:sz w:val="20"/>
              </w:rPr>
            </w:pPr>
            <w:r>
              <w:rPr>
                <w:rFonts w:ascii="Arial;sans-serif" w:hAnsi="Arial;sans-serif"/>
                <w:b w:val="false"/>
                <w:sz w:val="20"/>
              </w:rPr>
              <w:t>Matthew M. Ofilos</w:t>
            </w:r>
          </w:p>
        </w:tc>
      </w:tr>
      <w:tr>
        <w:trPr/>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86" w:type="dxa"/>
            <w:tcBorders/>
            <w:vAlign w:val="center"/>
          </w:tcPr>
          <w:p>
            <w:pPr>
              <w:pStyle w:val="TableContents"/>
              <w:bidi w:val="0"/>
              <w:spacing w:before="0" w:after="0"/>
              <w:ind w:left="0" w:right="0" w:hanging="0"/>
              <w:jc w:val="center"/>
              <w:rPr>
                <w:rFonts w:ascii="Arial;sans-serif" w:hAnsi="Arial;sans-serif"/>
                <w:b w:val="false"/>
                <w:sz w:val="20"/>
              </w:rPr>
            </w:pPr>
            <w:r>
              <w:rPr>
                <w:rFonts w:ascii="Arial;sans-serif" w:hAnsi="Arial;sans-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Arial;sans-serif" w:hAnsi="Arial;sans-serif"/>
          <w:b w:val="false"/>
          <w:sz w:val="20"/>
        </w:rPr>
      </w:pPr>
      <w:r>
        <w:rPr>
          <w:rFonts w:ascii="Arial;sans-serif" w:hAnsi="Arial;sans-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Calibri">
    <w:altName w:val="sans-serif"/>
    <w:charset w:val="01"/>
    <w:family w:val="auto"/>
    <w:pitch w:val="default"/>
  </w:font>
  <w:font w:name="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31966</Words>
  <Characters>173994</Characters>
  <CharactersWithSpaces>207367</CharactersWithSpaces>
  <Paragraphs>9127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