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 w:lineRule="exact"/>
        <w:rPr>
          <w:sz w:val="24"/>
          <w:szCs w:val="24"/>
          <w:color w:val="auto"/>
        </w:rPr>
      </w:pPr>
    </w:p>
    <w:p>
      <w:pPr>
        <w:ind w:left="1860" w:hanging="788"/>
        <w:spacing w:after="0"/>
        <w:tabs>
          <w:tab w:leader="none" w:pos="18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860" w:hanging="787"/>
        <w:spacing w:after="0"/>
        <w:tabs>
          <w:tab w:leader="none" w:pos="18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81"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77470</wp:posOffset>
            </wp:positionV>
            <wp:extent cx="2520315"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031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0"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rPr>
              <w:t>Delaware</w:t>
            </w:r>
          </w:p>
        </w:tc>
        <w:tc>
          <w:tcPr>
            <w:tcW w:w="3040" w:type="dxa"/>
            <w:vAlign w:val="bottom"/>
          </w:tcPr>
          <w:p>
            <w:pPr>
              <w:jc w:val="right"/>
              <w:ind w:right="41"/>
              <w:spacing w:after="0"/>
              <w:rPr>
                <w:sz w:val="20"/>
                <w:szCs w:val="20"/>
                <w:color w:val="auto"/>
              </w:rPr>
            </w:pPr>
            <w:r>
              <w:rPr>
                <w:rFonts w:ascii="Arial" w:cs="Arial" w:eastAsia="Arial" w:hAnsi="Arial"/>
                <w:sz w:val="18"/>
                <w:szCs w:val="18"/>
                <w:b w:val="1"/>
                <w:bCs w:val="1"/>
                <w:color w:val="auto"/>
              </w:rPr>
              <w:t>95-3232481</w:t>
            </w:r>
          </w:p>
        </w:tc>
      </w:tr>
      <w:tr>
        <w:trPr>
          <w:trHeight w:val="162"/>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Identification No.)</w:t>
            </w:r>
          </w:p>
        </w:tc>
      </w:tr>
      <w:tr>
        <w:trPr>
          <w:trHeight w:val="280"/>
        </w:trPr>
        <w:tc>
          <w:tcPr>
            <w:tcW w:w="4520" w:type="dxa"/>
            <w:vAlign w:val="bottom"/>
          </w:tcPr>
          <w:p>
            <w:pPr>
              <w:jc w:val="center"/>
              <w:ind w:right="1779"/>
              <w:spacing w:after="0"/>
              <w:rPr>
                <w:sz w:val="20"/>
                <w:szCs w:val="20"/>
                <w:color w:val="auto"/>
              </w:rPr>
            </w:pPr>
            <w:r>
              <w:rPr>
                <w:rFonts w:ascii="Arial" w:cs="Arial" w:eastAsia="Arial" w:hAnsi="Arial"/>
                <w:sz w:val="18"/>
                <w:szCs w:val="18"/>
                <w:b w:val="1"/>
                <w:bCs w:val="1"/>
                <w:color w:val="auto"/>
                <w:w w:val="99"/>
              </w:rPr>
              <w:t>5875 Trinity Parkway #300</w:t>
            </w:r>
          </w:p>
        </w:tc>
        <w:tc>
          <w:tcPr>
            <w:tcW w:w="3040" w:type="dxa"/>
            <w:vAlign w:val="bottom"/>
          </w:tcPr>
          <w:p>
            <w:pPr>
              <w:spacing w:after="0"/>
              <w:rPr>
                <w:sz w:val="24"/>
                <w:szCs w:val="24"/>
                <w:color w:val="auto"/>
              </w:rPr>
            </w:pPr>
          </w:p>
        </w:tc>
      </w:t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w w:val="99"/>
              </w:rPr>
              <w:t>Centreville, Virginia</w:t>
            </w:r>
          </w:p>
        </w:tc>
        <w:tc>
          <w:tcPr>
            <w:tcW w:w="3040" w:type="dxa"/>
            <w:vAlign w:val="bottom"/>
          </w:tcPr>
          <w:p>
            <w:pPr>
              <w:jc w:val="right"/>
              <w:ind w:right="281"/>
              <w:spacing w:after="0"/>
              <w:rPr>
                <w:sz w:val="20"/>
                <w:szCs w:val="20"/>
                <w:color w:val="auto"/>
              </w:rPr>
            </w:pPr>
            <w:r>
              <w:rPr>
                <w:rFonts w:ascii="Arial" w:cs="Arial" w:eastAsia="Arial" w:hAnsi="Arial"/>
                <w:sz w:val="18"/>
                <w:szCs w:val="18"/>
                <w:b w:val="1"/>
                <w:bCs w:val="1"/>
                <w:color w:val="auto"/>
              </w:rPr>
              <w:t>20120</w:t>
            </w:r>
          </w:p>
        </w:tc>
      </w:tr>
      <w:tr>
        <w:trPr>
          <w:trHeight w:val="196"/>
        </w:trPr>
        <w:tc>
          <w:tcPr>
            <w:tcW w:w="4520" w:type="dxa"/>
            <w:vAlign w:val="bottom"/>
          </w:tcPr>
          <w:p>
            <w:pPr>
              <w:jc w:val="center"/>
              <w:ind w:right="1759"/>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(Zip Code)</w:t>
            </w:r>
          </w:p>
        </w:tc>
      </w:tr>
    </w:tbl>
    <w:p>
      <w:pPr>
        <w:spacing w:after="0" w:line="24"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6" w:lineRule="exact"/>
        <w:rPr>
          <w:sz w:val="24"/>
          <w:szCs w:val="24"/>
          <w:color w:val="auto"/>
        </w:rPr>
      </w:pPr>
    </w:p>
    <w:p>
      <w:pPr>
        <w:ind w:left="6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Trading</w:t>
            </w:r>
          </w:p>
        </w:tc>
        <w:tc>
          <w:tcPr>
            <w:tcW w:w="5040" w:type="dxa"/>
            <w:vAlign w:val="bottom"/>
          </w:tcPr>
          <w:p>
            <w:pPr>
              <w:spacing w:after="0"/>
              <w:rPr>
                <w:sz w:val="14"/>
                <w:szCs w:val="14"/>
                <w:color w:val="auto"/>
              </w:rPr>
            </w:pPr>
          </w:p>
        </w:tc>
      </w:tr>
      <w:tr>
        <w:trPr>
          <w:trHeight w:val="17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4"/>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20" w:type="dxa"/>
            <w:vAlign w:val="bottom"/>
          </w:tcPr>
          <w:p>
            <w:pPr>
              <w:spacing w:after="0"/>
              <w:rPr>
                <w:sz w:val="22"/>
                <w:szCs w:val="22"/>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rPr>
              <w:t>PSN</w:t>
            </w: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45" w:lineRule="exact"/>
        <w:rPr>
          <w:sz w:val="24"/>
          <w:szCs w:val="24"/>
          <w:color w:val="auto"/>
        </w:rPr>
      </w:pPr>
    </w:p>
    <w:p>
      <w:pPr>
        <w:ind w:right="60"/>
        <w:spacing w:after="0" w:line="22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 w:lineRule="exact"/>
        <w:rPr>
          <w:sz w:val="24"/>
          <w:szCs w:val="24"/>
          <w:color w:val="auto"/>
        </w:rPr>
      </w:pPr>
    </w:p>
    <w:p>
      <w:pPr>
        <w:ind w:right="260"/>
        <w:spacing w:after="0" w:line="22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 w:lineRule="exact"/>
        <w:rPr>
          <w:sz w:val="24"/>
          <w:szCs w:val="24"/>
          <w:color w:val="auto"/>
        </w:rPr>
      </w:pPr>
    </w:p>
    <w:p>
      <w:pPr>
        <w:ind w:right="440" w:firstLine="599"/>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56" w:lineRule="exact"/>
        <w:rPr>
          <w:sz w:val="24"/>
          <w:szCs w:val="24"/>
          <w:color w:val="auto"/>
        </w:rPr>
      </w:pPr>
    </w:p>
    <w:p>
      <w:pPr>
        <w:ind w:right="460" w:firstLine="599"/>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600" w:right="800" w:hanging="598"/>
        <w:spacing w:after="0" w:line="276"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26, 2022, the registrant had 103,502,919 shares of common stock, $1.00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80" w:type="dxa"/>
            <w:vAlign w:val="bottom"/>
            <w:gridSpan w:val="6"/>
          </w:tcPr>
          <w:p>
            <w:pPr>
              <w:ind w:left="260"/>
              <w:spacing w:after="0"/>
              <w:rPr>
                <w:sz w:val="20"/>
                <w:szCs w:val="20"/>
                <w:color w:val="auto"/>
              </w:rPr>
            </w:pPr>
            <w:r>
              <w:rPr>
                <w:rFonts w:ascii="Arial" w:cs="Arial" w:eastAsia="Arial" w:hAnsi="Arial"/>
                <w:sz w:val="25"/>
                <w:szCs w:val="25"/>
                <w:b w:val="1"/>
                <w:bCs w:val="1"/>
                <w:color w:val="auto"/>
              </w:rPr>
              <w:t>Table of Contents</w:t>
            </w:r>
          </w:p>
        </w:tc>
      </w:tr>
      <w:tr>
        <w:trPr>
          <w:trHeight w:val="608"/>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2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8"/>
              </w:rPr>
              <w:t>FINANCIAL INFORMATION</w:t>
            </w:r>
          </w:p>
        </w:tc>
        <w:tc>
          <w:tcPr>
            <w:tcW w:w="4840" w:type="dxa"/>
            <w:vAlign w:val="bottom"/>
            <w:gridSpan w:val="11"/>
          </w:tcPr>
          <w:p>
            <w:pPr>
              <w:spacing w:after="0"/>
              <w:rPr>
                <w:sz w:val="24"/>
                <w:szCs w:val="24"/>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7080" w:type="dxa"/>
            <w:vAlign w:val="bottom"/>
            <w:gridSpan w:val="19"/>
          </w:tcPr>
          <w:p>
            <w:pPr>
              <w:spacing w:after="0"/>
              <w:rPr>
                <w:sz w:val="20"/>
                <w:szCs w:val="20"/>
                <w:color w:val="auto"/>
              </w:rPr>
            </w:pPr>
            <w:r>
              <w:rPr>
                <w:rFonts w:ascii="Arial" w:cs="Arial" w:eastAsia="Arial" w:hAnsi="Arial"/>
                <w:sz w:val="18"/>
                <w:szCs w:val="18"/>
                <w:color w:val="0000EE"/>
              </w:rPr>
              <w:t>Financial Statements (Unaudited)</w:t>
            </w:r>
          </w:p>
        </w:tc>
      </w:tr>
      <w:tr>
        <w:trPr>
          <w:trHeight w:val="223"/>
        </w:trPr>
        <w:tc>
          <w:tcPr>
            <w:tcW w:w="1120" w:type="dxa"/>
            <w:vAlign w:val="bottom"/>
          </w:tcPr>
          <w:p>
            <w:pPr>
              <w:spacing w:after="0"/>
              <w:rPr>
                <w:sz w:val="19"/>
                <w:szCs w:val="19"/>
                <w:color w:val="auto"/>
              </w:rPr>
            </w:pPr>
          </w:p>
        </w:tc>
        <w:tc>
          <w:tcPr>
            <w:tcW w:w="236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9"/>
              </w:rPr>
              <w:t>Consolidated Balance Sheets</w:t>
            </w:r>
          </w:p>
        </w:tc>
        <w:tc>
          <w:tcPr>
            <w:tcW w:w="300" w:type="dxa"/>
            <w:vAlign w:val="bottom"/>
            <w:tcBorders>
              <w:top w:val="single" w:sz="8" w:color="0000EE"/>
            </w:tcBorders>
            <w:gridSpan w:val="2"/>
          </w:tcPr>
          <w:p>
            <w:pPr>
              <w:spacing w:after="0"/>
              <w:rPr>
                <w:sz w:val="19"/>
                <w:szCs w:val="19"/>
                <w:color w:val="auto"/>
              </w:rPr>
            </w:pPr>
          </w:p>
        </w:tc>
        <w:tc>
          <w:tcPr>
            <w:tcW w:w="4420" w:type="dxa"/>
            <w:vAlign w:val="bottom"/>
            <w:gridSpan w:val="8"/>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0000EE"/>
              </w:rPr>
              <w:t>Consolidated Statements of Income</w:t>
            </w: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41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Consolidated Statements of Comprehensive Income</w:t>
            </w:r>
          </w:p>
        </w:tc>
        <w:tc>
          <w:tcPr>
            <w:tcW w:w="2920" w:type="dxa"/>
            <w:vAlign w:val="bottom"/>
            <w:gridSpan w:val="4"/>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32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9"/>
              </w:rPr>
              <w:t>Consolidated Statements of Cash Flows</w:t>
            </w:r>
          </w:p>
        </w:tc>
        <w:tc>
          <w:tcPr>
            <w:tcW w:w="3880" w:type="dxa"/>
            <w:vAlign w:val="bottom"/>
            <w:gridSpan w:val="6"/>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392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Consolidated Statements of Shareholders’ Equity</w:t>
            </w:r>
          </w:p>
        </w:tc>
        <w:tc>
          <w:tcPr>
            <w:tcW w:w="3160" w:type="dxa"/>
            <w:vAlign w:val="bottom"/>
            <w:gridSpan w:val="5"/>
          </w:tcPr>
          <w:p>
            <w:pPr>
              <w:spacing w:after="0"/>
              <w:rPr>
                <w:sz w:val="19"/>
                <w:szCs w:val="19"/>
                <w:color w:val="auto"/>
              </w:rPr>
            </w:pPr>
          </w:p>
        </w:tc>
      </w:tr>
      <w:tr>
        <w:trPr>
          <w:trHeight w:val="237"/>
        </w:trPr>
        <w:tc>
          <w:tcPr>
            <w:tcW w:w="1120" w:type="dxa"/>
            <w:vAlign w:val="bottom"/>
          </w:tcPr>
          <w:p>
            <w:pPr>
              <w:spacing w:after="0"/>
              <w:rPr>
                <w:sz w:val="20"/>
                <w:szCs w:val="20"/>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0000EE"/>
              </w:rPr>
              <w:t>Notes to Unaudited Consolidated Financial Statements</w:t>
            </w: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9"/>
          </w:tcPr>
          <w:p>
            <w:pPr>
              <w:spacing w:after="0"/>
              <w:rPr>
                <w:sz w:val="20"/>
                <w:szCs w:val="20"/>
                <w:color w:val="auto"/>
              </w:rPr>
            </w:pPr>
            <w:r>
              <w:rPr>
                <w:rFonts w:ascii="Arial" w:cs="Arial" w:eastAsia="Arial" w:hAnsi="Arial"/>
                <w:sz w:val="18"/>
                <w:szCs w:val="18"/>
                <w:color w:val="0000EE"/>
              </w:rPr>
              <w:t>Quantitative and Qualitative Disclosures About Market Risk</w:t>
            </w:r>
          </w:p>
        </w:tc>
      </w:tr>
      <w:tr>
        <w:trPr>
          <w:trHeight w:val="209"/>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70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Controls and Procedures</w:t>
            </w:r>
          </w:p>
        </w:tc>
        <w:tc>
          <w:tcPr>
            <w:tcW w:w="2380" w:type="dxa"/>
            <w:vAlign w:val="bottom"/>
            <w:gridSpan w:val="2"/>
          </w:tcPr>
          <w:p>
            <w:pPr>
              <w:spacing w:after="0"/>
              <w:rPr>
                <w:sz w:val="18"/>
                <w:szCs w:val="18"/>
                <w:color w:val="auto"/>
              </w:rPr>
            </w:pPr>
          </w:p>
        </w:tc>
      </w:tr>
      <w:tr>
        <w:trPr>
          <w:trHeight w:val="237"/>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OTHER INFORMATION</w:t>
            </w:r>
          </w:p>
        </w:tc>
        <w:tc>
          <w:tcPr>
            <w:tcW w:w="5100" w:type="dxa"/>
            <w:vAlign w:val="bottom"/>
            <w:gridSpan w:val="12"/>
          </w:tcPr>
          <w:p>
            <w:pPr>
              <w:spacing w:after="0"/>
              <w:rPr>
                <w:sz w:val="20"/>
                <w:szCs w:val="20"/>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19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Legal Proceedings</w:t>
            </w:r>
          </w:p>
        </w:tc>
        <w:tc>
          <w:tcPr>
            <w:tcW w:w="5160" w:type="dxa"/>
            <w:vAlign w:val="bottom"/>
            <w:gridSpan w:val="13"/>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7"/>
              </w:rPr>
              <w:t>Risk Factors</w:t>
            </w:r>
          </w:p>
        </w:tc>
        <w:tc>
          <w:tcPr>
            <w:tcW w:w="480" w:type="dxa"/>
            <w:vAlign w:val="bottom"/>
            <w:tcBorders>
              <w:top w:val="single" w:sz="8" w:color="0000EE"/>
            </w:tcBorders>
            <w:gridSpan w:val="2"/>
          </w:tcPr>
          <w:p>
            <w:pPr>
              <w:spacing w:after="0"/>
              <w:rPr>
                <w:sz w:val="19"/>
                <w:szCs w:val="19"/>
                <w:color w:val="auto"/>
              </w:rPr>
            </w:pPr>
          </w:p>
        </w:tc>
        <w:tc>
          <w:tcPr>
            <w:tcW w:w="5600" w:type="dxa"/>
            <w:vAlign w:val="bottom"/>
            <w:gridSpan w:val="14"/>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9"/>
          </w:tcPr>
          <w:p>
            <w:pPr>
              <w:spacing w:after="0"/>
              <w:rPr>
                <w:sz w:val="20"/>
                <w:szCs w:val="20"/>
                <w:color w:val="auto"/>
              </w:rPr>
            </w:pPr>
            <w:r>
              <w:rPr>
                <w:rFonts w:ascii="Arial" w:cs="Arial" w:eastAsia="Arial" w:hAnsi="Arial"/>
                <w:sz w:val="18"/>
                <w:szCs w:val="18"/>
                <w:color w:val="0000EE"/>
              </w:rPr>
              <w:t>Unregistered Sales of Equity Securities and Use of Proceeds</w:t>
            </w: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0000EE"/>
              </w:rPr>
              <w:t>Defaults Upon Senior Securities</w:t>
            </w:r>
          </w:p>
        </w:tc>
        <w:tc>
          <w:tcPr>
            <w:tcW w:w="2240" w:type="dxa"/>
            <w:vAlign w:val="bottom"/>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Mine Safety Disclosures</w:t>
            </w:r>
          </w:p>
        </w:tc>
        <w:tc>
          <w:tcPr>
            <w:tcW w:w="4540" w:type="dxa"/>
            <w:vAlign w:val="bottom"/>
            <w:gridSpan w:val="9"/>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8"/>
              </w:rPr>
              <w:t>Other Information</w:t>
            </w:r>
          </w:p>
        </w:tc>
        <w:tc>
          <w:tcPr>
            <w:tcW w:w="520" w:type="dxa"/>
            <w:vAlign w:val="bottom"/>
            <w:tcBorders>
              <w:top w:val="single" w:sz="8" w:color="0000EE"/>
            </w:tcBorders>
            <w:gridSpan w:val="2"/>
          </w:tcPr>
          <w:p>
            <w:pPr>
              <w:spacing w:after="0"/>
              <w:rPr>
                <w:sz w:val="19"/>
                <w:szCs w:val="19"/>
                <w:color w:val="auto"/>
              </w:rPr>
            </w:pPr>
          </w:p>
        </w:tc>
        <w:tc>
          <w:tcPr>
            <w:tcW w:w="5160" w:type="dxa"/>
            <w:vAlign w:val="bottom"/>
            <w:gridSpan w:val="13"/>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7080" w:type="dxa"/>
            <w:vAlign w:val="bottom"/>
            <w:gridSpan w:val="19"/>
          </w:tcPr>
          <w:p>
            <w:pPr>
              <w:spacing w:after="0"/>
              <w:rPr>
                <w:sz w:val="20"/>
                <w:szCs w:val="20"/>
                <w:color w:val="auto"/>
              </w:rPr>
            </w:pPr>
            <w:r>
              <w:rPr>
                <w:rFonts w:ascii="Arial" w:cs="Arial" w:eastAsia="Arial" w:hAnsi="Arial"/>
                <w:sz w:val="18"/>
                <w:szCs w:val="18"/>
                <w:color w:val="0000EE"/>
              </w:rPr>
              <w:t>Exhibits</w:t>
            </w: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20" w:type="dxa"/>
            <w:vAlign w:val="bottom"/>
            <w:gridSpan w:val="17"/>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8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7"/>
              </w:rPr>
              <w:t>Signatures</w:t>
            </w:r>
          </w:p>
        </w:tc>
        <w:tc>
          <w:tcPr>
            <w:tcW w:w="6220" w:type="dxa"/>
            <w:vAlign w:val="bottom"/>
            <w:gridSpan w:val="17"/>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12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6350</wp:posOffset>
            </wp:positionV>
            <wp:extent cx="4972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ectPr>
          <w:pgSz w:w="11900" w:h="16838" w:orient="portrait"/>
          <w:cols w:equalWidth="0" w:num="2">
            <w:col w:w="10020" w:space="720"/>
            <w:col w:w="480"/>
          </w:cols>
          <w:pgMar w:left="320" w:top="54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4"/>
                <w:szCs w:val="14"/>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December 31, 2021</w:t>
            </w:r>
          </w:p>
        </w:tc>
      </w:tr>
      <w:tr>
        <w:trPr>
          <w:trHeight w:val="169"/>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75"/>
        </w:trPr>
        <w:tc>
          <w:tcPr>
            <w:tcW w:w="7820" w:type="dxa"/>
            <w:vAlign w:val="bottom"/>
          </w:tcPr>
          <w:p>
            <w:pPr>
              <w:spacing w:after="0"/>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Cash and cash equivalents (including $62,544 and $78,514 Cash of consolidated joint ventures)</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147,539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342,608</w:t>
            </w:r>
          </w:p>
        </w:tc>
        <w:tc>
          <w:tcPr>
            <w:tcW w:w="120" w:type="dxa"/>
            <w:vAlign w:val="bottom"/>
            <w:shd w:val="clear" w:color="auto" w:fill="CFF0FC"/>
          </w:tcPr>
          <w:p>
            <w:pPr>
              <w:spacing w:after="0"/>
              <w:rPr>
                <w:sz w:val="15"/>
                <w:szCs w:val="15"/>
                <w:color w:val="auto"/>
              </w:rPr>
            </w:pPr>
          </w:p>
        </w:tc>
      </w:tr>
      <w:tr>
        <w:trPr>
          <w:trHeight w:val="176"/>
        </w:trPr>
        <w:tc>
          <w:tcPr>
            <w:tcW w:w="7820" w:type="dxa"/>
            <w:vAlign w:val="bottom"/>
          </w:tcPr>
          <w:p>
            <w:pPr>
              <w:ind w:left="220"/>
              <w:spacing w:after="0"/>
              <w:rPr>
                <w:sz w:val="20"/>
                <w:szCs w:val="20"/>
                <w:color w:val="auto"/>
              </w:rPr>
            </w:pPr>
            <w:r>
              <w:rPr>
                <w:rFonts w:ascii="Arial" w:cs="Arial" w:eastAsia="Arial" w:hAnsi="Arial"/>
                <w:sz w:val="14"/>
                <w:szCs w:val="14"/>
                <w:color w:val="auto"/>
              </w:rPr>
              <w:t>Restricted cash and investments</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1,275</w:t>
            </w: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Accounts receivable, net (including $187,482 and $140,266 Accounts receivable of consolidated joint ventures, net)</w:t>
            </w: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710,721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598,311</w:t>
            </w:r>
          </w:p>
        </w:tc>
        <w:tc>
          <w:tcPr>
            <w:tcW w:w="120" w:type="dxa"/>
            <w:vAlign w:val="bottom"/>
            <w:shd w:val="clear" w:color="auto" w:fill="CFF0FC"/>
          </w:tcPr>
          <w:p>
            <w:pPr>
              <w:spacing w:after="0"/>
              <w:rPr>
                <w:sz w:val="15"/>
                <w:szCs w:val="15"/>
                <w:color w:val="auto"/>
              </w:rPr>
            </w:pPr>
          </w:p>
        </w:tc>
      </w:tr>
      <w:tr>
        <w:trPr>
          <w:trHeight w:val="176"/>
        </w:trPr>
        <w:tc>
          <w:tcPr>
            <w:tcW w:w="7820" w:type="dxa"/>
            <w:vAlign w:val="bottom"/>
          </w:tcPr>
          <w:p>
            <w:pPr>
              <w:ind w:left="220"/>
              <w:spacing w:after="0"/>
              <w:rPr>
                <w:sz w:val="20"/>
                <w:szCs w:val="20"/>
                <w:color w:val="auto"/>
              </w:rPr>
            </w:pPr>
            <w:r>
              <w:rPr>
                <w:rFonts w:ascii="Arial" w:cs="Arial" w:eastAsia="Arial" w:hAnsi="Arial"/>
                <w:sz w:val="14"/>
                <w:szCs w:val="14"/>
                <w:color w:val="auto"/>
              </w:rPr>
              <w:t>Contract assets (including $11,665 and $8,779 Contract assets of consolidated joint ventures)</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642,264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579,216</w:t>
            </w:r>
          </w:p>
        </w:tc>
        <w:tc>
          <w:tcPr>
            <w:tcW w:w="120" w:type="dxa"/>
            <w:vAlign w:val="bottom"/>
          </w:tcPr>
          <w:p>
            <w:pPr>
              <w:spacing w:after="0"/>
              <w:rPr>
                <w:sz w:val="15"/>
                <w:szCs w:val="15"/>
                <w:color w:val="auto"/>
              </w:rPr>
            </w:pPr>
          </w:p>
        </w:tc>
      </w:tr>
      <w:tr>
        <w:trPr>
          <w:trHeight w:val="16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Prepaid expenses and other current assets (including $6,870 and $18,783 Prepaid expenses and other current</w:t>
            </w:r>
          </w:p>
        </w:tc>
        <w:tc>
          <w:tcPr>
            <w:tcW w:w="8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assets of consolidated joint ventures)</w:t>
            </w:r>
          </w:p>
        </w:tc>
        <w:tc>
          <w:tcPr>
            <w:tcW w:w="8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110,274</w:t>
            </w:r>
          </w:p>
        </w:tc>
        <w:tc>
          <w:tcPr>
            <w:tcW w:w="2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110,941</w:t>
            </w:r>
          </w:p>
        </w:tc>
        <w:tc>
          <w:tcPr>
            <w:tcW w:w="120" w:type="dxa"/>
            <w:vAlign w:val="bottom"/>
            <w:shd w:val="clear" w:color="auto" w:fill="CFF0FC"/>
          </w:tcPr>
          <w:p>
            <w:pPr>
              <w:spacing w:after="0"/>
              <w:rPr>
                <w:sz w:val="14"/>
                <w:szCs w:val="14"/>
                <w:color w:val="auto"/>
              </w:rPr>
            </w:pPr>
          </w:p>
        </w:tc>
      </w:tr>
      <w:tr>
        <w:trPr>
          <w:trHeight w:val="169"/>
        </w:trPr>
        <w:tc>
          <w:tcPr>
            <w:tcW w:w="7820" w:type="dxa"/>
            <w:vAlign w:val="bottom"/>
            <w:tcBorders>
              <w:bottom w:val="single" w:sz="8" w:color="CFF0FC"/>
            </w:tcBorders>
          </w:tcPr>
          <w:p>
            <w:pPr>
              <w:ind w:left="480"/>
              <w:spacing w:after="0"/>
              <w:rPr>
                <w:sz w:val="20"/>
                <w:szCs w:val="20"/>
                <w:color w:val="auto"/>
              </w:rPr>
            </w:pPr>
            <w:r>
              <w:rPr>
                <w:rFonts w:ascii="Arial" w:cs="Arial" w:eastAsia="Arial" w:hAnsi="Arial"/>
                <w:sz w:val="14"/>
                <w:szCs w:val="14"/>
                <w:color w:val="auto"/>
              </w:rPr>
              <w:t>Total current assets</w:t>
            </w: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1,610,798</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1,632,351</w:t>
            </w:r>
          </w:p>
        </w:tc>
        <w:tc>
          <w:tcPr>
            <w:tcW w:w="120" w:type="dxa"/>
            <w:vAlign w:val="bottom"/>
            <w:tcBorders>
              <w:bottom w:val="single" w:sz="8" w:color="CFF0FC"/>
            </w:tcBorders>
          </w:tcPr>
          <w:p>
            <w:pPr>
              <w:spacing w:after="0"/>
              <w:rPr>
                <w:sz w:val="14"/>
                <w:szCs w:val="14"/>
                <w:color w:val="auto"/>
              </w:rPr>
            </w:pPr>
          </w:p>
        </w:tc>
      </w:tr>
      <w:tr>
        <w:trPr>
          <w:trHeight w:val="169"/>
        </w:trPr>
        <w:tc>
          <w:tcPr>
            <w:tcW w:w="7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6"/>
        </w:trPr>
        <w:tc>
          <w:tcPr>
            <w:tcW w:w="7820" w:type="dxa"/>
            <w:vAlign w:val="bottom"/>
          </w:tcPr>
          <w:p>
            <w:pPr>
              <w:ind w:left="220"/>
              <w:spacing w:after="0"/>
              <w:rPr>
                <w:sz w:val="20"/>
                <w:szCs w:val="20"/>
                <w:color w:val="auto"/>
              </w:rPr>
            </w:pPr>
            <w:r>
              <w:rPr>
                <w:rFonts w:ascii="Arial" w:cs="Arial" w:eastAsia="Arial" w:hAnsi="Arial"/>
                <w:sz w:val="14"/>
                <w:szCs w:val="14"/>
                <w:color w:val="auto"/>
              </w:rPr>
              <w:t>Property and equipment, net (including $1,987 and $1,721 Property and equipment of consolidated joint ventures,</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820" w:type="dxa"/>
            <w:vAlign w:val="bottom"/>
          </w:tcPr>
          <w:p>
            <w:pPr>
              <w:ind w:left="220"/>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94,518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104,196</w:t>
            </w:r>
          </w:p>
        </w:tc>
        <w:tc>
          <w:tcPr>
            <w:tcW w:w="120" w:type="dxa"/>
            <w:vAlign w:val="bottom"/>
          </w:tcPr>
          <w:p>
            <w:pPr>
              <w:spacing w:after="0"/>
              <w:rPr>
                <w:sz w:val="14"/>
                <w:szCs w:val="14"/>
                <w:color w:val="auto"/>
              </w:rPr>
            </w:pPr>
          </w:p>
        </w:tc>
      </w:tr>
      <w:tr>
        <w:trPr>
          <w:trHeight w:val="17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Right of use assets, operating leases</w:t>
            </w: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161,602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182,672</w:t>
            </w:r>
          </w:p>
        </w:tc>
        <w:tc>
          <w:tcPr>
            <w:tcW w:w="120" w:type="dxa"/>
            <w:vAlign w:val="bottom"/>
            <w:shd w:val="clear" w:color="auto" w:fill="CFF0FC"/>
          </w:tcPr>
          <w:p>
            <w:pPr>
              <w:spacing w:after="0"/>
              <w:rPr>
                <w:sz w:val="15"/>
                <w:szCs w:val="15"/>
                <w:color w:val="auto"/>
              </w:rPr>
            </w:pPr>
          </w:p>
        </w:tc>
      </w:tr>
      <w:tr>
        <w:trPr>
          <w:trHeight w:val="175"/>
        </w:trPr>
        <w:tc>
          <w:tcPr>
            <w:tcW w:w="7820" w:type="dxa"/>
            <w:vAlign w:val="bottom"/>
          </w:tcPr>
          <w:p>
            <w:pPr>
              <w:ind w:left="220"/>
              <w:spacing w:after="0"/>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1,661,107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1,412,690</w:t>
            </w:r>
          </w:p>
        </w:tc>
        <w:tc>
          <w:tcPr>
            <w:tcW w:w="120" w:type="dxa"/>
            <w:vAlign w:val="bottom"/>
          </w:tcPr>
          <w:p>
            <w:pPr>
              <w:spacing w:after="0"/>
              <w:rPr>
                <w:sz w:val="15"/>
                <w:szCs w:val="15"/>
                <w:color w:val="auto"/>
              </w:rPr>
            </w:pPr>
          </w:p>
        </w:tc>
      </w:tr>
      <w:tr>
        <w:trPr>
          <w:trHeight w:val="17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Investments in and advances to unconsolidated joint ventures</w:t>
            </w: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99,424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110,688</w:t>
            </w:r>
          </w:p>
        </w:tc>
        <w:tc>
          <w:tcPr>
            <w:tcW w:w="120" w:type="dxa"/>
            <w:vAlign w:val="bottom"/>
            <w:shd w:val="clear" w:color="auto" w:fill="CFF0FC"/>
          </w:tcPr>
          <w:p>
            <w:pPr>
              <w:spacing w:after="0"/>
              <w:rPr>
                <w:sz w:val="15"/>
                <w:szCs w:val="15"/>
                <w:color w:val="auto"/>
              </w:rPr>
            </w:pPr>
          </w:p>
        </w:tc>
      </w:tr>
      <w:tr>
        <w:trPr>
          <w:trHeight w:val="176"/>
        </w:trPr>
        <w:tc>
          <w:tcPr>
            <w:tcW w:w="782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273,442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207,821</w:t>
            </w: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Deferred tax assets</w:t>
            </w: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139,890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134,393</w:t>
            </w:r>
          </w:p>
        </w:tc>
        <w:tc>
          <w:tcPr>
            <w:tcW w:w="120" w:type="dxa"/>
            <w:vAlign w:val="bottom"/>
            <w:shd w:val="clear" w:color="auto" w:fill="CFF0FC"/>
          </w:tcPr>
          <w:p>
            <w:pPr>
              <w:spacing w:after="0"/>
              <w:rPr>
                <w:sz w:val="15"/>
                <w:szCs w:val="15"/>
                <w:color w:val="auto"/>
              </w:rPr>
            </w:pPr>
          </w:p>
        </w:tc>
      </w:tr>
      <w:tr>
        <w:trPr>
          <w:trHeight w:val="176"/>
        </w:trPr>
        <w:tc>
          <w:tcPr>
            <w:tcW w:w="7820" w:type="dxa"/>
            <w:vAlign w:val="bottom"/>
            <w:tcBorders>
              <w:bottom w:val="single" w:sz="8" w:color="CFF0FC"/>
            </w:tcBorders>
          </w:tcPr>
          <w:p>
            <w:pPr>
              <w:ind w:left="220"/>
              <w:spacing w:after="0"/>
              <w:rPr>
                <w:sz w:val="20"/>
                <w:szCs w:val="20"/>
                <w:color w:val="auto"/>
              </w:rPr>
            </w:pPr>
            <w:r>
              <w:rPr>
                <w:rFonts w:ascii="Arial" w:cs="Arial" w:eastAsia="Arial" w:hAnsi="Arial"/>
                <w:sz w:val="14"/>
                <w:szCs w:val="14"/>
                <w:color w:val="auto"/>
              </w:rPr>
              <w:t>Other noncurrent assets</w:t>
            </w: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54,209</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46,129</w:t>
            </w:r>
          </w:p>
        </w:tc>
        <w:tc>
          <w:tcPr>
            <w:tcW w:w="120" w:type="dxa"/>
            <w:vAlign w:val="bottom"/>
            <w:tcBorders>
              <w:bottom w:val="single" w:sz="8" w:color="CFF0FC"/>
            </w:tcBorders>
          </w:tcPr>
          <w:p>
            <w:pPr>
              <w:spacing w:after="0"/>
              <w:rPr>
                <w:sz w:val="15"/>
                <w:szCs w:val="15"/>
                <w:color w:val="auto"/>
              </w:rPr>
            </w:pPr>
          </w:p>
        </w:tc>
      </w:tr>
      <w:tr>
        <w:trPr>
          <w:trHeight w:val="169"/>
        </w:trPr>
        <w:tc>
          <w:tcPr>
            <w:tcW w:w="78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4"/>
                <w:szCs w:val="14"/>
                <w:color w:val="auto"/>
              </w:rPr>
              <w:t>Total assets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4,094,990</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3,830,940</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20"/>
        </w:trPr>
        <w:tc>
          <w:tcPr>
            <w:tcW w:w="7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7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5"/>
        </w:trPr>
        <w:tc>
          <w:tcPr>
            <w:tcW w:w="78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Accounts payable (including $61,545 and $78,558 Accounts payable of consolidated joint ventures)</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200,847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196,286</w:t>
            </w:r>
          </w:p>
        </w:tc>
        <w:tc>
          <w:tcPr>
            <w:tcW w:w="120" w:type="dxa"/>
            <w:vAlign w:val="bottom"/>
            <w:shd w:val="clear" w:color="auto" w:fill="CFF0FC"/>
          </w:tcPr>
          <w:p>
            <w:pPr>
              <w:spacing w:after="0"/>
              <w:rPr>
                <w:sz w:val="15"/>
                <w:szCs w:val="15"/>
                <w:color w:val="auto"/>
              </w:rPr>
            </w:pPr>
          </w:p>
        </w:tc>
      </w:tr>
      <w:tr>
        <w:trPr>
          <w:trHeight w:val="166"/>
        </w:trPr>
        <w:tc>
          <w:tcPr>
            <w:tcW w:w="7820" w:type="dxa"/>
            <w:vAlign w:val="bottom"/>
          </w:tcPr>
          <w:p>
            <w:pPr>
              <w:ind w:left="220"/>
              <w:spacing w:after="0"/>
              <w:rPr>
                <w:sz w:val="20"/>
                <w:szCs w:val="20"/>
                <w:color w:val="auto"/>
              </w:rPr>
            </w:pPr>
            <w:r>
              <w:rPr>
                <w:rFonts w:ascii="Arial" w:cs="Arial" w:eastAsia="Arial" w:hAnsi="Arial"/>
                <w:sz w:val="14"/>
                <w:szCs w:val="14"/>
                <w:color w:val="auto"/>
              </w:rPr>
              <w:t>Accrued expenses and other current liabilities (including $83,831 and $82,746 Accrued expenses and other current</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820" w:type="dxa"/>
            <w:vAlign w:val="bottom"/>
          </w:tcPr>
          <w:p>
            <w:pPr>
              <w:ind w:left="220"/>
              <w:spacing w:after="0"/>
              <w:rPr>
                <w:sz w:val="20"/>
                <w:szCs w:val="20"/>
                <w:color w:val="auto"/>
              </w:rPr>
            </w:pPr>
            <w:r>
              <w:rPr>
                <w:rFonts w:ascii="Arial" w:cs="Arial" w:eastAsia="Arial" w:hAnsi="Arial"/>
                <w:sz w:val="14"/>
                <w:szCs w:val="14"/>
                <w:color w:val="auto"/>
              </w:rPr>
              <w:t>liabilities of consolidated joint ventures)</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682,677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599,089</w:t>
            </w:r>
          </w:p>
        </w:tc>
        <w:tc>
          <w:tcPr>
            <w:tcW w:w="120" w:type="dxa"/>
            <w:vAlign w:val="bottom"/>
          </w:tcPr>
          <w:p>
            <w:pPr>
              <w:spacing w:after="0"/>
              <w:rPr>
                <w:sz w:val="14"/>
                <w:szCs w:val="14"/>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Contract liabilities (including $18,376 and $14,333 Contract liabilities of consolidated joint ventures)</w:t>
            </w: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197,749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171,671</w:t>
            </w:r>
          </w:p>
        </w:tc>
        <w:tc>
          <w:tcPr>
            <w:tcW w:w="120" w:type="dxa"/>
            <w:vAlign w:val="bottom"/>
            <w:shd w:val="clear" w:color="auto" w:fill="CFF0FC"/>
          </w:tcPr>
          <w:p>
            <w:pPr>
              <w:spacing w:after="0"/>
              <w:rPr>
                <w:sz w:val="15"/>
                <w:szCs w:val="15"/>
                <w:color w:val="auto"/>
              </w:rPr>
            </w:pPr>
          </w:p>
        </w:tc>
      </w:tr>
      <w:tr>
        <w:trPr>
          <w:trHeight w:val="175"/>
        </w:trPr>
        <w:tc>
          <w:tcPr>
            <w:tcW w:w="7820" w:type="dxa"/>
            <w:vAlign w:val="bottom"/>
          </w:tcPr>
          <w:p>
            <w:pPr>
              <w:ind w:left="220"/>
              <w:spacing w:after="0"/>
              <w:rPr>
                <w:sz w:val="20"/>
                <w:szCs w:val="20"/>
                <w:color w:val="auto"/>
              </w:rPr>
            </w:pPr>
            <w:r>
              <w:rPr>
                <w:rFonts w:ascii="Arial" w:cs="Arial" w:eastAsia="Arial" w:hAnsi="Arial"/>
                <w:sz w:val="14"/>
                <w:szCs w:val="14"/>
                <w:color w:val="auto"/>
              </w:rPr>
              <w:t>Short-term lease liabilities, operating leases</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59,056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55,902</w:t>
            </w: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Income taxes payable</w:t>
            </w:r>
          </w:p>
        </w:tc>
        <w:tc>
          <w:tcPr>
            <w:tcW w:w="8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9,150</w:t>
            </w:r>
          </w:p>
        </w:tc>
        <w:tc>
          <w:tcPr>
            <w:tcW w:w="24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7,836</w:t>
            </w:r>
          </w:p>
        </w:tc>
        <w:tc>
          <w:tcPr>
            <w:tcW w:w="120" w:type="dxa"/>
            <w:vAlign w:val="bottom"/>
            <w:shd w:val="clear" w:color="auto" w:fill="CFF0FC"/>
          </w:tcPr>
          <w:p>
            <w:pPr>
              <w:spacing w:after="0"/>
              <w:rPr>
                <w:sz w:val="15"/>
                <w:szCs w:val="15"/>
                <w:color w:val="auto"/>
              </w:rPr>
            </w:pPr>
          </w:p>
        </w:tc>
      </w:tr>
      <w:tr>
        <w:trPr>
          <w:trHeight w:val="169"/>
        </w:trPr>
        <w:tc>
          <w:tcPr>
            <w:tcW w:w="7820" w:type="dxa"/>
            <w:vAlign w:val="bottom"/>
            <w:tcBorders>
              <w:bottom w:val="single" w:sz="8" w:color="CFF0FC"/>
            </w:tcBorders>
          </w:tcPr>
          <w:p>
            <w:pPr>
              <w:ind w:left="480"/>
              <w:spacing w:after="0"/>
              <w:rPr>
                <w:sz w:val="20"/>
                <w:szCs w:val="20"/>
                <w:color w:val="auto"/>
              </w:rPr>
            </w:pPr>
            <w:r>
              <w:rPr>
                <w:rFonts w:ascii="Arial" w:cs="Arial" w:eastAsia="Arial" w:hAnsi="Arial"/>
                <w:sz w:val="14"/>
                <w:szCs w:val="14"/>
                <w:color w:val="auto"/>
              </w:rPr>
              <w:t>Total current liabilities</w:t>
            </w: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1,149,479</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1,030,784</w:t>
            </w:r>
          </w:p>
        </w:tc>
        <w:tc>
          <w:tcPr>
            <w:tcW w:w="120" w:type="dxa"/>
            <w:vAlign w:val="bottom"/>
            <w:tcBorders>
              <w:bottom w:val="single" w:sz="8" w:color="CFF0FC"/>
            </w:tcBorders>
          </w:tcPr>
          <w:p>
            <w:pPr>
              <w:spacing w:after="0"/>
              <w:rPr>
                <w:sz w:val="14"/>
                <w:szCs w:val="14"/>
                <w:color w:val="auto"/>
              </w:rPr>
            </w:pPr>
          </w:p>
        </w:tc>
      </w:tr>
      <w:tr>
        <w:trPr>
          <w:trHeight w:val="169"/>
        </w:trPr>
        <w:tc>
          <w:tcPr>
            <w:tcW w:w="7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6"/>
        </w:trPr>
        <w:tc>
          <w:tcPr>
            <w:tcW w:w="7820" w:type="dxa"/>
            <w:vAlign w:val="bottom"/>
          </w:tcPr>
          <w:p>
            <w:pPr>
              <w:ind w:left="220"/>
              <w:spacing w:after="0"/>
              <w:rPr>
                <w:sz w:val="20"/>
                <w:szCs w:val="20"/>
                <w:color w:val="auto"/>
              </w:rPr>
            </w:pPr>
            <w:r>
              <w:rPr>
                <w:rFonts w:ascii="Arial" w:cs="Arial" w:eastAsia="Arial" w:hAnsi="Arial"/>
                <w:sz w:val="14"/>
                <w:szCs w:val="14"/>
                <w:color w:val="auto"/>
              </w:rPr>
              <w:t>Long-term employee incentives</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15,637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15,997</w:t>
            </w: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Long-term debt</w:t>
            </w: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694,718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591,922</w:t>
            </w:r>
          </w:p>
        </w:tc>
        <w:tc>
          <w:tcPr>
            <w:tcW w:w="120" w:type="dxa"/>
            <w:vAlign w:val="bottom"/>
            <w:shd w:val="clear" w:color="auto" w:fill="CFF0FC"/>
          </w:tcPr>
          <w:p>
            <w:pPr>
              <w:spacing w:after="0"/>
              <w:rPr>
                <w:sz w:val="15"/>
                <w:szCs w:val="15"/>
                <w:color w:val="auto"/>
              </w:rPr>
            </w:pPr>
          </w:p>
        </w:tc>
      </w:tr>
      <w:tr>
        <w:trPr>
          <w:trHeight w:val="175"/>
        </w:trPr>
        <w:tc>
          <w:tcPr>
            <w:tcW w:w="7820" w:type="dxa"/>
            <w:vAlign w:val="bottom"/>
          </w:tcPr>
          <w:p>
            <w:pPr>
              <w:ind w:left="220"/>
              <w:spacing w:after="0"/>
              <w:rPr>
                <w:sz w:val="20"/>
                <w:szCs w:val="20"/>
                <w:color w:val="auto"/>
              </w:rPr>
            </w:pPr>
            <w:r>
              <w:rPr>
                <w:rFonts w:ascii="Arial" w:cs="Arial" w:eastAsia="Arial" w:hAnsi="Arial"/>
                <w:sz w:val="14"/>
                <w:szCs w:val="14"/>
                <w:color w:val="auto"/>
              </w:rPr>
              <w:t>Long-term lease liabilities, operating leases</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121,172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148,893</w:t>
            </w: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Deferred tax liabilities</w:t>
            </w: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10,409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11,400</w:t>
            </w:r>
          </w:p>
        </w:tc>
        <w:tc>
          <w:tcPr>
            <w:tcW w:w="120" w:type="dxa"/>
            <w:vAlign w:val="bottom"/>
            <w:shd w:val="clear" w:color="auto" w:fill="CFF0FC"/>
          </w:tcPr>
          <w:p>
            <w:pPr>
              <w:spacing w:after="0"/>
              <w:rPr>
                <w:sz w:val="15"/>
                <w:szCs w:val="15"/>
                <w:color w:val="auto"/>
              </w:rPr>
            </w:pPr>
          </w:p>
        </w:tc>
      </w:tr>
      <w:tr>
        <w:trPr>
          <w:trHeight w:val="175"/>
        </w:trPr>
        <w:tc>
          <w:tcPr>
            <w:tcW w:w="7820" w:type="dxa"/>
            <w:vAlign w:val="bottom"/>
            <w:tcBorders>
              <w:bottom w:val="single" w:sz="8" w:color="CFF0FC"/>
            </w:tcBorders>
          </w:tcPr>
          <w:p>
            <w:pPr>
              <w:ind w:left="220"/>
              <w:spacing w:after="0"/>
              <w:rPr>
                <w:sz w:val="20"/>
                <w:szCs w:val="20"/>
                <w:color w:val="auto"/>
              </w:rPr>
            </w:pPr>
            <w:r>
              <w:rPr>
                <w:rFonts w:ascii="Arial" w:cs="Arial" w:eastAsia="Arial" w:hAnsi="Arial"/>
                <w:sz w:val="14"/>
                <w:szCs w:val="14"/>
                <w:color w:val="auto"/>
              </w:rPr>
              <w:t>Other long-term liabilities</w:t>
            </w: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98,483</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94,832</w:t>
            </w:r>
          </w:p>
        </w:tc>
        <w:tc>
          <w:tcPr>
            <w:tcW w:w="120" w:type="dxa"/>
            <w:vAlign w:val="bottom"/>
            <w:tcBorders>
              <w:bottom w:val="single" w:sz="8" w:color="CFF0FC"/>
            </w:tcBorders>
          </w:tcPr>
          <w:p>
            <w:pPr>
              <w:spacing w:after="0"/>
              <w:rPr>
                <w:sz w:val="15"/>
                <w:szCs w:val="15"/>
                <w:color w:val="auto"/>
              </w:rPr>
            </w:pPr>
          </w:p>
        </w:tc>
      </w:tr>
      <w:tr>
        <w:trPr>
          <w:trHeight w:val="169"/>
        </w:trPr>
        <w:tc>
          <w:tcPr>
            <w:tcW w:w="7820" w:type="dxa"/>
            <w:vAlign w:val="bottom"/>
            <w:shd w:val="clear" w:color="auto" w:fill="CFF0FC"/>
          </w:tcPr>
          <w:p>
            <w:pPr>
              <w:ind w:left="480"/>
              <w:spacing w:after="0"/>
              <w:rPr>
                <w:sz w:val="20"/>
                <w:szCs w:val="20"/>
                <w:color w:val="auto"/>
              </w:rPr>
            </w:pPr>
            <w:r>
              <w:rPr>
                <w:rFonts w:ascii="Arial" w:cs="Arial" w:eastAsia="Arial" w:hAnsi="Arial"/>
                <w:sz w:val="14"/>
                <w:szCs w:val="14"/>
                <w:color w:val="auto"/>
              </w:rPr>
              <w:t>Total liabilities</w:t>
            </w:r>
          </w:p>
        </w:tc>
        <w:tc>
          <w:tcPr>
            <w:tcW w:w="8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2,089,898</w:t>
            </w:r>
          </w:p>
        </w:tc>
        <w:tc>
          <w:tcPr>
            <w:tcW w:w="2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1,893,828</w:t>
            </w:r>
          </w:p>
        </w:tc>
        <w:tc>
          <w:tcPr>
            <w:tcW w:w="120" w:type="dxa"/>
            <w:vAlign w:val="bottom"/>
            <w:shd w:val="clear" w:color="auto" w:fill="CFF0FC"/>
          </w:tcPr>
          <w:p>
            <w:pPr>
              <w:spacing w:after="0"/>
              <w:rPr>
                <w:sz w:val="14"/>
                <w:szCs w:val="14"/>
                <w:color w:val="auto"/>
              </w:rPr>
            </w:pPr>
          </w:p>
        </w:tc>
      </w:tr>
      <w:tr>
        <w:trPr>
          <w:trHeight w:val="169"/>
        </w:trPr>
        <w:tc>
          <w:tcPr>
            <w:tcW w:w="7820" w:type="dxa"/>
            <w:vAlign w:val="bottom"/>
          </w:tcPr>
          <w:p>
            <w:pPr>
              <w:spacing w:after="0"/>
              <w:rPr>
                <w:sz w:val="20"/>
                <w:szCs w:val="20"/>
                <w:color w:val="auto"/>
              </w:rPr>
            </w:pPr>
            <w:r>
              <w:rPr>
                <w:rFonts w:ascii="Arial" w:cs="Arial" w:eastAsia="Arial" w:hAnsi="Arial"/>
                <w:sz w:val="14"/>
                <w:szCs w:val="14"/>
                <w:color w:val="auto"/>
              </w:rPr>
              <w:t>Contingencies (Note 12)</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7820" w:type="dxa"/>
            <w:vAlign w:val="bottom"/>
            <w:shd w:val="clear" w:color="auto" w:fill="CFF0FC"/>
          </w:tcPr>
          <w:p>
            <w:pPr>
              <w:spacing w:after="0"/>
              <w:rPr>
                <w:sz w:val="20"/>
                <w:szCs w:val="20"/>
                <w:color w:val="auto"/>
              </w:rPr>
            </w:pPr>
            <w:r>
              <w:rPr>
                <w:rFonts w:ascii="Arial" w:cs="Arial" w:eastAsia="Arial" w:hAnsi="Arial"/>
                <w:sz w:val="14"/>
                <w:szCs w:val="14"/>
                <w:color w:val="auto"/>
              </w:rPr>
              <w:t>Shareholders' equity:</w:t>
            </w: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66"/>
        </w:trPr>
        <w:tc>
          <w:tcPr>
            <w:tcW w:w="7820" w:type="dxa"/>
            <w:vAlign w:val="bottom"/>
          </w:tcPr>
          <w:p>
            <w:pPr>
              <w:ind w:left="220"/>
              <w:spacing w:after="0"/>
              <w:rPr>
                <w:sz w:val="20"/>
                <w:szCs w:val="20"/>
                <w:color w:val="auto"/>
              </w:rPr>
            </w:pPr>
            <w:r>
              <w:rPr>
                <w:rFonts w:ascii="Arial" w:cs="Arial" w:eastAsia="Arial" w:hAnsi="Arial"/>
                <w:sz w:val="14"/>
                <w:szCs w:val="14"/>
                <w:color w:val="auto"/>
              </w:rPr>
              <w:t>Common stock, $1 par value; authorized 1,000,000,000 shares; 146,087,771 and 146,276,880 shares issued;</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820" w:type="dxa"/>
            <w:vAlign w:val="bottom"/>
          </w:tcPr>
          <w:p>
            <w:pPr>
              <w:ind w:left="220"/>
              <w:spacing w:after="0"/>
              <w:rPr>
                <w:sz w:val="20"/>
                <w:szCs w:val="20"/>
                <w:color w:val="auto"/>
              </w:rPr>
            </w:pPr>
            <w:r>
              <w:rPr>
                <w:rFonts w:ascii="Arial" w:cs="Arial" w:eastAsia="Arial" w:hAnsi="Arial"/>
                <w:sz w:val="14"/>
                <w:szCs w:val="14"/>
                <w:color w:val="auto"/>
              </w:rPr>
              <w:t>39,326,392 and 33,331,494 public shares outstanding; 64,144,230 and 70,328,237 ESOP shares outstanding</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146,088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146,277</w:t>
            </w:r>
          </w:p>
        </w:tc>
        <w:tc>
          <w:tcPr>
            <w:tcW w:w="120" w:type="dxa"/>
            <w:vAlign w:val="bottom"/>
          </w:tcPr>
          <w:p>
            <w:pPr>
              <w:spacing w:after="0"/>
              <w:rPr>
                <w:sz w:val="14"/>
                <w:szCs w:val="14"/>
                <w:color w:val="auto"/>
              </w:rPr>
            </w:pPr>
          </w:p>
        </w:tc>
      </w:tr>
      <w:tr>
        <w:trPr>
          <w:trHeight w:val="17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Treasury stock, 42,617,149 shares at cost</w:t>
            </w:r>
          </w:p>
        </w:tc>
        <w:tc>
          <w:tcPr>
            <w:tcW w:w="8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(867,391)</w:t>
            </w:r>
          </w:p>
        </w:tc>
        <w:tc>
          <w:tcPr>
            <w:tcW w:w="1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(867,391)</w:t>
            </w:r>
          </w:p>
        </w:tc>
      </w:tr>
      <w:tr>
        <w:trPr>
          <w:trHeight w:val="175"/>
        </w:trPr>
        <w:tc>
          <w:tcPr>
            <w:tcW w:w="782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2,678,653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2,684,979</w:t>
            </w: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Retained earnings (accumulated deficit)</w:t>
            </w: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(53,529)</w:t>
            </w:r>
          </w:p>
        </w:tc>
      </w:tr>
      <w:tr>
        <w:trPr>
          <w:trHeight w:val="175"/>
        </w:trPr>
        <w:tc>
          <w:tcPr>
            <w:tcW w:w="782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80" w:type="dxa"/>
            <w:vAlign w:val="bottom"/>
          </w:tcPr>
          <w:p>
            <w:pPr>
              <w:spacing w:after="0"/>
              <w:rPr>
                <w:sz w:val="15"/>
                <w:szCs w:val="15"/>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4"/>
                <w:szCs w:val="14"/>
                <w:color w:val="auto"/>
              </w:rPr>
              <w:t>(19,292)</w:t>
            </w:r>
          </w:p>
        </w:tc>
        <w:tc>
          <w:tcPr>
            <w:tcW w:w="100" w:type="dxa"/>
            <w:vAlign w:val="bottom"/>
          </w:tcPr>
          <w:p>
            <w:pPr>
              <w:spacing w:after="0"/>
              <w:rPr>
                <w:sz w:val="15"/>
                <w:szCs w:val="15"/>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(9,568)</w:t>
            </w:r>
          </w:p>
        </w:tc>
      </w:tr>
      <w:tr>
        <w:trPr>
          <w:trHeight w:val="169"/>
        </w:trPr>
        <w:tc>
          <w:tcPr>
            <w:tcW w:w="782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Total Parsons Corporation shareholders' equity</w:t>
            </w:r>
          </w:p>
        </w:tc>
        <w:tc>
          <w:tcPr>
            <w:tcW w:w="8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1,953,066</w:t>
            </w: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1,900,768</w:t>
            </w:r>
          </w:p>
        </w:tc>
        <w:tc>
          <w:tcPr>
            <w:tcW w:w="120" w:type="dxa"/>
            <w:vAlign w:val="bottom"/>
            <w:tcBorders>
              <w:top w:val="single" w:sz="8" w:color="CFF0FC"/>
            </w:tcBorders>
            <w:shd w:val="clear" w:color="auto" w:fill="CFF0FC"/>
          </w:tcPr>
          <w:p>
            <w:pPr>
              <w:spacing w:after="0"/>
              <w:rPr>
                <w:sz w:val="14"/>
                <w:szCs w:val="14"/>
                <w:color w:val="auto"/>
              </w:rPr>
            </w:pPr>
          </w:p>
        </w:tc>
      </w:tr>
      <w:tr>
        <w:trPr>
          <w:trHeight w:val="175"/>
        </w:trPr>
        <w:tc>
          <w:tcPr>
            <w:tcW w:w="7820" w:type="dxa"/>
            <w:vAlign w:val="bottom"/>
            <w:tcBorders>
              <w:bottom w:val="single" w:sz="8" w:color="CFF0FC"/>
            </w:tcBorders>
          </w:tcPr>
          <w:p>
            <w:pPr>
              <w:ind w:left="220"/>
              <w:spacing w:after="0"/>
              <w:rPr>
                <w:sz w:val="20"/>
                <w:szCs w:val="20"/>
                <w:color w:val="auto"/>
              </w:rPr>
            </w:pPr>
            <w:r>
              <w:rPr>
                <w:rFonts w:ascii="Arial" w:cs="Arial" w:eastAsia="Arial" w:hAnsi="Arial"/>
                <w:sz w:val="14"/>
                <w:szCs w:val="14"/>
                <w:color w:val="auto"/>
              </w:rPr>
              <w:t>Noncontrolling interests</w:t>
            </w: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52,026</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36,344</w:t>
            </w:r>
          </w:p>
        </w:tc>
        <w:tc>
          <w:tcPr>
            <w:tcW w:w="120" w:type="dxa"/>
            <w:vAlign w:val="bottom"/>
            <w:tcBorders>
              <w:bottom w:val="single" w:sz="8" w:color="CFF0FC"/>
            </w:tcBorders>
          </w:tcPr>
          <w:p>
            <w:pPr>
              <w:spacing w:after="0"/>
              <w:rPr>
                <w:sz w:val="15"/>
                <w:szCs w:val="15"/>
                <w:color w:val="auto"/>
              </w:rPr>
            </w:pPr>
          </w:p>
        </w:tc>
      </w:tr>
      <w:tr>
        <w:trPr>
          <w:trHeight w:val="169"/>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Total shareholders' equity</w:t>
            </w:r>
          </w:p>
        </w:tc>
        <w:tc>
          <w:tcPr>
            <w:tcW w:w="8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2,005,092</w:t>
            </w:r>
          </w:p>
        </w:tc>
        <w:tc>
          <w:tcPr>
            <w:tcW w:w="2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1,937,112</w:t>
            </w:r>
          </w:p>
        </w:tc>
        <w:tc>
          <w:tcPr>
            <w:tcW w:w="120" w:type="dxa"/>
            <w:vAlign w:val="bottom"/>
            <w:shd w:val="clear" w:color="auto" w:fill="CFF0FC"/>
          </w:tcPr>
          <w:p>
            <w:pPr>
              <w:spacing w:after="0"/>
              <w:rPr>
                <w:sz w:val="14"/>
                <w:szCs w:val="14"/>
                <w:color w:val="auto"/>
              </w:rPr>
            </w:pPr>
          </w:p>
        </w:tc>
      </w:tr>
      <w:tr>
        <w:trPr>
          <w:trHeight w:val="169"/>
        </w:trPr>
        <w:tc>
          <w:tcPr>
            <w:tcW w:w="7820" w:type="dxa"/>
            <w:vAlign w:val="bottom"/>
          </w:tcPr>
          <w:p>
            <w:pPr>
              <w:ind w:left="220"/>
              <w:spacing w:after="0"/>
              <w:rPr>
                <w:sz w:val="20"/>
                <w:szCs w:val="20"/>
                <w:color w:val="auto"/>
              </w:rPr>
            </w:pPr>
            <w:r>
              <w:rPr>
                <w:rFonts w:ascii="Arial" w:cs="Arial" w:eastAsia="Arial" w:hAnsi="Arial"/>
                <w:sz w:val="14"/>
                <w:szCs w:val="14"/>
                <w:color w:val="auto"/>
              </w:rPr>
              <w:t>Total liabilities and shareholders'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4,094,990</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3,830,940</w:t>
            </w:r>
          </w:p>
        </w:tc>
        <w:tc>
          <w:tcPr>
            <w:tcW w:w="120" w:type="dxa"/>
            <w:vAlign w:val="bottom"/>
          </w:tcPr>
          <w:p>
            <w:pPr>
              <w:spacing w:after="0"/>
              <w:rPr>
                <w:sz w:val="14"/>
                <w:szCs w:val="14"/>
                <w:color w:val="auto"/>
              </w:rPr>
            </w:pPr>
          </w:p>
        </w:tc>
      </w:tr>
      <w:tr>
        <w:trPr>
          <w:trHeight w:val="20"/>
        </w:trPr>
        <w:tc>
          <w:tcPr>
            <w:tcW w:w="7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jc w:val="center"/>
        <w:ind w:right="20"/>
        <w:spacing w:after="0" w:line="234" w:lineRule="auto"/>
        <w:rPr>
          <w:sz w:val="20"/>
          <w:szCs w:val="20"/>
          <w:color w:val="auto"/>
        </w:rPr>
      </w:pPr>
      <w:r>
        <w:rPr>
          <w:rFonts w:ascii="Arial" w:cs="Arial" w:eastAsia="Arial" w:hAnsi="Arial"/>
          <w:sz w:val="18"/>
          <w:szCs w:val="18"/>
          <w:i w:val="1"/>
          <w:iCs w:val="1"/>
          <w:color w:val="auto"/>
        </w:rPr>
        <w:t>(In thousands, except per share information)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20" w:type="dxa"/>
            <w:vAlign w:val="bottom"/>
          </w:tcPr>
          <w:p>
            <w:pPr>
              <w:spacing w:after="0"/>
              <w:rPr>
                <w:sz w:val="19"/>
                <w:szCs w:val="19"/>
                <w:color w:val="auto"/>
              </w:rPr>
            </w:pPr>
          </w:p>
        </w:tc>
        <w:tc>
          <w:tcPr>
            <w:tcW w:w="2620" w:type="dxa"/>
            <w:vAlign w:val="bottom"/>
            <w:gridSpan w:val="6"/>
          </w:tcPr>
          <w:p>
            <w:pPr>
              <w:ind w:left="20"/>
              <w:spacing w:after="0"/>
              <w:rPr>
                <w:sz w:val="20"/>
                <w:szCs w:val="20"/>
                <w:color w:val="auto"/>
              </w:rPr>
            </w:pPr>
            <w:r>
              <w:rPr>
                <w:rFonts w:ascii="Arial" w:cs="Arial" w:eastAsia="Arial" w:hAnsi="Arial"/>
                <w:sz w:val="18"/>
                <w:szCs w:val="18"/>
                <w:b w:val="1"/>
                <w:bCs w:val="1"/>
                <w:color w:val="auto"/>
              </w:rPr>
              <w:t>For the Three Months Ended</w:t>
            </w:r>
          </w:p>
        </w:tc>
        <w:tc>
          <w:tcPr>
            <w:tcW w:w="80" w:type="dxa"/>
            <w:vAlign w:val="bottom"/>
          </w:tcPr>
          <w:p>
            <w:pPr>
              <w:spacing w:after="0"/>
              <w:rPr>
                <w:sz w:val="19"/>
                <w:szCs w:val="19"/>
                <w:color w:val="auto"/>
              </w:rPr>
            </w:pPr>
          </w:p>
        </w:tc>
        <w:tc>
          <w:tcPr>
            <w:tcW w:w="2580" w:type="dxa"/>
            <w:vAlign w:val="bottom"/>
            <w:gridSpan w:val="7"/>
          </w:tcPr>
          <w:p>
            <w:pPr>
              <w:jc w:val="right"/>
              <w:ind w:right="180"/>
              <w:spacing w:after="0"/>
              <w:rPr>
                <w:sz w:val="20"/>
                <w:szCs w:val="20"/>
                <w:color w:val="auto"/>
              </w:rPr>
            </w:pPr>
            <w:r>
              <w:rPr>
                <w:rFonts w:ascii="Arial" w:cs="Arial" w:eastAsia="Arial" w:hAnsi="Arial"/>
                <w:sz w:val="18"/>
                <w:szCs w:val="18"/>
                <w:b w:val="1"/>
                <w:bCs w:val="1"/>
                <w:color w:val="auto"/>
              </w:rPr>
              <w:t>For the Nine Months Ended</w:t>
            </w:r>
          </w:p>
        </w:tc>
      </w:tr>
      <w:tr>
        <w:trPr>
          <w:trHeight w:val="191"/>
        </w:trPr>
        <w:tc>
          <w:tcPr>
            <w:tcW w:w="4820" w:type="dxa"/>
            <w:vAlign w:val="bottom"/>
          </w:tcPr>
          <w:p>
            <w:pPr>
              <w:spacing w:after="0"/>
              <w:rPr>
                <w:sz w:val="16"/>
                <w:szCs w:val="16"/>
                <w:color w:val="auto"/>
              </w:rPr>
            </w:pPr>
          </w:p>
        </w:tc>
        <w:tc>
          <w:tcPr>
            <w:tcW w:w="124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rPr>
              <w:t>September</w:t>
            </w:r>
          </w:p>
        </w:tc>
        <w:tc>
          <w:tcPr>
            <w:tcW w:w="126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99"/>
              </w:rPr>
              <w:t>September 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top w:val="single" w:sz="8" w:color="auto"/>
            </w:tcBorders>
            <w:gridSpan w:val="3"/>
          </w:tcPr>
          <w:p>
            <w:pPr>
              <w:jc w:val="right"/>
              <w:ind w:right="180"/>
              <w:spacing w:after="0" w:line="191" w:lineRule="exact"/>
              <w:rPr>
                <w:sz w:val="20"/>
                <w:szCs w:val="20"/>
                <w:color w:val="auto"/>
              </w:rPr>
            </w:pPr>
            <w:r>
              <w:rPr>
                <w:rFonts w:ascii="Arial" w:cs="Arial" w:eastAsia="Arial" w:hAnsi="Arial"/>
                <w:sz w:val="18"/>
                <w:szCs w:val="18"/>
                <w:b w:val="1"/>
                <w:bCs w:val="1"/>
                <w:color w:val="auto"/>
              </w:rPr>
              <w:t>September</w:t>
            </w:r>
          </w:p>
        </w:tc>
        <w:tc>
          <w:tcPr>
            <w:tcW w:w="1320" w:type="dxa"/>
            <w:vAlign w:val="bottom"/>
            <w:tcBorders>
              <w:top w:val="single" w:sz="8" w:color="auto"/>
            </w:tcBorders>
            <w:gridSpan w:val="3"/>
          </w:tcPr>
          <w:p>
            <w:pPr>
              <w:ind w:left="80"/>
              <w:spacing w:after="0" w:line="191" w:lineRule="exact"/>
              <w:rPr>
                <w:sz w:val="20"/>
                <w:szCs w:val="20"/>
                <w:color w:val="auto"/>
              </w:rPr>
            </w:pPr>
            <w:r>
              <w:rPr>
                <w:rFonts w:ascii="Arial" w:cs="Arial" w:eastAsia="Arial" w:hAnsi="Arial"/>
                <w:sz w:val="18"/>
                <w:szCs w:val="18"/>
                <w:b w:val="1"/>
                <w:bCs w:val="1"/>
                <w:color w:val="auto"/>
                <w:w w:val="99"/>
              </w:rPr>
              <w:t>September 30,</w:t>
            </w:r>
          </w:p>
        </w:tc>
        <w:tc>
          <w:tcPr>
            <w:tcW w:w="100" w:type="dxa"/>
            <w:vAlign w:val="bottom"/>
          </w:tcPr>
          <w:p>
            <w:pPr>
              <w:spacing w:after="0"/>
              <w:rPr>
                <w:sz w:val="16"/>
                <w:szCs w:val="16"/>
                <w:color w:val="auto"/>
              </w:rPr>
            </w:pPr>
          </w:p>
        </w:tc>
      </w:tr>
      <w:tr>
        <w:trPr>
          <w:trHeight w:val="221"/>
        </w:trPr>
        <w:tc>
          <w:tcPr>
            <w:tcW w:w="48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30, 2022</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30, 2022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0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1,134,370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956,050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3,092,160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2,710,103</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Direct cost of contracts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872,423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734,652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2,388,095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2,084,062</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(974)</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26,528</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196,960</w:t>
            </w:r>
          </w:p>
        </w:tc>
        <w:tc>
          <w:tcPr>
            <w:tcW w:w="2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191,231</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581,969</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566,991</w:t>
            </w:r>
          </w:p>
        </w:tc>
        <w:tc>
          <w:tcPr>
            <w:tcW w:w="100" w:type="dxa"/>
            <w:vAlign w:val="bottom"/>
            <w:tcBorders>
              <w:bottom w:val="single" w:sz="8" w:color="CFF0FC"/>
            </w:tcBorders>
          </w:tcPr>
          <w:p>
            <w:pPr>
              <w:spacing w:after="0"/>
              <w:rPr>
                <w:sz w:val="18"/>
                <w:szCs w:val="18"/>
                <w:color w:val="auto"/>
              </w:rPr>
            </w:pPr>
          </w:p>
        </w:tc>
      </w:tr>
      <w:tr>
        <w:trPr>
          <w:trHeight w:val="20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64,013</w:t>
            </w:r>
          </w:p>
        </w:tc>
        <w:tc>
          <w:tcPr>
            <w:tcW w:w="2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39,737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132,333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85,578</w:t>
            </w:r>
          </w:p>
        </w:tc>
        <w:tc>
          <w:tcPr>
            <w:tcW w:w="100" w:type="dxa"/>
            <w:vAlign w:val="bottom"/>
            <w:shd w:val="clear" w:color="auto" w:fill="CFF0FC"/>
          </w:tcPr>
          <w:p>
            <w:pPr>
              <w:spacing w:after="0"/>
              <w:rPr>
                <w:sz w:val="18"/>
                <w:szCs w:val="18"/>
                <w:color w:val="auto"/>
              </w:rPr>
            </w:pPr>
          </w:p>
        </w:tc>
      </w:tr>
      <w:tr>
        <w:trPr>
          <w:trHeight w:val="209"/>
        </w:trPr>
        <w:tc>
          <w:tcPr>
            <w:tcW w:w="482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(6,323)</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(4,052)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(14,786)</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(13,503)</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(685)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(1,202)</w:t>
            </w:r>
          </w:p>
        </w:tc>
      </w:tr>
      <w:tr>
        <w:trPr>
          <w:trHeight w:val="209"/>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(6,626)</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(3,803)</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(14,472)</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57,387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117,861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71,188</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(13,792)</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(9,165)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(27,643)</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(18,378)</w:t>
            </w:r>
          </w:p>
        </w:tc>
      </w:tr>
      <w:tr>
        <w:trPr>
          <w:trHeight w:val="209"/>
        </w:trPr>
        <w:tc>
          <w:tcPr>
            <w:tcW w:w="482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43,595</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52,810</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(14,024)</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(7,411)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(21,685)</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(17,711)</w:t>
            </w:r>
          </w:p>
        </w:tc>
      </w:tr>
      <w:tr>
        <w:trPr>
          <w:trHeight w:val="250"/>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Parsons Corporation</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29,571</w:t>
            </w:r>
          </w:p>
        </w:tc>
        <w:tc>
          <w:tcPr>
            <w:tcW w:w="2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19,358</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68,533</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35,099</w:t>
            </w:r>
          </w:p>
        </w:tc>
        <w:tc>
          <w:tcPr>
            <w:tcW w:w="100" w:type="dxa"/>
            <w:vAlign w:val="bottom"/>
            <w:tcBorders>
              <w:bottom w:val="single" w:sz="8" w:color="CFF0FC"/>
            </w:tcBorders>
          </w:tcPr>
          <w:p>
            <w:pPr>
              <w:spacing w:after="0"/>
              <w:rPr>
                <w:sz w:val="21"/>
                <w:szCs w:val="21"/>
                <w:color w:val="auto"/>
              </w:rPr>
            </w:pPr>
          </w:p>
        </w:tc>
      </w:tr>
      <w:tr>
        <w:trPr>
          <w:trHeight w:val="196"/>
        </w:trPr>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Earnings per share:</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820" w:type="dxa"/>
            <w:vAlign w:val="bottom"/>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0.29</w:t>
            </w:r>
          </w:p>
        </w:tc>
        <w:tc>
          <w:tcPr>
            <w:tcW w:w="2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FF0FC"/>
          </w:tcPr>
          <w:p>
            <w:pPr>
              <w:spacing w:after="0"/>
              <w:rPr>
                <w:sz w:val="18"/>
                <w:szCs w:val="18"/>
                <w:color w:val="auto"/>
              </w:rPr>
            </w:pPr>
          </w:p>
        </w:tc>
      </w:tr>
    </w:tbl>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ind w:right="20"/>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53"/>
              <w:spacing w:after="0"/>
              <w:rPr>
                <w:sz w:val="20"/>
                <w:szCs w:val="20"/>
                <w:color w:val="auto"/>
              </w:rPr>
            </w:pPr>
            <w:r>
              <w:rPr>
                <w:rFonts w:ascii="Arial" w:cs="Arial" w:eastAsia="Arial" w:hAnsi="Arial"/>
                <w:sz w:val="14"/>
                <w:szCs w:val="14"/>
                <w:b w:val="1"/>
                <w:bCs w:val="1"/>
                <w:color w:val="auto"/>
              </w:rPr>
              <w:t>For the Nine Months Ended</w:t>
            </w:r>
          </w:p>
        </w:tc>
        <w:tc>
          <w:tcPr>
            <w:tcW w:w="100" w:type="dxa"/>
            <w:vAlign w:val="bottom"/>
          </w:tcPr>
          <w:p>
            <w:pPr>
              <w:spacing w:after="0"/>
              <w:rPr>
                <w:sz w:val="14"/>
                <w:szCs w:val="14"/>
                <w:color w:val="auto"/>
              </w:rPr>
            </w:pPr>
          </w:p>
        </w:tc>
      </w:tr>
      <w:tr>
        <w:trPr>
          <w:trHeight w:val="160"/>
        </w:trPr>
        <w:tc>
          <w:tcPr>
            <w:tcW w:w="5280" w:type="dxa"/>
            <w:vAlign w:val="bottom"/>
          </w:tcPr>
          <w:p>
            <w:pPr>
              <w:spacing w:after="0"/>
              <w:rPr>
                <w:sz w:val="13"/>
                <w:szCs w:val="13"/>
                <w:color w:val="auto"/>
              </w:rPr>
            </w:pPr>
          </w:p>
        </w:tc>
        <w:tc>
          <w:tcPr>
            <w:tcW w:w="1300" w:type="dxa"/>
            <w:vAlign w:val="bottom"/>
            <w:gridSpan w:val="3"/>
          </w:tcPr>
          <w:p>
            <w:pPr>
              <w:jc w:val="right"/>
              <w:ind w:right="260"/>
              <w:spacing w:after="0" w:line="160" w:lineRule="exact"/>
              <w:rPr>
                <w:sz w:val="20"/>
                <w:szCs w:val="20"/>
                <w:color w:val="auto"/>
              </w:rPr>
            </w:pPr>
            <w:r>
              <w:rPr>
                <w:rFonts w:ascii="Arial" w:cs="Arial" w:eastAsia="Arial" w:hAnsi="Arial"/>
                <w:sz w:val="14"/>
                <w:szCs w:val="14"/>
                <w:b w:val="1"/>
                <w:bCs w:val="1"/>
                <w:color w:val="auto"/>
              </w:rPr>
              <w:t>September 30,</w:t>
            </w:r>
          </w:p>
        </w:tc>
        <w:tc>
          <w:tcPr>
            <w:tcW w:w="1300" w:type="dxa"/>
            <w:vAlign w:val="bottom"/>
            <w:gridSpan w:val="3"/>
          </w:tcPr>
          <w:p>
            <w:pPr>
              <w:jc w:val="right"/>
              <w:ind w:right="280"/>
              <w:spacing w:after="0" w:line="160" w:lineRule="exact"/>
              <w:rPr>
                <w:sz w:val="20"/>
                <w:szCs w:val="20"/>
                <w:color w:val="auto"/>
              </w:rPr>
            </w:pPr>
            <w:r>
              <w:rPr>
                <w:rFonts w:ascii="Arial" w:cs="Arial" w:eastAsia="Arial" w:hAnsi="Arial"/>
                <w:sz w:val="14"/>
                <w:szCs w:val="14"/>
                <w:b w:val="1"/>
                <w:bCs w:val="1"/>
                <w:color w:val="auto"/>
              </w:rPr>
              <w:t>September 30,</w:t>
            </w:r>
          </w:p>
        </w:tc>
        <w:tc>
          <w:tcPr>
            <w:tcW w:w="1060" w:type="dxa"/>
            <w:vAlign w:val="bottom"/>
            <w:gridSpan w:val="3"/>
          </w:tcPr>
          <w:p>
            <w:pPr>
              <w:jc w:val="right"/>
              <w:ind w:right="240"/>
              <w:spacing w:after="0" w:line="160" w:lineRule="exact"/>
              <w:rPr>
                <w:sz w:val="20"/>
                <w:szCs w:val="20"/>
                <w:color w:val="auto"/>
              </w:rPr>
            </w:pPr>
            <w:r>
              <w:rPr>
                <w:rFonts w:ascii="Arial" w:cs="Arial" w:eastAsia="Arial" w:hAnsi="Arial"/>
                <w:sz w:val="14"/>
                <w:szCs w:val="14"/>
                <w:b w:val="1"/>
                <w:bCs w:val="1"/>
                <w:color w:val="auto"/>
              </w:rPr>
              <w:t>September</w:t>
            </w:r>
          </w:p>
        </w:tc>
        <w:tc>
          <w:tcPr>
            <w:tcW w:w="60" w:type="dxa"/>
            <w:vAlign w:val="bottom"/>
          </w:tcPr>
          <w:p>
            <w:pPr>
              <w:spacing w:after="0"/>
              <w:rPr>
                <w:sz w:val="13"/>
                <w:szCs w:val="13"/>
                <w:color w:val="auto"/>
              </w:rPr>
            </w:pPr>
          </w:p>
        </w:tc>
        <w:tc>
          <w:tcPr>
            <w:tcW w:w="110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5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30, 2022</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0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income including noncontrolling interests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43,595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26,769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90,218</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52,810</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 net of tax</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(7,134)</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(9,643)</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3,721</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240"/>
              <w:spacing w:after="0"/>
              <w:rPr>
                <w:sz w:val="20"/>
                <w:szCs w:val="20"/>
                <w:color w:val="auto"/>
              </w:rPr>
            </w:pPr>
            <w:r>
              <w:rPr>
                <w:rFonts w:ascii="Arial" w:cs="Arial" w:eastAsia="Arial" w:hAnsi="Arial"/>
                <w:sz w:val="18"/>
                <w:szCs w:val="18"/>
                <w:color w:val="auto"/>
              </w:rPr>
              <w:t>Pension adjustments, net of tax</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191"/>
        </w:trPr>
        <w:tc>
          <w:tcPr>
            <w:tcW w:w="5280" w:type="dxa"/>
            <w:vAlign w:val="bottom"/>
            <w:tcBorders>
              <w:top w:val="single" w:sz="8" w:color="CFF0FC"/>
            </w:tcBorders>
            <w:shd w:val="clear" w:color="auto" w:fill="CFF0FC"/>
          </w:tcPr>
          <w:p>
            <w:pPr>
              <w:ind w:left="480"/>
              <w:spacing w:after="0" w:line="191" w:lineRule="exact"/>
              <w:rPr>
                <w:sz w:val="20"/>
                <w:szCs w:val="20"/>
                <w:color w:val="auto"/>
              </w:rPr>
            </w:pPr>
            <w:r>
              <w:rPr>
                <w:rFonts w:ascii="Arial" w:cs="Arial" w:eastAsia="Arial" w:hAnsi="Arial"/>
                <w:sz w:val="18"/>
                <w:szCs w:val="18"/>
                <w:color w:val="auto"/>
              </w:rPr>
              <w:t>Comprehensive income including noncontrolling interests,</w:t>
            </w:r>
          </w:p>
        </w:tc>
        <w:tc>
          <w:tcPr>
            <w:tcW w:w="16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21"/>
        </w:trPr>
        <w:tc>
          <w:tcPr>
            <w:tcW w:w="5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of tax</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36,393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80,482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56,543</w:t>
            </w:r>
          </w:p>
        </w:tc>
        <w:tc>
          <w:tcPr>
            <w:tcW w:w="100" w:type="dxa"/>
            <w:vAlign w:val="bottom"/>
            <w:shd w:val="clear" w:color="auto" w:fill="CFF0FC"/>
          </w:tcPr>
          <w:p>
            <w:pPr>
              <w:spacing w:after="0"/>
              <w:rPr>
                <w:sz w:val="19"/>
                <w:szCs w:val="19"/>
                <w:color w:val="auto"/>
              </w:rPr>
            </w:pPr>
          </w:p>
        </w:tc>
      </w:tr>
      <w:tr>
        <w:trPr>
          <w:trHeight w:val="197"/>
        </w:trPr>
        <w:tc>
          <w:tcPr>
            <w:tcW w:w="5280" w:type="dxa"/>
            <w:vAlign w:val="bottom"/>
          </w:tcPr>
          <w:p>
            <w:pPr>
              <w:spacing w:after="0" w:line="197" w:lineRule="exact"/>
              <w:rPr>
                <w:sz w:val="20"/>
                <w:szCs w:val="20"/>
                <w:color w:val="auto"/>
              </w:rPr>
            </w:pPr>
            <w:r>
              <w:rPr>
                <w:rFonts w:ascii="Arial" w:cs="Arial" w:eastAsia="Arial" w:hAnsi="Arial"/>
                <w:sz w:val="18"/>
                <w:szCs w:val="18"/>
                <w:color w:val="auto"/>
              </w:rPr>
              <w:t>Comprehensive income attributable to noncontrolling interests,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5280" w:type="dxa"/>
            <w:vAlign w:val="bottom"/>
          </w:tcPr>
          <w:p>
            <w:pPr>
              <w:spacing w:after="0"/>
              <w:rPr>
                <w:sz w:val="20"/>
                <w:szCs w:val="20"/>
                <w:color w:val="auto"/>
              </w:rPr>
            </w:pPr>
            <w:r>
              <w:rPr>
                <w:rFonts w:ascii="Arial" w:cs="Arial" w:eastAsia="Arial" w:hAnsi="Arial"/>
                <w:sz w:val="18"/>
                <w:szCs w:val="18"/>
                <w:color w:val="auto"/>
              </w:rPr>
              <w:t>net of tax</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(14,014)</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(7,407)</w:t>
            </w: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(21,673)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(17,711)</w:t>
            </w:r>
          </w:p>
        </w:tc>
      </w:tr>
      <w:tr>
        <w:trPr>
          <w:trHeight w:val="191"/>
        </w:trPr>
        <w:tc>
          <w:tcPr>
            <w:tcW w:w="528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Comprehensive income attributable to Parsons Corporation, net</w:t>
            </w:r>
          </w:p>
        </w:tc>
        <w:tc>
          <w:tcPr>
            <w:tcW w:w="16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21"/>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of tax</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58,809</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38,832</w:t>
            </w:r>
          </w:p>
        </w:tc>
        <w:tc>
          <w:tcPr>
            <w:tcW w:w="100" w:type="dxa"/>
            <w:vAlign w:val="bottom"/>
            <w:shd w:val="clear" w:color="auto" w:fill="CFF0FC"/>
          </w:tcPr>
          <w:p>
            <w:pPr>
              <w:spacing w:after="0"/>
              <w:rPr>
                <w:sz w:val="19"/>
                <w:szCs w:val="19"/>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i w:val="1"/>
          <w:iCs w:val="1"/>
          <w:color w:val="auto"/>
        </w:rPr>
        <w:t xml:space="preserve">(In thousands) </w:t>
      </w:r>
      <w:r>
        <w:rPr>
          <w:rFonts w:ascii="Arial" w:cs="Arial" w:eastAsia="Arial" w:hAnsi="Arial"/>
          <w:sz w:val="18"/>
          <w:szCs w:val="18"/>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For the Nine Months Ended</w:t>
            </w:r>
          </w:p>
        </w:tc>
        <w:tc>
          <w:tcPr>
            <w:tcW w:w="120" w:type="dxa"/>
            <w:vAlign w:val="bottom"/>
          </w:tcPr>
          <w:p>
            <w:pPr>
              <w:spacing w:after="0"/>
              <w:rPr>
                <w:sz w:val="14"/>
                <w:szCs w:val="14"/>
                <w:color w:val="auto"/>
              </w:rPr>
            </w:pPr>
          </w:p>
        </w:tc>
      </w:tr>
      <w:tr>
        <w:trPr>
          <w:trHeight w:val="196"/>
        </w:trPr>
        <w:tc>
          <w:tcPr>
            <w:tcW w:w="6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September 30, 2021</w:t>
            </w:r>
          </w:p>
        </w:tc>
      </w:tr>
      <w:tr>
        <w:trPr>
          <w:trHeight w:val="196"/>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Net income including noncontrolling interests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90,218</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52,810</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90,668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106,540</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Amortization of debt issue costs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1,959</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2,173</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(Gain) loss on disposal of property and equipment</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Provision for doubtful accounts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Deferred taxes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(6,334)</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(4,369)</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Foreign currency transaction gains and losses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3,502</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3,107</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Equity in earnings of unconsolidated joint ventures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(10,237)</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(26,528)</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Return on investments in unconsolidated joint ventures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25,626</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20,547</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Stock-based compensation</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14,991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15,544</w:t>
            </w:r>
          </w:p>
        </w:tc>
        <w:tc>
          <w:tcPr>
            <w:tcW w:w="120" w:type="dxa"/>
            <w:vAlign w:val="bottom"/>
          </w:tcPr>
          <w:p>
            <w:pPr>
              <w:spacing w:after="0"/>
              <w:rPr>
                <w:sz w:val="17"/>
                <w:szCs w:val="17"/>
                <w:color w:val="auto"/>
              </w:rPr>
            </w:pPr>
          </w:p>
        </w:tc>
      </w:tr>
      <w:tr>
        <w:trPr>
          <w:trHeight w:val="202"/>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Contributions of treasury stock</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41,980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41,312</w:t>
            </w:r>
          </w:p>
        </w:tc>
        <w:tc>
          <w:tcPr>
            <w:tcW w:w="120" w:type="dxa"/>
            <w:vAlign w:val="bottom"/>
            <w:shd w:val="clear" w:color="auto" w:fill="CFF0FC"/>
          </w:tcPr>
          <w:p>
            <w:pPr>
              <w:spacing w:after="0"/>
              <w:rPr>
                <w:sz w:val="17"/>
                <w:szCs w:val="17"/>
                <w:color w:val="auto"/>
              </w:rPr>
            </w:pPr>
          </w:p>
        </w:tc>
      </w:tr>
      <w:tr>
        <w:trPr>
          <w:trHeight w:val="188"/>
        </w:trPr>
        <w:tc>
          <w:tcPr>
            <w:tcW w:w="6720" w:type="dxa"/>
            <w:vAlign w:val="bottom"/>
          </w:tcPr>
          <w:p>
            <w:pPr>
              <w:ind w:left="300"/>
              <w:spacing w:after="0"/>
              <w:rPr>
                <w:sz w:val="20"/>
                <w:szCs w:val="20"/>
                <w:color w:val="auto"/>
              </w:rPr>
            </w:pPr>
            <w:r>
              <w:rPr>
                <w:rFonts w:ascii="Arial" w:cs="Arial" w:eastAsia="Arial" w:hAnsi="Arial"/>
                <w:sz w:val="16"/>
                <w:szCs w:val="16"/>
                <w:color w:val="auto"/>
              </w:rPr>
              <w:t>Changes in assets and liabilities, net of acquisitions and newly consolidated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joint ventures: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Accounts receivable</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(90,913)</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70,355</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Contract assets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(62,861)</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13,262</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Prepaid expenses and other assets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8,772</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(19,596)</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Accounts payable</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(39,341)</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Accrued expenses and other current liabilities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20,220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(86,402)</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Contract liabilities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26,665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(16,294)</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Income taxes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(498)</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Other long-term liabilities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(5,866)</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(17,273)</w:t>
            </w:r>
          </w:p>
        </w:tc>
      </w:tr>
      <w:tr>
        <w:trPr>
          <w:trHeight w:val="196"/>
        </w:trPr>
        <w:tc>
          <w:tcPr>
            <w:tcW w:w="6720" w:type="dxa"/>
            <w:vAlign w:val="bottom"/>
            <w:tcBorders>
              <w:top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148,368</w:t>
            </w:r>
          </w:p>
        </w:tc>
        <w:tc>
          <w:tcPr>
            <w:tcW w:w="2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115,714</w:t>
            </w:r>
          </w:p>
        </w:tc>
        <w:tc>
          <w:tcPr>
            <w:tcW w:w="120" w:type="dxa"/>
            <w:vAlign w:val="bottom"/>
            <w:tcBorders>
              <w:top w:val="single" w:sz="8" w:color="CFF0FC"/>
            </w:tcBorders>
            <w:shd w:val="clear" w:color="auto" w:fill="CFF0FC"/>
          </w:tcPr>
          <w:p>
            <w:pPr>
              <w:spacing w:after="0"/>
              <w:rPr>
                <w:sz w:val="17"/>
                <w:szCs w:val="17"/>
                <w:color w:val="auto"/>
              </w:rPr>
            </w:pPr>
          </w:p>
        </w:tc>
      </w:tr>
      <w:tr>
        <w:trPr>
          <w:trHeight w:val="196"/>
        </w:trPr>
        <w:tc>
          <w:tcPr>
            <w:tcW w:w="67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Capital expenditures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(19,784)</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(12,803)</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Proceeds from sale of property and equipment</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573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1,049</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Payments for acquisitions, net of cash acquired</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(379,272)</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(197,672)</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Investments in unconsolidated joint ventures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(13,637)</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(36,102)</w:t>
            </w: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Return of investments in unconsolidated joint ventures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9,443</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Proceeds from sales of investments in unconsolidated joint ventures</w:t>
            </w:r>
          </w:p>
        </w:tc>
        <w:tc>
          <w:tcPr>
            <w:tcW w:w="10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14,335</w:t>
            </w:r>
          </w:p>
        </w:tc>
        <w:tc>
          <w:tcPr>
            <w:tcW w:w="120" w:type="dxa"/>
            <w:vAlign w:val="bottom"/>
            <w:tcBorders>
              <w:bottom w:val="single" w:sz="8" w:color="CFF0FC"/>
            </w:tcBorders>
          </w:tcPr>
          <w:p>
            <w:pPr>
              <w:spacing w:after="0"/>
              <w:rPr>
                <w:sz w:val="17"/>
                <w:szCs w:val="17"/>
                <w:color w:val="auto"/>
              </w:rPr>
            </w:pPr>
          </w:p>
        </w:tc>
      </w:tr>
      <w:tr>
        <w:trPr>
          <w:trHeight w:val="196"/>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Net cash used in investing activities</w:t>
            </w:r>
          </w:p>
        </w:tc>
        <w:tc>
          <w:tcPr>
            <w:tcW w:w="10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(402,677)</w:t>
            </w:r>
          </w:p>
        </w:tc>
        <w:tc>
          <w:tcPr>
            <w:tcW w:w="2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(230,464)</w:t>
            </w:r>
          </w:p>
        </w:tc>
        <w:tc>
          <w:tcPr>
            <w:tcW w:w="120" w:type="dxa"/>
            <w:vAlign w:val="bottom"/>
            <w:shd w:val="clear" w:color="auto" w:fill="CFF0FC"/>
          </w:tcPr>
          <w:p>
            <w:pPr>
              <w:spacing w:after="0"/>
              <w:rPr>
                <w:sz w:val="17"/>
                <w:szCs w:val="17"/>
                <w:color w:val="auto"/>
              </w:rPr>
            </w:pPr>
          </w:p>
        </w:tc>
      </w:tr>
      <w:tr>
        <w:trPr>
          <w:trHeight w:val="196"/>
        </w:trPr>
        <w:tc>
          <w:tcPr>
            <w:tcW w:w="67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borrowings under credit agreement</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680,900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Repayments of borrowings under credit agreement</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(579,700)</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(50,000)</w:t>
            </w: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Payments for debt costs and credit agreement</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(1,937)</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Payments for acquired warrants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(11,243)</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Contributions by noncontrolling interests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8,299</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1,688</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Distributions to noncontrolling interests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(14,290)</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(37,246)</w:t>
            </w: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Repurchases of common stock</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(19,500)</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(8,701)</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Taxes paid on vested stock</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(6,135)</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(2,242)</w:t>
            </w: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issuance of common stock</w:t>
            </w:r>
          </w:p>
        </w:tc>
        <w:tc>
          <w:tcPr>
            <w:tcW w:w="10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2,724</w:t>
            </w:r>
          </w:p>
        </w:tc>
        <w:tc>
          <w:tcPr>
            <w:tcW w:w="2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2,773</w:t>
            </w:r>
          </w:p>
        </w:tc>
        <w:tc>
          <w:tcPr>
            <w:tcW w:w="120" w:type="dxa"/>
            <w:vAlign w:val="bottom"/>
            <w:shd w:val="clear" w:color="auto" w:fill="CFF0FC"/>
          </w:tcPr>
          <w:p>
            <w:pPr>
              <w:spacing w:after="0"/>
              <w:rPr>
                <w:sz w:val="17"/>
                <w:szCs w:val="17"/>
                <w:color w:val="auto"/>
              </w:rPr>
            </w:pPr>
          </w:p>
        </w:tc>
      </w:tr>
      <w:tr>
        <w:trPr>
          <w:trHeight w:val="196"/>
        </w:trPr>
        <w:tc>
          <w:tcPr>
            <w:tcW w:w="6720" w:type="dxa"/>
            <w:vAlign w:val="bottom"/>
          </w:tcPr>
          <w:p>
            <w:pPr>
              <w:ind w:left="300"/>
              <w:spacing w:after="0"/>
              <w:rPr>
                <w:sz w:val="20"/>
                <w:szCs w:val="20"/>
                <w:color w:val="auto"/>
              </w:rPr>
            </w:pPr>
            <w:r>
              <w:rPr>
                <w:rFonts w:ascii="Arial" w:cs="Arial" w:eastAsia="Arial" w:hAnsi="Arial"/>
                <w:sz w:val="16"/>
                <w:szCs w:val="16"/>
                <w:color w:val="auto"/>
              </w:rPr>
              <w:t>Net cash provided by (used in) financing activities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60,185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(95,665)</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Effect of exchange rate changes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(2,220)</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(97)</w:t>
            </w:r>
          </w:p>
        </w:tc>
      </w:tr>
      <w:tr>
        <w:trPr>
          <w:trHeight w:val="196"/>
        </w:trPr>
        <w:tc>
          <w:tcPr>
            <w:tcW w:w="6720" w:type="dxa"/>
            <w:vAlign w:val="bottom"/>
          </w:tcPr>
          <w:p>
            <w:pPr>
              <w:ind w:left="300"/>
              <w:spacing w:after="0"/>
              <w:rPr>
                <w:sz w:val="20"/>
                <w:szCs w:val="20"/>
                <w:color w:val="auto"/>
              </w:rPr>
            </w:pPr>
            <w:r>
              <w:rPr>
                <w:rFonts w:ascii="Arial" w:cs="Arial" w:eastAsia="Arial" w:hAnsi="Arial"/>
                <w:sz w:val="16"/>
                <w:szCs w:val="16"/>
                <w:color w:val="auto"/>
              </w:rPr>
              <w:t>Net decrease in cash, cash equivalents, and restricted cash</w:t>
            </w:r>
          </w:p>
        </w:tc>
        <w:tc>
          <w:tcPr>
            <w:tcW w:w="1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(196,344)</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(210,512)</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Cash, cash equivalents and restricted cash:</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Beginning of year</w:t>
            </w:r>
          </w:p>
        </w:tc>
        <w:tc>
          <w:tcPr>
            <w:tcW w:w="10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343,883</w:t>
            </w: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487,215</w:t>
            </w:r>
          </w:p>
        </w:tc>
        <w:tc>
          <w:tcPr>
            <w:tcW w:w="120" w:type="dxa"/>
            <w:vAlign w:val="bottom"/>
            <w:tcBorders>
              <w:bottom w:val="single" w:sz="8" w:color="CFF0FC"/>
            </w:tcBorders>
          </w:tcPr>
          <w:p>
            <w:pPr>
              <w:spacing w:after="0"/>
              <w:rPr>
                <w:sz w:val="17"/>
                <w:szCs w:val="17"/>
                <w:color w:val="auto"/>
              </w:rPr>
            </w:pPr>
          </w:p>
        </w:tc>
      </w:tr>
      <w:tr>
        <w:trPr>
          <w:trHeight w:val="196"/>
        </w:trPr>
        <w:tc>
          <w:tcPr>
            <w:tcW w:w="6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End of period</w:t>
            </w:r>
          </w:p>
        </w:tc>
        <w:tc>
          <w:tcPr>
            <w:tcW w:w="10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147,539</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276,703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6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Three Months Ended September 30, 2022 and September 30, 2021</w:t>
      </w:r>
    </w:p>
    <w:p>
      <w:pPr>
        <w:jc w:val="center"/>
        <w:spacing w:after="0" w:line="235"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Retained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Accumulated</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Earnings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Total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Common</w:t>
            </w:r>
          </w:p>
        </w:tc>
        <w:tc>
          <w:tcPr>
            <w:tcW w:w="10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Treasury</w:t>
            </w:r>
          </w:p>
        </w:tc>
        <w:tc>
          <w:tcPr>
            <w:tcW w:w="100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Paid-in</w:t>
            </w: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Comprehensive</w:t>
            </w:r>
          </w:p>
        </w:tc>
        <w:tc>
          <w:tcPr>
            <w:tcW w:w="8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Parsons</w:t>
            </w:r>
          </w:p>
        </w:tc>
        <w:tc>
          <w:tcPr>
            <w:tcW w:w="80" w:type="dxa"/>
            <w:vAlign w:val="bottom"/>
          </w:tcPr>
          <w:p>
            <w:pPr>
              <w:spacing w:after="0"/>
              <w:rPr>
                <w:sz w:val="12"/>
                <w:szCs w:val="12"/>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auto"/>
              </w:rPr>
              <w:t>Noncontrolling</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Borders>
              <w:bottom w:val="single" w:sz="8" w:color="CFF0FC"/>
            </w:tcBorders>
          </w:tcPr>
          <w:p>
            <w:pPr>
              <w:spacing w:after="0"/>
              <w:rPr>
                <w:sz w:val="11"/>
                <w:szCs w:val="11"/>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1"/>
                <w:szCs w:val="11"/>
                <w:b w:val="1"/>
                <w:bCs w:val="1"/>
                <w:color w:val="auto"/>
              </w:rPr>
              <w:t>Stock</w:t>
            </w:r>
          </w:p>
        </w:tc>
        <w:tc>
          <w:tcPr>
            <w:tcW w:w="1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1"/>
                <w:szCs w:val="11"/>
                <w:b w:val="1"/>
                <w:bCs w:val="1"/>
                <w:color w:val="auto"/>
              </w:rPr>
              <w:t>Stock</w:t>
            </w:r>
          </w:p>
        </w:tc>
        <w:tc>
          <w:tcPr>
            <w:tcW w:w="220" w:type="dxa"/>
            <w:vAlign w:val="bottom"/>
            <w:tcBorders>
              <w:bottom w:val="single" w:sz="8" w:color="CFF0FC"/>
            </w:tcBorders>
          </w:tcPr>
          <w:p>
            <w:pPr>
              <w:spacing w:after="0"/>
              <w:rPr>
                <w:sz w:val="11"/>
                <w:szCs w:val="11"/>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Capital</w:t>
            </w:r>
          </w:p>
        </w:tc>
        <w:tc>
          <w:tcPr>
            <w:tcW w:w="22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1"/>
                <w:szCs w:val="11"/>
                <w:b w:val="1"/>
                <w:bCs w:val="1"/>
                <w:color w:val="auto"/>
                <w:w w:val="96"/>
              </w:rPr>
              <w:t>Deficit)</w:t>
            </w: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99"/>
              </w:rPr>
              <w:t>Income (Loss)</w:t>
            </w: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Equity</w:t>
            </w: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89"/>
              <w:spacing w:after="0"/>
              <w:rPr>
                <w:sz w:val="20"/>
                <w:szCs w:val="20"/>
                <w:color w:val="auto"/>
              </w:rPr>
            </w:pPr>
            <w:r>
              <w:rPr>
                <w:rFonts w:ascii="Arial" w:cs="Arial" w:eastAsia="Arial" w:hAnsi="Arial"/>
                <w:sz w:val="11"/>
                <w:szCs w:val="11"/>
                <w:b w:val="1"/>
                <w:bCs w:val="1"/>
                <w:color w:val="auto"/>
              </w:rPr>
              <w:t>Interests</w:t>
            </w: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June 30, 2022</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$ 146,174</w:t>
            </w:r>
          </w:p>
        </w:tc>
        <w:tc>
          <w:tcPr>
            <w:tcW w:w="1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 (867,391)</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$ 2,676,063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(14,565)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(12,100)</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$ 1,928,181</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26"/>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36,486</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$ 1,964,667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20"/>
                <w:szCs w:val="20"/>
                <w:color w:val="auto"/>
              </w:rPr>
            </w:pPr>
            <w:r>
              <w:rPr>
                <w:rFonts w:ascii="Arial" w:cs="Arial" w:eastAsia="Arial" w:hAnsi="Arial"/>
                <w:sz w:val="14"/>
                <w:szCs w:val="14"/>
                <w:color w:val="auto"/>
              </w:rPr>
              <w:t>Comprehensive income</w:t>
            </w: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29,571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29,571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14,024</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43,595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00" w:type="dxa"/>
            <w:vAlign w:val="bottom"/>
          </w:tcPr>
          <w:p>
            <w:pPr>
              <w:ind w:left="260"/>
              <w:spacing w:after="0"/>
              <w:rPr>
                <w:sz w:val="20"/>
                <w:szCs w:val="20"/>
                <w:color w:val="auto"/>
              </w:rPr>
            </w:pPr>
            <w:r>
              <w:rPr>
                <w:rFonts w:ascii="Arial" w:cs="Arial" w:eastAsia="Arial" w:hAnsi="Arial"/>
                <w:sz w:val="14"/>
                <w:szCs w:val="14"/>
                <w:color w:val="auto"/>
              </w:rPr>
              <w:t>Foreign currency translation loss, net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(7,124)</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(7,124)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(7,134)</w:t>
            </w:r>
          </w:p>
        </w:tc>
        <w:tc>
          <w:tcPr>
            <w:tcW w:w="0" w:type="dxa"/>
            <w:vAlign w:val="bottom"/>
          </w:tcPr>
          <w:p>
            <w:pPr>
              <w:spacing w:after="0"/>
              <w:rPr>
                <w:sz w:val="1"/>
                <w:szCs w:val="1"/>
                <w:color w:val="auto"/>
              </w:rPr>
            </w:pPr>
          </w:p>
        </w:tc>
      </w:tr>
      <w:tr>
        <w:trPr>
          <w:trHeight w:val="175"/>
        </w:trPr>
        <w:tc>
          <w:tcPr>
            <w:tcW w:w="3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Pension adjustments, net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(68)</w:t>
            </w:r>
          </w:p>
        </w:tc>
        <w:tc>
          <w:tcPr>
            <w:tcW w:w="100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(68)</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20"/>
                <w:szCs w:val="20"/>
                <w:color w:val="auto"/>
              </w:rPr>
            </w:pPr>
            <w:r>
              <w:rPr>
                <w:rFonts w:ascii="Arial" w:cs="Arial" w:eastAsia="Arial" w:hAnsi="Arial"/>
                <w:sz w:val="14"/>
                <w:szCs w:val="14"/>
                <w:color w:val="auto"/>
              </w:rPr>
              <w:t>Contributions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5,472</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5,472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(3,946)</w:t>
            </w: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(3,946)</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20"/>
                <w:szCs w:val="20"/>
                <w:color w:val="auto"/>
              </w:rPr>
            </w:pPr>
            <w:r>
              <w:rPr>
                <w:rFonts w:ascii="Arial" w:cs="Arial" w:eastAsia="Arial" w:hAnsi="Arial"/>
                <w:sz w:val="14"/>
                <w:szCs w:val="14"/>
                <w:color w:val="auto"/>
              </w:rPr>
              <w:t>Issuance of equity securities, net of retirements</w:t>
            </w:r>
          </w:p>
        </w:tc>
        <w:tc>
          <w:tcPr>
            <w:tcW w:w="64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(175)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76"/>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Repurchases of common stock</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(95)</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(3,857)</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(3,952)</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(3,952)</w:t>
            </w:r>
          </w:p>
        </w:tc>
        <w:tc>
          <w:tcPr>
            <w:tcW w:w="0" w:type="dxa"/>
            <w:vAlign w:val="bottom"/>
          </w:tcPr>
          <w:p>
            <w:pPr>
              <w:spacing w:after="0"/>
              <w:rPr>
                <w:sz w:val="1"/>
                <w:szCs w:val="1"/>
                <w:color w:val="auto"/>
              </w:rPr>
            </w:pPr>
          </w:p>
        </w:tc>
      </w:tr>
      <w:tr>
        <w:trPr>
          <w:trHeight w:val="175"/>
        </w:trPr>
        <w:tc>
          <w:tcPr>
            <w:tcW w:w="32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6,633</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6,633</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6,633</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September 30, 2022</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$ 146,088</w:t>
            </w:r>
          </w:p>
        </w:tc>
        <w:tc>
          <w:tcPr>
            <w:tcW w:w="1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 (867,391)</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$ 2,678,653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15,008</w:t>
            </w:r>
          </w:p>
        </w:tc>
        <w:tc>
          <w:tcPr>
            <w:tcW w:w="14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(19,292)</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$ 1,953,066</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26"/>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52,026</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$ 2,005,092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200" w:type="dxa"/>
            <w:vAlign w:val="bottom"/>
            <w:tcBorders>
              <w:bottom w:val="single" w:sz="8" w:color="CFF0FC"/>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June 30, 2021</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$ 146,752</w:t>
            </w:r>
          </w:p>
        </w:tc>
        <w:tc>
          <w:tcPr>
            <w:tcW w:w="1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 (899,328)</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$ 2,673,965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(102,019)</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(5,905)</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$ 1,813,465</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26"/>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36,985</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$ 1,850,450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00" w:type="dxa"/>
            <w:vAlign w:val="bottom"/>
          </w:tcPr>
          <w:p>
            <w:pPr>
              <w:spacing w:after="0"/>
              <w:rPr>
                <w:sz w:val="20"/>
                <w:szCs w:val="20"/>
                <w:color w:val="auto"/>
              </w:rPr>
            </w:pPr>
            <w:r>
              <w:rPr>
                <w:rFonts w:ascii="Arial" w:cs="Arial" w:eastAsia="Arial" w:hAnsi="Arial"/>
                <w:sz w:val="14"/>
                <w:szCs w:val="14"/>
                <w:color w:val="auto"/>
              </w:rPr>
              <w:t>Comprehensive income</w:t>
            </w: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19,358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19,358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7,411</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26,769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00" w:type="dxa"/>
            <w:vAlign w:val="bottom"/>
          </w:tcPr>
          <w:p>
            <w:pPr>
              <w:ind w:left="260"/>
              <w:spacing w:after="0"/>
              <w:rPr>
                <w:sz w:val="20"/>
                <w:szCs w:val="20"/>
                <w:color w:val="auto"/>
              </w:rPr>
            </w:pPr>
            <w:r>
              <w:rPr>
                <w:rFonts w:ascii="Arial" w:cs="Arial" w:eastAsia="Arial" w:hAnsi="Arial"/>
                <w:sz w:val="14"/>
                <w:szCs w:val="14"/>
                <w:color w:val="auto"/>
              </w:rPr>
              <w:t>Foreign currency translation gain, net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(4,201)</w:t>
            </w:r>
          </w:p>
        </w:tc>
        <w:tc>
          <w:tcPr>
            <w:tcW w:w="100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(4,201)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(4)</w:t>
            </w:r>
          </w:p>
        </w:tc>
        <w:tc>
          <w:tcPr>
            <w:tcW w:w="9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(4,205)</w:t>
            </w:r>
          </w:p>
        </w:tc>
        <w:tc>
          <w:tcPr>
            <w:tcW w:w="0" w:type="dxa"/>
            <w:vAlign w:val="bottom"/>
          </w:tcPr>
          <w:p>
            <w:pPr>
              <w:spacing w:after="0"/>
              <w:rPr>
                <w:sz w:val="1"/>
                <w:szCs w:val="1"/>
                <w:color w:val="auto"/>
              </w:rPr>
            </w:pPr>
          </w:p>
        </w:tc>
      </w:tr>
      <w:tr>
        <w:trPr>
          <w:trHeight w:val="35"/>
        </w:trPr>
        <w:tc>
          <w:tcPr>
            <w:tcW w:w="32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Pension adjustments, net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(26)</w:t>
            </w:r>
          </w:p>
        </w:tc>
        <w:tc>
          <w:tcPr>
            <w:tcW w:w="100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(26)</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20"/>
                <w:szCs w:val="20"/>
                <w:color w:val="auto"/>
              </w:rPr>
            </w:pPr>
            <w:r>
              <w:rPr>
                <w:rFonts w:ascii="Arial" w:cs="Arial" w:eastAsia="Arial" w:hAnsi="Arial"/>
                <w:sz w:val="14"/>
                <w:szCs w:val="14"/>
                <w:color w:val="auto"/>
              </w:rPr>
              <w:t>Contributions</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816</w:t>
            </w:r>
          </w:p>
        </w:tc>
        <w:tc>
          <w:tcPr>
            <w:tcW w:w="14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2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Distributions</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(15,410)</w:t>
            </w:r>
          </w:p>
        </w:tc>
        <w:tc>
          <w:tcPr>
            <w:tcW w:w="960" w:type="dxa"/>
            <w:vAlign w:val="bottom"/>
            <w:tcBorders>
              <w:bottom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(15,410)</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20"/>
                <w:szCs w:val="20"/>
                <w:color w:val="auto"/>
              </w:rPr>
            </w:pPr>
            <w:r>
              <w:rPr>
                <w:rFonts w:ascii="Arial" w:cs="Arial" w:eastAsia="Arial" w:hAnsi="Arial"/>
                <w:sz w:val="14"/>
                <w:szCs w:val="14"/>
                <w:color w:val="auto"/>
              </w:rPr>
              <w:t>Issuance of equity securities, net of retirements</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2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Repurchases of common stock</w:t>
            </w:r>
          </w:p>
        </w:tc>
        <w:tc>
          <w:tcPr>
            <w:tcW w:w="7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(245)</w:t>
            </w: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(8,456)</w:t>
            </w: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(8,701)</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(8,701)</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 w:type="dxa"/>
            <w:vAlign w:val="bottom"/>
            <w:vMerge w:val="restart"/>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4,183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4,183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4,183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200" w:type="dxa"/>
            <w:vAlign w:val="bottom"/>
            <w:tcBorders>
              <w:bottom w:val="single" w:sz="8" w:color="CFF0FC"/>
            </w:tcBorders>
          </w:tcPr>
          <w:p>
            <w:pPr>
              <w:spacing w:after="0"/>
              <w:rPr>
                <w:sz w:val="3"/>
                <w:szCs w:val="3"/>
                <w:color w:val="auto"/>
              </w:rPr>
            </w:pPr>
          </w:p>
        </w:tc>
        <w:tc>
          <w:tcPr>
            <w:tcW w:w="640" w:type="dxa"/>
            <w:vAlign w:val="bottom"/>
            <w:tcBorders>
              <w:bottom w:val="single" w:sz="8" w:color="auto"/>
            </w:tcBorders>
            <w:vMerge w:val="continue"/>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100" w:type="dxa"/>
            <w:vAlign w:val="bottom"/>
            <w:tcBorders>
              <w:bottom w:val="single" w:sz="8" w:color="CFF0FC"/>
            </w:tcBorders>
            <w:vMerge w:val="continue"/>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220" w:type="dxa"/>
            <w:vAlign w:val="bottom"/>
            <w:tcBorders>
              <w:bottom w:val="single" w:sz="8" w:color="CFF0FC"/>
            </w:tcBorders>
          </w:tcPr>
          <w:p>
            <w:pPr>
              <w:spacing w:after="0"/>
              <w:rPr>
                <w:sz w:val="3"/>
                <w:szCs w:val="3"/>
                <w:color w:val="auto"/>
              </w:rPr>
            </w:pPr>
          </w:p>
        </w:tc>
        <w:tc>
          <w:tcPr>
            <w:tcW w:w="780" w:type="dxa"/>
            <w:vAlign w:val="bottom"/>
            <w:tcBorders>
              <w:bottom w:val="single" w:sz="8" w:color="auto"/>
            </w:tcBorders>
            <w:vMerge w:val="continue"/>
          </w:tcPr>
          <w:p>
            <w:pPr>
              <w:spacing w:after="0"/>
              <w:rPr>
                <w:sz w:val="3"/>
                <w:szCs w:val="3"/>
                <w:color w:val="auto"/>
              </w:rPr>
            </w:pPr>
          </w:p>
        </w:tc>
        <w:tc>
          <w:tcPr>
            <w:tcW w:w="22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vMerge w:val="continue"/>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vMerge w:val="continue"/>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vMerge w:val="continue"/>
          </w:tcPr>
          <w:p>
            <w:pPr>
              <w:spacing w:after="0"/>
              <w:rPr>
                <w:sz w:val="3"/>
                <w:szCs w:val="3"/>
                <w:color w:val="auto"/>
              </w:rPr>
            </w:pPr>
          </w:p>
        </w:tc>
        <w:tc>
          <w:tcPr>
            <w:tcW w:w="780" w:type="dxa"/>
            <w:vAlign w:val="bottom"/>
            <w:tcBorders>
              <w:bottom w:val="single" w:sz="8" w:color="auto"/>
            </w:tcBorders>
            <w:vMerge w:val="continue"/>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vMerge w:val="continue"/>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vMerge w:val="continue"/>
          </w:tcPr>
          <w:p>
            <w:pPr>
              <w:spacing w:after="0"/>
              <w:rPr>
                <w:sz w:val="3"/>
                <w:szCs w:val="3"/>
                <w:color w:val="auto"/>
              </w:rPr>
            </w:pPr>
          </w:p>
        </w:tc>
        <w:tc>
          <w:tcPr>
            <w:tcW w:w="78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September 30, 2021</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6"/>
              </w:rPr>
              <w:t>$ 146,507</w:t>
            </w:r>
          </w:p>
        </w:tc>
        <w:tc>
          <w:tcPr>
            <w:tcW w:w="140" w:type="dxa"/>
            <w:vAlign w:val="bottom"/>
            <w:shd w:val="clear" w:color="auto" w:fill="CFF0FC"/>
          </w:tcPr>
          <w:p>
            <w:pPr>
              <w:spacing w:after="0"/>
              <w:rPr>
                <w:sz w:val="16"/>
                <w:szCs w:val="16"/>
                <w:color w:val="auto"/>
              </w:rPr>
            </w:pPr>
          </w:p>
        </w:tc>
        <w:tc>
          <w:tcPr>
            <w:tcW w:w="1020" w:type="dxa"/>
            <w:vAlign w:val="bottom"/>
            <w:gridSpan w:val="3"/>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 (899,328)</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$ 2,669,692</w:t>
            </w:r>
          </w:p>
        </w:tc>
        <w:tc>
          <w:tcPr>
            <w:tcW w:w="220" w:type="dxa"/>
            <w:vAlign w:val="bottom"/>
            <w:shd w:val="clear" w:color="auto" w:fill="CFF0FC"/>
          </w:tcPr>
          <w:p>
            <w:pPr>
              <w:spacing w:after="0"/>
              <w:rPr>
                <w:sz w:val="16"/>
                <w:szCs w:val="16"/>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color w:val="auto"/>
              </w:rPr>
              <w:t>(82,661)</w:t>
            </w:r>
          </w:p>
        </w:tc>
        <w:tc>
          <w:tcPr>
            <w:tcW w:w="1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color w:val="auto"/>
              </w:rPr>
              <w:t>(10,132)</w:t>
            </w:r>
          </w:p>
        </w:tc>
        <w:tc>
          <w:tcPr>
            <w:tcW w:w="8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$ 1,824,078</w:t>
            </w:r>
          </w:p>
        </w:tc>
        <w:tc>
          <w:tcPr>
            <w:tcW w:w="140" w:type="dxa"/>
            <w:vAlign w:val="bottom"/>
            <w:shd w:val="clear" w:color="auto" w:fill="CFF0FC"/>
          </w:tcPr>
          <w:p>
            <w:pPr>
              <w:spacing w:after="0"/>
              <w:rPr>
                <w:sz w:val="16"/>
                <w:szCs w:val="16"/>
                <w:color w:val="auto"/>
              </w:rPr>
            </w:pPr>
          </w:p>
        </w:tc>
        <w:tc>
          <w:tcPr>
            <w:tcW w:w="240" w:type="dxa"/>
            <w:vAlign w:val="bottom"/>
            <w:gridSpan w:val="2"/>
            <w:vMerge w:val="restart"/>
            <w:shd w:val="clear" w:color="auto" w:fill="CFF0FC"/>
          </w:tcPr>
          <w:p>
            <w:pPr>
              <w:jc w:val="right"/>
              <w:ind w:right="26"/>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29,798</w:t>
            </w:r>
          </w:p>
        </w:tc>
        <w:tc>
          <w:tcPr>
            <w:tcW w:w="140" w:type="dxa"/>
            <w:vAlign w:val="bottom"/>
            <w:shd w:val="clear" w:color="auto" w:fill="CFF0FC"/>
          </w:tcPr>
          <w:p>
            <w:pPr>
              <w:spacing w:after="0"/>
              <w:rPr>
                <w:sz w:val="16"/>
                <w:szCs w:val="16"/>
                <w:color w:val="auto"/>
              </w:rPr>
            </w:pPr>
          </w:p>
        </w:tc>
        <w:tc>
          <w:tcPr>
            <w:tcW w:w="8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$ 1,853,876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3200" w:type="dxa"/>
            <w:vAlign w:val="bottom"/>
            <w:shd w:val="clear" w:color="auto" w:fill="CFF0FC"/>
          </w:tcPr>
          <w:p>
            <w:pPr>
              <w:spacing w:after="0"/>
              <w:rPr>
                <w:sz w:val="2"/>
                <w:szCs w:val="2"/>
                <w:color w:val="auto"/>
              </w:rPr>
            </w:pPr>
          </w:p>
        </w:tc>
        <w:tc>
          <w:tcPr>
            <w:tcW w:w="640" w:type="dxa"/>
            <w:vAlign w:val="bottom"/>
            <w:vMerge w:val="continue"/>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20" w:type="dxa"/>
            <w:vAlign w:val="bottom"/>
            <w:gridSpan w:val="3"/>
            <w:vMerge w:val="continue"/>
            <w:shd w:val="clear" w:color="auto" w:fill="CFF0FC"/>
          </w:tcPr>
          <w:p>
            <w:pPr>
              <w:spacing w:after="0"/>
              <w:rPr>
                <w:sz w:val="2"/>
                <w:szCs w:val="2"/>
                <w:color w:val="auto"/>
              </w:rPr>
            </w:pPr>
          </w:p>
        </w:tc>
        <w:tc>
          <w:tcPr>
            <w:tcW w:w="780" w:type="dxa"/>
            <w:vAlign w:val="bottom"/>
            <w:vMerge w:val="continue"/>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vMerge w:val="continue"/>
            <w:shd w:val="clear" w:color="auto" w:fill="CFF0FC"/>
          </w:tcPr>
          <w:p>
            <w:pPr>
              <w:spacing w:after="0"/>
              <w:rPr>
                <w:sz w:val="2"/>
                <w:szCs w:val="2"/>
                <w:color w:val="auto"/>
              </w:rPr>
            </w:pPr>
          </w:p>
        </w:tc>
        <w:tc>
          <w:tcPr>
            <w:tcW w:w="780" w:type="dxa"/>
            <w:vAlign w:val="bottom"/>
            <w:gridSpan w:val="2"/>
            <w:vMerge w:val="continue"/>
            <w:shd w:val="clear" w:color="auto" w:fill="CFF0FC"/>
          </w:tcPr>
          <w:p>
            <w:pPr>
              <w:spacing w:after="0"/>
              <w:rPr>
                <w:sz w:val="2"/>
                <w:szCs w:val="2"/>
                <w:color w:val="auto"/>
              </w:rPr>
            </w:pPr>
          </w:p>
        </w:tc>
        <w:tc>
          <w:tcPr>
            <w:tcW w:w="160" w:type="dxa"/>
            <w:vAlign w:val="bottom"/>
            <w:gridSpan w:val="2"/>
            <w:vMerge w:val="continue"/>
            <w:shd w:val="clear" w:color="auto" w:fill="CFF0FC"/>
          </w:tcPr>
          <w:p>
            <w:pPr>
              <w:spacing w:after="0"/>
              <w:rPr>
                <w:sz w:val="2"/>
                <w:szCs w:val="2"/>
                <w:color w:val="auto"/>
              </w:rPr>
            </w:pPr>
          </w:p>
        </w:tc>
        <w:tc>
          <w:tcPr>
            <w:tcW w:w="1060" w:type="dxa"/>
            <w:vAlign w:val="bottom"/>
            <w:gridSpan w:val="2"/>
            <w:vMerge w:val="continue"/>
            <w:shd w:val="clear" w:color="auto" w:fill="CFF0FC"/>
          </w:tcPr>
          <w:p>
            <w:pPr>
              <w:spacing w:after="0"/>
              <w:rPr>
                <w:sz w:val="2"/>
                <w:szCs w:val="2"/>
                <w:color w:val="auto"/>
              </w:rPr>
            </w:pPr>
          </w:p>
        </w:tc>
        <w:tc>
          <w:tcPr>
            <w:tcW w:w="860" w:type="dxa"/>
            <w:vAlign w:val="bottom"/>
            <w:gridSpan w:val="2"/>
            <w:vMerge w:val="continue"/>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40" w:type="dxa"/>
            <w:vAlign w:val="bottom"/>
            <w:gridSpan w:val="2"/>
            <w:vMerge w:val="continue"/>
            <w:shd w:val="clear" w:color="auto" w:fill="CFF0FC"/>
          </w:tcPr>
          <w:p>
            <w:pPr>
              <w:spacing w:after="0"/>
              <w:rPr>
                <w:sz w:val="2"/>
                <w:szCs w:val="2"/>
                <w:color w:val="auto"/>
              </w:rPr>
            </w:pPr>
          </w:p>
        </w:tc>
        <w:tc>
          <w:tcPr>
            <w:tcW w:w="780" w:type="dxa"/>
            <w:vAlign w:val="bottom"/>
            <w:vMerge w:val="continue"/>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60" w:type="dxa"/>
            <w:vAlign w:val="bottom"/>
            <w:gridSpan w:val="2"/>
            <w:vMerge w:val="continue"/>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20"/>
        <w:spacing w:after="0" w:line="248" w:lineRule="auto"/>
        <w:rPr>
          <w:sz w:val="20"/>
          <w:szCs w:val="20"/>
          <w:color w:val="auto"/>
        </w:rPr>
      </w:pPr>
      <w:r>
        <w:rPr>
          <w:rFonts w:ascii="Arial" w:cs="Arial" w:eastAsia="Arial" w:hAnsi="Arial"/>
          <w:sz w:val="18"/>
          <w:szCs w:val="18"/>
          <w:b w:val="1"/>
          <w:bCs w:val="1"/>
          <w:color w:val="auto"/>
        </w:rPr>
        <w:t xml:space="preserve">PARSONS CORPORATION AND SUBSIDIARIES Consolidated Statements of Shareholders’ Equity For the Nine Months Ended September 30, 2022 and September 30, 2021 </w:t>
      </w:r>
      <w:r>
        <w:rPr>
          <w:rFonts w:ascii="Arial" w:cs="Arial" w:eastAsia="Arial" w:hAnsi="Arial"/>
          <w:sz w:val="18"/>
          <w:szCs w:val="18"/>
          <w:i w:val="1"/>
          <w:iCs w:val="1"/>
          <w:color w:val="auto"/>
        </w:rPr>
        <w:t>(In thousands)</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Accumulated</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Earnings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Total</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Common</w:t>
            </w:r>
          </w:p>
        </w:tc>
        <w:tc>
          <w:tcPr>
            <w:tcW w:w="88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Treasury</w:t>
            </w:r>
          </w:p>
        </w:tc>
        <w:tc>
          <w:tcPr>
            <w:tcW w:w="88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Paid-in</w:t>
            </w:r>
          </w:p>
        </w:tc>
        <w:tc>
          <w:tcPr>
            <w:tcW w:w="920" w:type="dxa"/>
            <w:vAlign w:val="bottom"/>
            <w:gridSpan w:val="4"/>
          </w:tcPr>
          <w:p>
            <w:pPr>
              <w:ind w:left="80"/>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2"/>
                <w:szCs w:val="12"/>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6"/>
              </w:rPr>
              <w:t>Comprehensive</w:t>
            </w:r>
          </w:p>
        </w:tc>
        <w:tc>
          <w:tcPr>
            <w:tcW w:w="8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Parsons</w:t>
            </w:r>
          </w:p>
        </w:tc>
        <w:tc>
          <w:tcPr>
            <w:tcW w:w="96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9"/>
              </w:rPr>
              <w:t>Noncontrolling</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560" w:type="dxa"/>
            <w:vAlign w:val="bottom"/>
            <w:tcBorders>
              <w:bottom w:val="single" w:sz="8" w:color="CFF0FC"/>
            </w:tcBorders>
          </w:tcPr>
          <w:p>
            <w:pPr>
              <w:spacing w:after="0"/>
              <w:rPr>
                <w:sz w:val="11"/>
                <w:szCs w:val="11"/>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1"/>
                <w:szCs w:val="11"/>
                <w:b w:val="1"/>
                <w:bCs w:val="1"/>
                <w:color w:val="auto"/>
              </w:rPr>
              <w:t>Stock</w:t>
            </w:r>
          </w:p>
        </w:tc>
        <w:tc>
          <w:tcPr>
            <w:tcW w:w="200" w:type="dxa"/>
            <w:vAlign w:val="bottom"/>
            <w:tcBorders>
              <w:bottom w:val="single" w:sz="8" w:color="CFF0FC"/>
            </w:tcBorders>
          </w:tcPr>
          <w:p>
            <w:pPr>
              <w:spacing w:after="0"/>
              <w:rPr>
                <w:sz w:val="11"/>
                <w:szCs w:val="11"/>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Stock</w:t>
            </w:r>
          </w:p>
        </w:tc>
        <w:tc>
          <w:tcPr>
            <w:tcW w:w="200" w:type="dxa"/>
            <w:vAlign w:val="bottom"/>
            <w:tcBorders>
              <w:bottom w:val="single" w:sz="8" w:color="CFF0FC"/>
            </w:tcBorders>
          </w:tcPr>
          <w:p>
            <w:pPr>
              <w:spacing w:after="0"/>
              <w:rPr>
                <w:sz w:val="11"/>
                <w:szCs w:val="11"/>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Capital</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30"/>
              <w:spacing w:after="0"/>
              <w:rPr>
                <w:sz w:val="20"/>
                <w:szCs w:val="20"/>
                <w:color w:val="auto"/>
              </w:rPr>
            </w:pPr>
            <w:r>
              <w:rPr>
                <w:rFonts w:ascii="Arial" w:cs="Arial" w:eastAsia="Arial" w:hAnsi="Arial"/>
                <w:sz w:val="11"/>
                <w:szCs w:val="11"/>
                <w:b w:val="1"/>
                <w:bCs w:val="1"/>
                <w:color w:val="auto"/>
                <w:w w:val="96"/>
              </w:rPr>
              <w:t>Deficit)</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6"/>
              </w:rPr>
              <w:t>Income (Loss)</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Equity</w:t>
            </w:r>
          </w:p>
        </w:tc>
        <w:tc>
          <w:tcPr>
            <w:tcW w:w="20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29"/>
              <w:spacing w:after="0"/>
              <w:rPr>
                <w:sz w:val="20"/>
                <w:szCs w:val="20"/>
                <w:color w:val="auto"/>
              </w:rPr>
            </w:pPr>
            <w:r>
              <w:rPr>
                <w:rFonts w:ascii="Arial" w:cs="Arial" w:eastAsia="Arial" w:hAnsi="Arial"/>
                <w:sz w:val="11"/>
                <w:szCs w:val="11"/>
                <w:b w:val="1"/>
                <w:bCs w:val="1"/>
                <w:color w:val="auto"/>
              </w:rPr>
              <w:t>Interests</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5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December 31, 2021</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$ 146,277</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 (867,391)</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$ 2,684,979</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(53,529)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(9,568)</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$ 1,900,768</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36,344</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$ 1,937,112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60" w:type="dxa"/>
            <w:vAlign w:val="bottom"/>
          </w:tcPr>
          <w:p>
            <w:pPr>
              <w:spacing w:after="0"/>
              <w:rPr>
                <w:sz w:val="20"/>
                <w:szCs w:val="20"/>
                <w:color w:val="auto"/>
              </w:rPr>
            </w:pPr>
            <w:r>
              <w:rPr>
                <w:rFonts w:ascii="Arial" w:cs="Arial" w:eastAsia="Arial" w:hAnsi="Arial"/>
                <w:sz w:val="14"/>
                <w:szCs w:val="14"/>
                <w:color w:val="auto"/>
              </w:rPr>
              <w:t>Comprehensive income</w:t>
            </w:r>
          </w:p>
        </w:tc>
        <w:tc>
          <w:tcPr>
            <w:tcW w:w="6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4"/>
                <w:szCs w:val="14"/>
                <w:color w:val="auto"/>
              </w:rPr>
              <w:t>Net income</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68,533</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68,533</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21,685</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90,218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60" w:type="dxa"/>
            <w:vAlign w:val="bottom"/>
          </w:tcPr>
          <w:p>
            <w:pPr>
              <w:ind w:left="240"/>
              <w:spacing w:after="0"/>
              <w:rPr>
                <w:sz w:val="20"/>
                <w:szCs w:val="20"/>
                <w:color w:val="auto"/>
              </w:rPr>
            </w:pPr>
            <w:r>
              <w:rPr>
                <w:rFonts w:ascii="Arial" w:cs="Arial" w:eastAsia="Arial" w:hAnsi="Arial"/>
                <w:sz w:val="14"/>
                <w:szCs w:val="14"/>
                <w:color w:val="auto"/>
              </w:rPr>
              <w:t>Foreign currency translation gain,</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60" w:type="dxa"/>
            <w:vAlign w:val="bottom"/>
          </w:tcPr>
          <w:p>
            <w:pPr>
              <w:ind w:left="240"/>
              <w:spacing w:after="0"/>
              <w:rPr>
                <w:sz w:val="20"/>
                <w:szCs w:val="20"/>
                <w:color w:val="auto"/>
              </w:rPr>
            </w:pPr>
            <w:r>
              <w:rPr>
                <w:rFonts w:ascii="Arial" w:cs="Arial" w:eastAsia="Arial" w:hAnsi="Arial"/>
                <w:sz w:val="14"/>
                <w:szCs w:val="14"/>
                <w:color w:val="auto"/>
              </w:rPr>
              <w:t>net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(9,631)</w:t>
            </w: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(9,631)</w:t>
            </w:r>
          </w:p>
        </w:tc>
        <w:tc>
          <w:tcPr>
            <w:tcW w:w="14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(9,643)</w:t>
            </w:r>
          </w:p>
        </w:tc>
        <w:tc>
          <w:tcPr>
            <w:tcW w:w="0" w:type="dxa"/>
            <w:vAlign w:val="bottom"/>
          </w:tcPr>
          <w:p>
            <w:pPr>
              <w:spacing w:after="0"/>
              <w:rPr>
                <w:sz w:val="1"/>
                <w:szCs w:val="1"/>
                <w:color w:val="auto"/>
              </w:rPr>
            </w:pPr>
          </w:p>
        </w:tc>
      </w:tr>
      <w:tr>
        <w:trPr>
          <w:trHeight w:val="209"/>
        </w:trPr>
        <w:tc>
          <w:tcPr>
            <w:tcW w:w="2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4"/>
                <w:szCs w:val="14"/>
                <w:color w:val="auto"/>
              </w:rPr>
              <w:t>Pension adjustments, net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(93)</w:t>
            </w:r>
          </w:p>
        </w:tc>
        <w:tc>
          <w:tcPr>
            <w:tcW w:w="104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(93)</w:t>
            </w:r>
          </w:p>
        </w:tc>
        <w:tc>
          <w:tcPr>
            <w:tcW w:w="1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76"/>
        </w:trPr>
        <w:tc>
          <w:tcPr>
            <w:tcW w:w="2560" w:type="dxa"/>
            <w:vAlign w:val="bottom"/>
          </w:tcPr>
          <w:p>
            <w:pPr>
              <w:spacing w:after="0"/>
              <w:rPr>
                <w:sz w:val="20"/>
                <w:szCs w:val="20"/>
                <w:color w:val="auto"/>
              </w:rPr>
            </w:pPr>
            <w:r>
              <w:rPr>
                <w:rFonts w:ascii="Arial" w:cs="Arial" w:eastAsia="Arial" w:hAnsi="Arial"/>
                <w:sz w:val="14"/>
                <w:szCs w:val="14"/>
                <w:color w:val="auto"/>
              </w:rPr>
              <w:t>Contributions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8,299</w:t>
            </w:r>
          </w:p>
        </w:tc>
        <w:tc>
          <w:tcPr>
            <w:tcW w:w="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8,299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6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(14,290)</w:t>
            </w: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(14,290)</w:t>
            </w:r>
          </w:p>
        </w:tc>
        <w:tc>
          <w:tcPr>
            <w:tcW w:w="0" w:type="dxa"/>
            <w:vAlign w:val="bottom"/>
          </w:tcPr>
          <w:p>
            <w:pPr>
              <w:spacing w:after="0"/>
              <w:rPr>
                <w:sz w:val="1"/>
                <w:szCs w:val="1"/>
                <w:color w:val="auto"/>
              </w:rPr>
            </w:pPr>
          </w:p>
        </w:tc>
      </w:tr>
      <w:tr>
        <w:trPr>
          <w:trHeight w:val="166"/>
        </w:trPr>
        <w:tc>
          <w:tcPr>
            <w:tcW w:w="2560" w:type="dxa"/>
            <w:vAlign w:val="bottom"/>
          </w:tcPr>
          <w:p>
            <w:pPr>
              <w:spacing w:after="0"/>
              <w:rPr>
                <w:sz w:val="20"/>
                <w:szCs w:val="20"/>
                <w:color w:val="auto"/>
              </w:rPr>
            </w:pPr>
            <w:r>
              <w:rPr>
                <w:rFonts w:ascii="Arial" w:cs="Arial" w:eastAsia="Arial" w:hAnsi="Arial"/>
                <w:sz w:val="14"/>
                <w:szCs w:val="14"/>
                <w:color w:val="auto"/>
              </w:rPr>
              <w:t>Issuance of equity securities, net of</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60" w:type="dxa"/>
            <w:vAlign w:val="bottom"/>
          </w:tcPr>
          <w:p>
            <w:pPr>
              <w:spacing w:after="0"/>
              <w:rPr>
                <w:sz w:val="20"/>
                <w:szCs w:val="20"/>
                <w:color w:val="auto"/>
              </w:rPr>
            </w:pPr>
            <w:r>
              <w:rPr>
                <w:rFonts w:ascii="Arial" w:cs="Arial" w:eastAsia="Arial" w:hAnsi="Arial"/>
                <w:sz w:val="14"/>
                <w:szCs w:val="14"/>
                <w:color w:val="auto"/>
              </w:rPr>
              <w:t>retirement</w:t>
            </w:r>
          </w:p>
        </w:tc>
        <w:tc>
          <w:tcPr>
            <w:tcW w:w="640" w:type="dxa"/>
            <w:vAlign w:val="bottom"/>
          </w:tcPr>
          <w:p>
            <w:pPr>
              <w:jc w:val="right"/>
              <w:spacing w:after="0"/>
              <w:rPr>
                <w:sz w:val="20"/>
                <w:szCs w:val="20"/>
                <w:color w:val="auto"/>
              </w:rPr>
            </w:pPr>
            <w:r>
              <w:rPr>
                <w:rFonts w:ascii="Arial" w:cs="Arial" w:eastAsia="Arial" w:hAnsi="Arial"/>
                <w:sz w:val="14"/>
                <w:szCs w:val="14"/>
                <w:color w:val="auto"/>
              </w:rPr>
              <w:t>333</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(2,339)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(2,002)</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176"/>
        </w:trPr>
        <w:tc>
          <w:tcPr>
            <w:tcW w:w="2560" w:type="dxa"/>
            <w:vAlign w:val="bottom"/>
            <w:shd w:val="clear" w:color="auto" w:fill="CFF0FC"/>
          </w:tcPr>
          <w:p>
            <w:pPr>
              <w:spacing w:after="0"/>
              <w:rPr>
                <w:sz w:val="20"/>
                <w:szCs w:val="20"/>
                <w:color w:val="auto"/>
              </w:rPr>
            </w:pPr>
            <w:r>
              <w:rPr>
                <w:rFonts w:ascii="Arial" w:cs="Arial" w:eastAsia="Arial" w:hAnsi="Arial"/>
                <w:sz w:val="14"/>
                <w:szCs w:val="14"/>
                <w:color w:val="auto"/>
              </w:rPr>
              <w:t>Repurchases of common stock</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(522)</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(18,978)</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(19,500)</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(19,500)</w:t>
            </w:r>
          </w:p>
        </w:tc>
        <w:tc>
          <w:tcPr>
            <w:tcW w:w="0" w:type="dxa"/>
            <w:vAlign w:val="bottom"/>
          </w:tcPr>
          <w:p>
            <w:pPr>
              <w:spacing w:after="0"/>
              <w:rPr>
                <w:sz w:val="1"/>
                <w:szCs w:val="1"/>
                <w:color w:val="auto"/>
              </w:rPr>
            </w:pPr>
          </w:p>
        </w:tc>
      </w:tr>
      <w:tr>
        <w:trPr>
          <w:trHeight w:val="175"/>
        </w:trPr>
        <w:tc>
          <w:tcPr>
            <w:tcW w:w="25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14,991</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14,991</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14,991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September 30, 2022</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$ 146,088</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 (867,391)</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$ 2,678,653</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15,008</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(19,292)</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$ 1,953,066</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52,026</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$ 2,005,092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Balance at December 31, 2020</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2560" w:type="dxa"/>
            <w:vAlign w:val="bottom"/>
            <w:vMerge w:val="continue"/>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6"/>
              </w:rPr>
              <w:t>$ 146,609</w:t>
            </w:r>
          </w:p>
        </w:tc>
        <w:tc>
          <w:tcPr>
            <w:tcW w:w="200" w:type="dxa"/>
            <w:vAlign w:val="bottom"/>
          </w:tcPr>
          <w:p>
            <w:pPr>
              <w:spacing w:after="0"/>
              <w:rPr>
                <w:sz w:val="24"/>
                <w:szCs w:val="2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 (899,328)</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$ 2,700,925</w:t>
            </w:r>
          </w:p>
        </w:tc>
        <w:tc>
          <w:tcPr>
            <w:tcW w:w="120" w:type="dxa"/>
            <w:vAlign w:val="bottom"/>
          </w:tcPr>
          <w:p>
            <w:pPr>
              <w:spacing w:after="0"/>
              <w:rPr>
                <w:sz w:val="24"/>
                <w:szCs w:val="24"/>
                <w:color w:val="auto"/>
              </w:rPr>
            </w:pPr>
          </w:p>
        </w:tc>
        <w:tc>
          <w:tcPr>
            <w:tcW w:w="18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(120,569)</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(13,865)</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$ 1,813,772</w:t>
            </w:r>
          </w:p>
        </w:tc>
        <w:tc>
          <w:tcPr>
            <w:tcW w:w="20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47,645</w:t>
            </w:r>
          </w:p>
        </w:tc>
        <w:tc>
          <w:tcPr>
            <w:tcW w:w="120" w:type="dxa"/>
            <w:vAlign w:val="bottom"/>
          </w:tcPr>
          <w:p>
            <w:pPr>
              <w:spacing w:after="0"/>
              <w:rPr>
                <w:sz w:val="24"/>
                <w:szCs w:val="24"/>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$ 1,861,417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Comprehensive income</w:t>
            </w:r>
          </w:p>
        </w:tc>
        <w:tc>
          <w:tcPr>
            <w:tcW w:w="64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68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78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56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35,099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35,099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17,711</w:t>
            </w:r>
          </w:p>
        </w:tc>
        <w:tc>
          <w:tcPr>
            <w:tcW w:w="12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52,810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5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Foreign currency translation (loss),</w:t>
            </w: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net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3,721</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3,721</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3,721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60" w:type="dxa"/>
            <w:vAlign w:val="bottom"/>
          </w:tcPr>
          <w:p>
            <w:pPr>
              <w:ind w:left="240"/>
              <w:spacing w:after="0"/>
              <w:rPr>
                <w:sz w:val="20"/>
                <w:szCs w:val="20"/>
                <w:color w:val="auto"/>
              </w:rPr>
            </w:pPr>
            <w:r>
              <w:rPr>
                <w:rFonts w:ascii="Arial" w:cs="Arial" w:eastAsia="Arial" w:hAnsi="Arial"/>
                <w:sz w:val="14"/>
                <w:szCs w:val="14"/>
                <w:color w:val="auto"/>
              </w:rPr>
              <w:t>Pension adjustments, net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Adoption of ASU 2020-06</w:t>
            </w:r>
          </w:p>
        </w:tc>
        <w:tc>
          <w:tcPr>
            <w:tcW w:w="6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(40,002)</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2,782</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(37,220)</w:t>
            </w:r>
          </w:p>
        </w:tc>
        <w:tc>
          <w:tcPr>
            <w:tcW w:w="1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(37,220)</w:t>
            </w:r>
          </w:p>
        </w:tc>
        <w:tc>
          <w:tcPr>
            <w:tcW w:w="0" w:type="dxa"/>
            <w:vAlign w:val="bottom"/>
          </w:tcPr>
          <w:p>
            <w:pPr>
              <w:spacing w:after="0"/>
              <w:rPr>
                <w:sz w:val="1"/>
                <w:szCs w:val="1"/>
                <w:color w:val="auto"/>
              </w:rPr>
            </w:pPr>
          </w:p>
        </w:tc>
      </w:tr>
      <w:tr>
        <w:trPr>
          <w:trHeight w:val="195"/>
        </w:trPr>
        <w:tc>
          <w:tcPr>
            <w:tcW w:w="2560" w:type="dxa"/>
            <w:vAlign w:val="bottom"/>
          </w:tcPr>
          <w:p>
            <w:pPr>
              <w:spacing w:after="0"/>
              <w:rPr>
                <w:sz w:val="20"/>
                <w:szCs w:val="20"/>
                <w:color w:val="auto"/>
              </w:rPr>
            </w:pPr>
            <w:r>
              <w:rPr>
                <w:rFonts w:ascii="Arial" w:cs="Arial" w:eastAsia="Arial" w:hAnsi="Arial"/>
                <w:sz w:val="14"/>
                <w:szCs w:val="14"/>
                <w:color w:val="auto"/>
              </w:rPr>
              <w:t>Contributions</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1,688</w:t>
            </w:r>
          </w:p>
        </w:tc>
        <w:tc>
          <w:tcPr>
            <w:tcW w:w="12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1,688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56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(37,246)</w:t>
            </w: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(37,246)</w:t>
            </w:r>
          </w:p>
        </w:tc>
        <w:tc>
          <w:tcPr>
            <w:tcW w:w="0" w:type="dxa"/>
            <w:vAlign w:val="bottom"/>
          </w:tcPr>
          <w:p>
            <w:pPr>
              <w:spacing w:after="0"/>
              <w:rPr>
                <w:sz w:val="1"/>
                <w:szCs w:val="1"/>
                <w:color w:val="auto"/>
              </w:rPr>
            </w:pPr>
          </w:p>
        </w:tc>
      </w:tr>
      <w:tr>
        <w:trPr>
          <w:trHeight w:val="166"/>
        </w:trPr>
        <w:tc>
          <w:tcPr>
            <w:tcW w:w="2560" w:type="dxa"/>
            <w:vAlign w:val="bottom"/>
          </w:tcPr>
          <w:p>
            <w:pPr>
              <w:spacing w:after="0"/>
              <w:rPr>
                <w:sz w:val="20"/>
                <w:szCs w:val="20"/>
                <w:color w:val="auto"/>
              </w:rPr>
            </w:pPr>
            <w:r>
              <w:rPr>
                <w:rFonts w:ascii="Arial" w:cs="Arial" w:eastAsia="Arial" w:hAnsi="Arial"/>
                <w:sz w:val="14"/>
                <w:szCs w:val="14"/>
                <w:color w:val="auto"/>
              </w:rPr>
              <w:t>Issuance of equity securities, net of</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60" w:type="dxa"/>
            <w:vAlign w:val="bottom"/>
          </w:tcPr>
          <w:p>
            <w:pPr>
              <w:spacing w:after="0"/>
              <w:rPr>
                <w:sz w:val="20"/>
                <w:szCs w:val="20"/>
                <w:color w:val="auto"/>
              </w:rPr>
            </w:pPr>
            <w:r>
              <w:rPr>
                <w:rFonts w:ascii="Arial" w:cs="Arial" w:eastAsia="Arial" w:hAnsi="Arial"/>
                <w:sz w:val="14"/>
                <w:szCs w:val="14"/>
                <w:color w:val="auto"/>
              </w:rPr>
              <w:t>retirement</w:t>
            </w:r>
          </w:p>
        </w:tc>
        <w:tc>
          <w:tcPr>
            <w:tcW w:w="640" w:type="dxa"/>
            <w:vAlign w:val="bottom"/>
          </w:tcPr>
          <w:p>
            <w:pPr>
              <w:jc w:val="right"/>
              <w:spacing w:after="0"/>
              <w:rPr>
                <w:sz w:val="20"/>
                <w:szCs w:val="20"/>
                <w:color w:val="auto"/>
              </w:rPr>
            </w:pPr>
            <w:r>
              <w:rPr>
                <w:rFonts w:ascii="Arial" w:cs="Arial" w:eastAsia="Arial" w:hAnsi="Arial"/>
                <w:sz w:val="14"/>
                <w:szCs w:val="14"/>
                <w:color w:val="auto"/>
              </w:rPr>
              <w:t>143</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1,681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1,851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1,851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60" w:type="dxa"/>
            <w:vAlign w:val="bottom"/>
            <w:shd w:val="clear" w:color="auto" w:fill="CFF0FC"/>
          </w:tcPr>
          <w:p>
            <w:pPr>
              <w:spacing w:after="0"/>
              <w:rPr>
                <w:sz w:val="20"/>
                <w:szCs w:val="20"/>
                <w:color w:val="auto"/>
              </w:rPr>
            </w:pPr>
            <w:r>
              <w:rPr>
                <w:rFonts w:ascii="Arial" w:cs="Arial" w:eastAsia="Arial" w:hAnsi="Arial"/>
                <w:sz w:val="14"/>
                <w:szCs w:val="14"/>
                <w:color w:val="auto"/>
              </w:rPr>
              <w:t>Repurchases of common stock</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(245)</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(8,456)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(8,701)</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(8,701)</w:t>
            </w:r>
          </w:p>
        </w:tc>
        <w:tc>
          <w:tcPr>
            <w:tcW w:w="0" w:type="dxa"/>
            <w:vAlign w:val="bottom"/>
          </w:tcPr>
          <w:p>
            <w:pPr>
              <w:spacing w:after="0"/>
              <w:rPr>
                <w:sz w:val="1"/>
                <w:szCs w:val="1"/>
                <w:color w:val="auto"/>
              </w:rPr>
            </w:pPr>
          </w:p>
        </w:tc>
      </w:tr>
      <w:tr>
        <w:trPr>
          <w:trHeight w:val="176"/>
        </w:trPr>
        <w:tc>
          <w:tcPr>
            <w:tcW w:w="25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15,544</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15,544</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15,544</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5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September 30, 2021</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6"/>
              </w:rPr>
              <w:t>$ 146,507</w:t>
            </w:r>
          </w:p>
        </w:tc>
        <w:tc>
          <w:tcPr>
            <w:tcW w:w="200" w:type="dxa"/>
            <w:vAlign w:val="bottom"/>
            <w:shd w:val="clear" w:color="auto" w:fill="CFF0FC"/>
          </w:tcPr>
          <w:p>
            <w:pPr>
              <w:spacing w:after="0"/>
              <w:rPr>
                <w:sz w:val="16"/>
                <w:szCs w:val="16"/>
                <w:color w:val="auto"/>
              </w:rPr>
            </w:pPr>
          </w:p>
        </w:tc>
        <w:tc>
          <w:tcPr>
            <w:tcW w:w="8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 (899,328)</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$ 2,669,692</w:t>
            </w:r>
          </w:p>
        </w:tc>
        <w:tc>
          <w:tcPr>
            <w:tcW w:w="120" w:type="dxa"/>
            <w:vAlign w:val="bottom"/>
            <w:shd w:val="clear" w:color="auto" w:fill="CFF0FC"/>
          </w:tcPr>
          <w:p>
            <w:pPr>
              <w:spacing w:after="0"/>
              <w:rPr>
                <w:sz w:val="16"/>
                <w:szCs w:val="16"/>
                <w:color w:val="auto"/>
              </w:rPr>
            </w:pPr>
          </w:p>
        </w:tc>
        <w:tc>
          <w:tcPr>
            <w:tcW w:w="180" w:type="dxa"/>
            <w:vAlign w:val="bottom"/>
            <w:gridSpan w:val="2"/>
            <w:vMerge w:val="restart"/>
            <w:shd w:val="clear" w:color="auto" w:fill="CFF0FC"/>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(82,661)</w:t>
            </w: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(10,132)</w:t>
            </w:r>
          </w:p>
        </w:tc>
        <w:tc>
          <w:tcPr>
            <w:tcW w:w="84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$ 1,824,078</w:t>
            </w:r>
          </w:p>
        </w:tc>
        <w:tc>
          <w:tcPr>
            <w:tcW w:w="200" w:type="dxa"/>
            <w:vAlign w:val="bottom"/>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29,798</w:t>
            </w:r>
          </w:p>
        </w:tc>
        <w:tc>
          <w:tcPr>
            <w:tcW w:w="120" w:type="dxa"/>
            <w:vAlign w:val="bottom"/>
            <w:shd w:val="clear" w:color="auto" w:fill="CFF0FC"/>
          </w:tcPr>
          <w:p>
            <w:pPr>
              <w:spacing w:after="0"/>
              <w:rPr>
                <w:sz w:val="16"/>
                <w:szCs w:val="16"/>
                <w:color w:val="auto"/>
              </w:rPr>
            </w:pPr>
          </w:p>
        </w:tc>
        <w:tc>
          <w:tcPr>
            <w:tcW w:w="84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$ 1,853,876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560" w:type="dxa"/>
            <w:vAlign w:val="bottom"/>
            <w:shd w:val="clear" w:color="auto" w:fill="CFF0FC"/>
          </w:tcPr>
          <w:p>
            <w:pPr>
              <w:spacing w:after="0"/>
              <w:rPr>
                <w:sz w:val="2"/>
                <w:szCs w:val="2"/>
                <w:color w:val="auto"/>
              </w:rPr>
            </w:pPr>
          </w:p>
        </w:tc>
        <w:tc>
          <w:tcPr>
            <w:tcW w:w="64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80" w:type="dxa"/>
            <w:vAlign w:val="bottom"/>
            <w:gridSpan w:val="2"/>
            <w:vMerge w:val="continue"/>
            <w:shd w:val="clear" w:color="auto" w:fill="CFF0FC"/>
          </w:tcPr>
          <w:p>
            <w:pPr>
              <w:spacing w:after="0"/>
              <w:rPr>
                <w:sz w:val="2"/>
                <w:szCs w:val="2"/>
                <w:color w:val="auto"/>
              </w:rPr>
            </w:pPr>
          </w:p>
        </w:tc>
        <w:tc>
          <w:tcPr>
            <w:tcW w:w="760" w:type="dxa"/>
            <w:vAlign w:val="bottom"/>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80" w:type="dxa"/>
            <w:vAlign w:val="bottom"/>
            <w:gridSpan w:val="2"/>
            <w:vMerge w:val="continue"/>
            <w:shd w:val="clear" w:color="auto" w:fill="CFF0FC"/>
          </w:tcPr>
          <w:p>
            <w:pPr>
              <w:spacing w:after="0"/>
              <w:rPr>
                <w:sz w:val="2"/>
                <w:szCs w:val="2"/>
                <w:color w:val="auto"/>
              </w:rPr>
            </w:pPr>
          </w:p>
        </w:tc>
        <w:tc>
          <w:tcPr>
            <w:tcW w:w="740" w:type="dxa"/>
            <w:vAlign w:val="bottom"/>
            <w:gridSpan w:val="2"/>
            <w:vMerge w:val="continue"/>
            <w:shd w:val="clear" w:color="auto" w:fill="CFF0FC"/>
          </w:tcPr>
          <w:p>
            <w:pPr>
              <w:spacing w:after="0"/>
              <w:rPr>
                <w:sz w:val="2"/>
                <w:szCs w:val="2"/>
                <w:color w:val="auto"/>
              </w:rPr>
            </w:pPr>
          </w:p>
        </w:tc>
        <w:tc>
          <w:tcPr>
            <w:tcW w:w="180" w:type="dxa"/>
            <w:vAlign w:val="bottom"/>
            <w:gridSpan w:val="2"/>
            <w:vMerge w:val="continue"/>
            <w:shd w:val="clear" w:color="auto" w:fill="CFF0FC"/>
          </w:tcPr>
          <w:p>
            <w:pPr>
              <w:spacing w:after="0"/>
              <w:rPr>
                <w:sz w:val="2"/>
                <w:szCs w:val="2"/>
                <w:color w:val="auto"/>
              </w:rPr>
            </w:pPr>
          </w:p>
        </w:tc>
        <w:tc>
          <w:tcPr>
            <w:tcW w:w="900" w:type="dxa"/>
            <w:vAlign w:val="bottom"/>
            <w:gridSpan w:val="2"/>
            <w:vMerge w:val="continue"/>
            <w:shd w:val="clear" w:color="auto" w:fill="CFF0FC"/>
          </w:tcPr>
          <w:p>
            <w:pPr>
              <w:spacing w:after="0"/>
              <w:rPr>
                <w:sz w:val="2"/>
                <w:szCs w:val="2"/>
                <w:color w:val="auto"/>
              </w:rPr>
            </w:pPr>
          </w:p>
        </w:tc>
        <w:tc>
          <w:tcPr>
            <w:tcW w:w="840" w:type="dxa"/>
            <w:vAlign w:val="bottom"/>
            <w:gridSpan w:val="2"/>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vMerge w:val="continue"/>
            <w:shd w:val="clear" w:color="auto" w:fill="CFF0FC"/>
          </w:tcPr>
          <w:p>
            <w:pPr>
              <w:spacing w:after="0"/>
              <w:rPr>
                <w:sz w:val="2"/>
                <w:szCs w:val="2"/>
                <w:color w:val="auto"/>
              </w:rPr>
            </w:pPr>
          </w:p>
        </w:tc>
        <w:tc>
          <w:tcPr>
            <w:tcW w:w="700" w:type="dxa"/>
            <w:vAlign w:val="bottom"/>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40" w:type="dxa"/>
            <w:vAlign w:val="bottom"/>
            <w:gridSpan w:val="2"/>
            <w:vMerge w:val="continue"/>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553" w:right="8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37" w:lineRule="exact"/>
        <w:rPr>
          <w:sz w:val="20"/>
          <w:szCs w:val="20"/>
          <w:color w:val="auto"/>
        </w:rPr>
      </w:pPr>
    </w:p>
    <w:p>
      <w:pPr>
        <w:ind w:left="640" w:right="8380" w:hanging="632"/>
        <w:spacing w:after="0" w:line="547" w:lineRule="auto"/>
        <w:tabs>
          <w:tab w:leader="none" w:pos="63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spacing w:after="0" w:line="1" w:lineRule="exact"/>
        <w:rPr>
          <w:sz w:val="20"/>
          <w:szCs w:val="20"/>
          <w:color w:val="auto"/>
        </w:rPr>
      </w:pPr>
    </w:p>
    <w:p>
      <w:pPr>
        <w:ind w:right="160" w:firstLine="637"/>
        <w:spacing w:after="0" w:line="248" w:lineRule="auto"/>
        <w:rPr>
          <w:sz w:val="20"/>
          <w:szCs w:val="20"/>
          <w:color w:val="auto"/>
        </w:rPr>
      </w:pPr>
      <w:r>
        <w:rPr>
          <w:rFonts w:ascii="Arial" w:cs="Arial" w:eastAsia="Arial" w:hAnsi="Arial"/>
          <w:sz w:val="18"/>
          <w:szCs w:val="18"/>
          <w:color w:val="auto"/>
        </w:rPr>
        <w:t>Parsons Corporation, a Delaware corporation, and its subsidiaries (collectively, the “Company”) provide sophisticated design, engineering and technical services, and smart and agile software to the United States federal government and Critical Infrastructure customers worldwide. The Company performs work in various foreign countries through local subsidiaries, joint ventures and foreign offices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maintained to carry out specific projects.</w:t>
      </w:r>
    </w:p>
    <w:p>
      <w:pPr>
        <w:spacing w:after="0" w:line="216"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212" w:lineRule="exact"/>
        <w:rPr>
          <w:sz w:val="20"/>
          <w:szCs w:val="20"/>
          <w:color w:val="auto"/>
        </w:rPr>
      </w:pPr>
    </w:p>
    <w:p>
      <w:pPr>
        <w:ind w:right="400" w:firstLine="637"/>
        <w:spacing w:after="0" w:line="244" w:lineRule="auto"/>
        <w:rPr>
          <w:sz w:val="20"/>
          <w:szCs w:val="20"/>
          <w:color w:val="auto"/>
        </w:rPr>
      </w:pPr>
      <w:r>
        <w:rPr>
          <w:rFonts w:ascii="Arial" w:cs="Arial" w:eastAsia="Arial" w:hAnsi="Arial"/>
          <w:sz w:val="18"/>
          <w:szCs w:val="18"/>
          <w:color w:val="auto"/>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Annual Report on Form 10-K for the year ended December 31, 2021.</w:t>
      </w:r>
    </w:p>
    <w:p>
      <w:pPr>
        <w:spacing w:after="0" w:line="176" w:lineRule="exact"/>
        <w:rPr>
          <w:sz w:val="20"/>
          <w:szCs w:val="20"/>
          <w:color w:val="auto"/>
        </w:rPr>
      </w:pPr>
    </w:p>
    <w:p>
      <w:pPr>
        <w:ind w:right="60" w:firstLine="637"/>
        <w:spacing w:after="0" w:line="253" w:lineRule="auto"/>
        <w:rPr>
          <w:sz w:val="20"/>
          <w:szCs w:val="20"/>
          <w:color w:val="auto"/>
        </w:rPr>
      </w:pPr>
      <w:r>
        <w:rPr>
          <w:rFonts w:ascii="Arial" w:cs="Arial" w:eastAsia="Arial" w:hAnsi="Arial"/>
          <w:sz w:val="18"/>
          <w:szCs w:val="18"/>
          <w:color w:val="auto"/>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p>
    <w:p>
      <w:pPr>
        <w:spacing w:after="0" w:line="169" w:lineRule="exact"/>
        <w:rPr>
          <w:sz w:val="20"/>
          <w:szCs w:val="20"/>
          <w:color w:val="auto"/>
        </w:rPr>
      </w:pPr>
    </w:p>
    <w:p>
      <w:pPr>
        <w:ind w:right="40" w:firstLine="637"/>
        <w:spacing w:after="0" w:line="244" w:lineRule="auto"/>
        <w:rPr>
          <w:sz w:val="20"/>
          <w:szCs w:val="20"/>
          <w:color w:val="auto"/>
        </w:rPr>
      </w:pPr>
      <w:r>
        <w:rPr>
          <w:rFonts w:ascii="Arial" w:cs="Arial" w:eastAsia="Arial" w:hAnsi="Arial"/>
          <w:sz w:val="18"/>
          <w:szCs w:val="18"/>
          <w:color w:val="auto"/>
        </w:rPr>
        <w:t>This Quarterly Report on Form 10-Q includes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a significant influence, the Company applies the equity method of accounting (see “Note 14 – Investments in and Advances to Joint Ventures" for further discussion). Intercompany accounts and transactions are eliminated in consolidation.</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ind w:firstLine="637"/>
        <w:spacing w:after="0" w:line="239"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valuation of deferred income tax assets and uncertain tax positions, among others. Please see “Management’s Discussion and Analysis of Financial Condition and Results of Operations—Critical Accounting Policies and Estimates” and “Note 2—Summary of Significant Accounting Polices” in the notes to our consolidated financial statements included in the Company’s Form 10-K for the year ended December 31, 2021, for a discussion of the significant estimates and assumptions affecting our consolidated financial statements. Estimates of costs to complete contracts are continually evaluated as work progresses and are revised when necessary. When a change in estimate is determined to have an impact on</w:t>
      </w:r>
    </w:p>
    <w:p>
      <w:pPr>
        <w:spacing w:after="0"/>
        <w:rPr>
          <w:sz w:val="20"/>
          <w:szCs w:val="20"/>
          <w:color w:val="auto"/>
        </w:rPr>
      </w:pPr>
      <w:r>
        <w:rPr>
          <w:rFonts w:ascii="Arial" w:cs="Arial" w:eastAsia="Arial" w:hAnsi="Arial"/>
          <w:sz w:val="18"/>
          <w:szCs w:val="18"/>
          <w:color w:val="auto"/>
        </w:rPr>
        <w:t>contract profit, the Company records a positive or negative adjustment to the consolidated statement of income.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Stock Repurchase Plan</w:t>
      </w:r>
    </w:p>
    <w:p>
      <w:pPr>
        <w:spacing w:after="0" w:line="104" w:lineRule="exact"/>
        <w:rPr>
          <w:sz w:val="20"/>
          <w:szCs w:val="20"/>
          <w:color w:val="auto"/>
        </w:rPr>
      </w:pPr>
    </w:p>
    <w:p>
      <w:pPr>
        <w:ind w:firstLine="637"/>
        <w:spacing w:after="0" w:line="247" w:lineRule="auto"/>
        <w:rPr>
          <w:sz w:val="20"/>
          <w:szCs w:val="20"/>
          <w:color w:val="auto"/>
        </w:rPr>
      </w:pPr>
      <w:r>
        <w:rPr>
          <w:rFonts w:ascii="Arial" w:cs="Arial" w:eastAsia="Arial" w:hAnsi="Arial"/>
          <w:sz w:val="18"/>
          <w:szCs w:val="18"/>
          <w:color w:val="auto"/>
        </w:rPr>
        <w:t>During the third quarter of 2021, the Company’s Board of Directors authorized the Company to acquire a number of shares of Common Stock having an aggregate market value of not greater than $100,000,000 from time to time. Repurchased shares of common stock are retired and included in “Repurchases of common stock” in cash flows from financing activities in the Consolidated Statements of Cash Flows.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12" w:lineRule="exact"/>
        <w:rPr>
          <w:sz w:val="20"/>
          <w:szCs w:val="20"/>
          <w:color w:val="auto"/>
        </w:rPr>
      </w:pPr>
    </w:p>
    <w:p>
      <w:pPr>
        <w:ind w:firstLine="510"/>
        <w:spacing w:after="0" w:line="242" w:lineRule="auto"/>
        <w:rPr>
          <w:sz w:val="20"/>
          <w:szCs w:val="20"/>
          <w:color w:val="auto"/>
        </w:rPr>
      </w:pPr>
      <w:r>
        <w:rPr>
          <w:rFonts w:ascii="Arial" w:cs="Arial" w:eastAsia="Arial" w:hAnsi="Arial"/>
          <w:sz w:val="18"/>
          <w:szCs w:val="18"/>
          <w:color w:val="202124"/>
        </w:rPr>
        <w:t>In the first quarter of 2022, the Company early adopted ASU No. 2021-08, “Business Combinations (Topic 805): Accounting for Contract Assets and Contract Liabilities from Contracts with Customers”. The new guidance requires that the approach of ASC 606, Revenue from Contracts with Customers, should be used to measure an acquired revenue contract in a business combination. This guidance is to be applied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The early adoption of ASU 2021-08 did not have a material impact on the consolidated financial statements.</w:t>
      </w:r>
    </w:p>
    <w:p>
      <w:pPr>
        <w:spacing w:after="0" w:line="179" w:lineRule="exact"/>
        <w:rPr>
          <w:sz w:val="20"/>
          <w:szCs w:val="20"/>
          <w:color w:val="auto"/>
        </w:rPr>
      </w:pPr>
    </w:p>
    <w:p>
      <w:pPr>
        <w:ind w:right="40" w:firstLine="510"/>
        <w:spacing w:after="0" w:line="239" w:lineRule="auto"/>
        <w:rPr>
          <w:sz w:val="20"/>
          <w:szCs w:val="20"/>
          <w:color w:val="auto"/>
        </w:rPr>
      </w:pPr>
      <w:r>
        <w:rPr>
          <w:rFonts w:ascii="Arial" w:cs="Arial" w:eastAsia="Arial" w:hAnsi="Arial"/>
          <w:sz w:val="18"/>
          <w:szCs w:val="18"/>
          <w:color w:val="auto"/>
        </w:rPr>
        <w:t>In the first quarter of 2021, the Company early adopted Accounting Standards Update (“ASU”) ASU 2020-06, Debt – Debt with Conversion and Other Options (Subtopic 470-20) and Derivatives and Hedging – Contracts in Entity’s Own Equity (Subtopic 815-40) (“ASU 2020-06)”. The update simplifies the accounting for convertible debt instruments and convertible preferred stock by reducing the number of accounting models and limiting the number of embedded conversion features separately recognized from the primary contract. The guidance also includes targeted improvements to the disclosures for convertible instruments and earnings per share. ASU 2020-06 is effective for fiscal years beginning after December 15, 2021, including interim periods within those fiscal years. Early adoption is permitted, but no earlier than fiscal years beginning after December 15, 2020. The Company adopted ASU 2020-06 in the first quarter of 2021 using the modified retrospective method which resulted in a reduction in non-cash interest expense and reclassification of the equity portion of the Convertible Senior Notes to “Long-term debt” on the consolidated balance sheet.</w:t>
      </w:r>
    </w:p>
    <w:p>
      <w:pPr>
        <w:spacing w:after="0" w:line="183" w:lineRule="exact"/>
        <w:rPr>
          <w:sz w:val="20"/>
          <w:szCs w:val="20"/>
          <w:color w:val="auto"/>
        </w:rPr>
      </w:pPr>
    </w:p>
    <w:p>
      <w:pPr>
        <w:ind w:right="20" w:firstLine="510"/>
        <w:spacing w:after="0" w:line="242" w:lineRule="auto"/>
        <w:rPr>
          <w:sz w:val="20"/>
          <w:szCs w:val="20"/>
          <w:color w:val="auto"/>
        </w:rPr>
      </w:pPr>
      <w:r>
        <w:rPr>
          <w:rFonts w:ascii="Arial" w:cs="Arial" w:eastAsia="Arial" w:hAnsi="Arial"/>
          <w:sz w:val="18"/>
          <w:szCs w:val="18"/>
          <w:color w:val="auto"/>
        </w:rPr>
        <w:t>In the first quarter of 2021, the Company adopted ASU No. 2019-12, “Income Taxes (Topic 740): Simplifying the Accounting for Income Taxes (“ASU 2019-12”)”. ASU 2019-12 was issued as a means to reduce the complexity of accounting for income taxes. The guidance is to be applied using a prospective method, excluding amendments related to franchise taxes, which should be applied on either a retrospective basis for all periods presented or a modified retrospective basis through a cumulative-effect adjustment to retained earnings as of the beginning of the fiscal year of adoption. The adoption of ASU 2019-12 did not have a material impact on the consolidated financial statements.</w:t>
      </w:r>
    </w:p>
    <w:p>
      <w:pPr>
        <w:spacing w:after="0" w:line="192"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Xator Corporation</w:t>
      </w:r>
    </w:p>
    <w:p>
      <w:pPr>
        <w:spacing w:after="0" w:line="212" w:lineRule="exact"/>
        <w:rPr>
          <w:sz w:val="20"/>
          <w:szCs w:val="20"/>
          <w:color w:val="auto"/>
        </w:rPr>
      </w:pPr>
    </w:p>
    <w:p>
      <w:pPr>
        <w:ind w:right="280" w:firstLine="510"/>
        <w:spacing w:after="0" w:line="244" w:lineRule="auto"/>
        <w:rPr>
          <w:sz w:val="20"/>
          <w:szCs w:val="20"/>
          <w:color w:val="auto"/>
        </w:rPr>
      </w:pPr>
      <w:r>
        <w:rPr>
          <w:rFonts w:ascii="Arial" w:cs="Arial" w:eastAsia="Arial" w:hAnsi="Arial"/>
          <w:sz w:val="18"/>
          <w:szCs w:val="18"/>
          <w:color w:val="auto"/>
        </w:rPr>
        <w:t>On May 31, 2022, the Company acquired a 100% ownership interest in Xator Corporation (“Xator”), a privately-owned company, for $388.3 million in cash. The Company borrowed $300 million under the Credit Agreement, as described in “Note 10 – Debt and Credit Facilities”, to partially fund the acquisition. Xator expands Parsons’ customer base and brings differentiated technical capabilities in critical infrastructure protection, counter-unmanned aircraft systems (cUAS), intelligence and cyber solutions, biometrics, and global threat assessment and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 w:name="page11"/>
    <w:bookmarkEnd w:id="10"/>
    <w:p>
      <w:pPr>
        <w:ind w:right="340" w:firstLine="510"/>
        <w:spacing w:after="0" w:line="271"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preliminary purchase price allocation as of the date of acquisition (in thousands):</w:t>
      </w:r>
    </w:p>
    <w:p>
      <w:pPr>
        <w:spacing w:after="0" w:line="1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8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28,199</w:t>
            </w: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4,591</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Right of use assets, operating leases</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252,994</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Investments in and advances to unconsolidated joint ventures</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123,500</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9,156</w:t>
            </w: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(6,626)</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(31,119)</w:t>
            </w:r>
          </w:p>
        </w:tc>
      </w:tr>
      <w:tr>
        <w:trPr>
          <w:trHeight w:val="216"/>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(2,080)</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Short-term lease liabilities, operating leases</w:t>
            </w: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(2,371)</w:t>
            </w:r>
          </w:p>
        </w:tc>
      </w:tr>
      <w:tr>
        <w:trPr>
          <w:trHeight w:val="216"/>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Long-term lease liabilities, operating leases</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(5,146)</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(9,156)</w:t>
            </w:r>
          </w:p>
        </w:tc>
      </w:tr>
      <w:tr>
        <w:trPr>
          <w:trHeight w:val="210"/>
        </w:trPr>
        <w:tc>
          <w:tcPr>
            <w:tcW w:w="82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assets acquired</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384,406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Gross</w:t>
            </w:r>
          </w:p>
        </w:tc>
        <w:tc>
          <w:tcPr>
            <w:tcW w:w="156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Carrying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04"/>
        </w:trPr>
        <w:tc>
          <w:tcPr>
            <w:tcW w:w="44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(in years)</w:t>
            </w:r>
          </w:p>
        </w:tc>
      </w:tr>
      <w:tr>
        <w:trPr>
          <w:trHeight w:val="221"/>
        </w:trPr>
        <w:tc>
          <w:tcPr>
            <w:tcW w:w="44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37,000</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Backlog</w:t>
            </w:r>
          </w:p>
        </w:tc>
        <w:tc>
          <w:tcPr>
            <w:tcW w:w="2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81,000</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Trade Name</w:t>
            </w: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technologies</w:t>
            </w:r>
          </w:p>
        </w:tc>
        <w:tc>
          <w:tcPr>
            <w:tcW w:w="2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9"/>
        </w:trPr>
        <w:tc>
          <w:tcPr>
            <w:tcW w:w="4460" w:type="dxa"/>
            <w:vAlign w:val="bottom"/>
          </w:tcPr>
          <w:p>
            <w:pPr>
              <w:spacing w:after="0"/>
              <w:rPr>
                <w:sz w:val="20"/>
                <w:szCs w:val="20"/>
                <w:color w:val="auto"/>
              </w:rPr>
            </w:pPr>
            <w:r>
              <w:rPr>
                <w:rFonts w:ascii="Arial" w:cs="Arial" w:eastAsia="Arial" w:hAnsi="Arial"/>
                <w:sz w:val="18"/>
                <w:szCs w:val="18"/>
                <w:color w:val="auto"/>
              </w:rPr>
              <w:t>Non-compete agreements</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74" w:lineRule="exact"/>
        <w:rPr>
          <w:sz w:val="20"/>
          <w:szCs w:val="20"/>
          <w:color w:val="auto"/>
        </w:rPr>
      </w:pPr>
    </w:p>
    <w:p>
      <w:pPr>
        <w:jc w:val="both"/>
        <w:ind w:right="100" w:firstLine="510"/>
        <w:spacing w:after="0" w:line="292" w:lineRule="auto"/>
        <w:rPr>
          <w:sz w:val="20"/>
          <w:szCs w:val="20"/>
          <w:color w:val="auto"/>
        </w:rPr>
      </w:pPr>
      <w:r>
        <w:rPr>
          <w:rFonts w:ascii="Arial" w:cs="Arial" w:eastAsia="Arial" w:hAnsi="Arial"/>
          <w:sz w:val="18"/>
          <w:szCs w:val="18"/>
          <w:color w:val="auto"/>
        </w:rPr>
        <w:t>Amortization expense of $4.9 million and $6.6 million related to these intangible assets was recorded for the three and nine months ended September 30, 2022, respectively. The entire value of goodwill was assigned to the Federal Solutions reporting unit and represents synergies expected to be realized from this business combination. Goodwill in its entirety is deductible for tax purposes.</w:t>
      </w:r>
    </w:p>
    <w:p>
      <w:pPr>
        <w:spacing w:after="0" w:line="149" w:lineRule="exact"/>
        <w:rPr>
          <w:sz w:val="20"/>
          <w:szCs w:val="20"/>
          <w:color w:val="auto"/>
        </w:rPr>
      </w:pPr>
    </w:p>
    <w:p>
      <w:pPr>
        <w:ind w:firstLine="510"/>
        <w:spacing w:after="0" w:line="271" w:lineRule="auto"/>
        <w:rPr>
          <w:sz w:val="20"/>
          <w:szCs w:val="20"/>
          <w:color w:val="auto"/>
        </w:rPr>
      </w:pPr>
      <w:r>
        <w:rPr>
          <w:rFonts w:ascii="Arial" w:cs="Arial" w:eastAsia="Arial" w:hAnsi="Arial"/>
          <w:sz w:val="18"/>
          <w:szCs w:val="18"/>
          <w:color w:val="auto"/>
        </w:rPr>
        <w:t>The amount of revenue generated by Xator and included within consolidated revenues is $70.4 million and $91.2 million for the three and nine months ended September 30, 2022, respectively. The Company has determined that the</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69" w:right="51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presentation of net income from the date of acquisition is impracticable due to the integration of general corporate functions upon acquisition.</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still in the process of finalizing its valuation of the net assets acquired.</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left="520" w:right="220"/>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Xator acquisition had been consummated as of the beginning of fiscal year 2021 (in thousands) is as follows:</w:t>
      </w:r>
    </w:p>
    <w:p>
      <w:pPr>
        <w:spacing w:after="0" w:line="200" w:lineRule="exact"/>
        <w:rPr>
          <w:sz w:val="20"/>
          <w:szCs w:val="20"/>
          <w:color w:val="auto"/>
        </w:rPr>
      </w:pPr>
    </w:p>
    <w:p>
      <w:pPr>
        <w:spacing w:after="0" w:line="27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0"/>
        </w:trPr>
        <w:tc>
          <w:tcPr>
            <w:tcW w:w="4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1140" w:type="dxa"/>
            <w:vAlign w:val="bottom"/>
          </w:tcPr>
          <w:p>
            <w:pPr>
              <w:jc w:val="right"/>
              <w:ind w:right="39"/>
              <w:spacing w:after="0" w:line="160"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26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114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4800" w:type="dxa"/>
            <w:vAlign w:val="bottom"/>
            <w:vMerge w:val="restart"/>
          </w:tcPr>
          <w:p>
            <w:pPr>
              <w:spacing w:after="0"/>
              <w:rPr>
                <w:sz w:val="20"/>
                <w:szCs w:val="20"/>
                <w:color w:val="auto"/>
              </w:rPr>
            </w:pPr>
            <w:r>
              <w:rPr>
                <w:rFonts w:ascii="Arial" w:cs="Arial" w:eastAsia="Arial" w:hAnsi="Arial"/>
                <w:sz w:val="18"/>
                <w:szCs w:val="18"/>
                <w:color w:val="auto"/>
              </w:rPr>
              <w:t>Pro forma Revenue</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1,134,370</w:t>
            </w:r>
          </w:p>
        </w:tc>
        <w:tc>
          <w:tcPr>
            <w:tcW w:w="2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  1,027,430</w:t>
            </w: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3,199,336</w:t>
            </w: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2,920,933</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43,970</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28,878</w:t>
            </w:r>
          </w:p>
        </w:tc>
        <w:tc>
          <w:tcPr>
            <w:tcW w:w="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102,860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49,609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BlackHorse Solutions, Inc.</w:t>
      </w:r>
    </w:p>
    <w:p>
      <w:pPr>
        <w:spacing w:after="0" w:line="212" w:lineRule="exact"/>
        <w:rPr>
          <w:sz w:val="20"/>
          <w:szCs w:val="20"/>
          <w:color w:val="auto"/>
        </w:rPr>
      </w:pPr>
    </w:p>
    <w:p>
      <w:pPr>
        <w:ind w:right="180" w:firstLine="510"/>
        <w:spacing w:after="0" w:line="253" w:lineRule="auto"/>
        <w:rPr>
          <w:sz w:val="20"/>
          <w:szCs w:val="20"/>
          <w:color w:val="auto"/>
        </w:rPr>
      </w:pPr>
      <w:r>
        <w:rPr>
          <w:rFonts w:ascii="Arial" w:cs="Arial" w:eastAsia="Arial" w:hAnsi="Arial"/>
          <w:sz w:val="18"/>
          <w:szCs w:val="18"/>
          <w:color w:val="auto"/>
        </w:rPr>
        <w:t>On July 6, 2021, the Company acquired a 100% ownership interest in BlackHorse Solutions, Inc (“BlackHorse”), a privately-owned company, for $205.0 million in cash. BlackHorse expands Parsons’ capabilities and products in next-generation military, intelligence, and space operations, specifically in cyber electronic warfare and information dominance. The acquisition was entirely funded by cash on-hand.</w:t>
      </w:r>
    </w:p>
    <w:p>
      <w:pPr>
        <w:spacing w:after="0" w:line="169" w:lineRule="exact"/>
        <w:rPr>
          <w:sz w:val="20"/>
          <w:szCs w:val="20"/>
          <w:color w:val="auto"/>
        </w:rPr>
      </w:pPr>
    </w:p>
    <w:p>
      <w:pPr>
        <w:ind w:right="220" w:firstLine="510"/>
        <w:spacing w:after="0" w:line="271"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purchase price allocation as of the date of acquisition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28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80" w:type="dxa"/>
            <w:vAlign w:val="bottom"/>
            <w:vMerge w:val="continue"/>
          </w:tcPr>
          <w:p>
            <w:pPr>
              <w:spacing w:after="0"/>
              <w:rPr>
                <w:sz w:val="18"/>
                <w:szCs w:val="18"/>
                <w:color w:val="auto"/>
              </w:rPr>
            </w:pPr>
          </w:p>
        </w:tc>
        <w:tc>
          <w:tcPr>
            <w:tcW w:w="394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15,428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3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Contract assets</w:t>
            </w:r>
          </w:p>
        </w:tc>
        <w:tc>
          <w:tcPr>
            <w:tcW w:w="3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5,979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3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assets, operating leases</w:t>
            </w:r>
          </w:p>
        </w:tc>
        <w:tc>
          <w:tcPr>
            <w:tcW w:w="3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Goodwill</w:t>
            </w:r>
          </w:p>
        </w:tc>
        <w:tc>
          <w:tcPr>
            <w:tcW w:w="3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143,086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3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Accounts payable</w:t>
            </w:r>
          </w:p>
        </w:tc>
        <w:tc>
          <w:tcPr>
            <w:tcW w:w="3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(2,326)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3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(17,190)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Contract liabilities</w:t>
            </w:r>
          </w:p>
        </w:tc>
        <w:tc>
          <w:tcPr>
            <w:tcW w:w="3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liabilities, operating leases</w:t>
            </w:r>
          </w:p>
        </w:tc>
        <w:tc>
          <w:tcPr>
            <w:tcW w:w="3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Long-term lease liabilities, operating leases</w:t>
            </w:r>
          </w:p>
        </w:tc>
        <w:tc>
          <w:tcPr>
            <w:tcW w:w="3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(5,146)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3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(10,916)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assets acquired</w:t>
            </w:r>
          </w:p>
        </w:tc>
        <w:tc>
          <w:tcPr>
            <w:tcW w:w="394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205,033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940" w:type="dxa"/>
            <w:vAlign w:val="bottom"/>
            <w:vMerge w:val="restart"/>
          </w:tcPr>
          <w:p>
            <w:pPr>
              <w:jc w:val="right"/>
              <w:ind w:right="2990"/>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8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Gross</w:t>
            </w:r>
          </w:p>
        </w:tc>
        <w:tc>
          <w:tcPr>
            <w:tcW w:w="156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Carrying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04"/>
        </w:trPr>
        <w:tc>
          <w:tcPr>
            <w:tcW w:w="44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(in years)</w:t>
            </w:r>
          </w:p>
        </w:tc>
      </w:tr>
      <w:tr>
        <w:trPr>
          <w:trHeight w:val="221"/>
        </w:trPr>
        <w:tc>
          <w:tcPr>
            <w:tcW w:w="44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39,000</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Backlog</w:t>
            </w:r>
          </w:p>
        </w:tc>
        <w:tc>
          <w:tcPr>
            <w:tcW w:w="2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Trade name</w:t>
            </w: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technologies</w:t>
            </w:r>
          </w:p>
        </w:tc>
        <w:tc>
          <w:tcPr>
            <w:tcW w:w="2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9"/>
        </w:trPr>
        <w:tc>
          <w:tcPr>
            <w:tcW w:w="4460" w:type="dxa"/>
            <w:vAlign w:val="bottom"/>
          </w:tcPr>
          <w:p>
            <w:pPr>
              <w:spacing w:after="0"/>
              <w:rPr>
                <w:sz w:val="20"/>
                <w:szCs w:val="20"/>
                <w:color w:val="auto"/>
              </w:rPr>
            </w:pPr>
            <w:r>
              <w:rPr>
                <w:rFonts w:ascii="Arial" w:cs="Arial" w:eastAsia="Arial" w:hAnsi="Arial"/>
                <w:sz w:val="18"/>
                <w:szCs w:val="18"/>
                <w:color w:val="auto"/>
              </w:rPr>
              <w:t>Non-compete agreements</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of $3.5 million and $10.6 million related to these intangible assets was recorded for the three and nine months</w:t>
      </w:r>
    </w:p>
    <w:p>
      <w:pPr>
        <w:spacing w:after="0" w:line="3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ended September 30, 2022, respectively. The entire value of goodwill was assigned to the Federal Solutions reporting unit and represents synergies expected to be realized from this business combination. Goodwill of $10.6 million is deductible for tax purposes.</w:t>
      </w:r>
    </w:p>
    <w:p>
      <w:pPr>
        <w:spacing w:after="0" w:line="139" w:lineRule="exact"/>
        <w:rPr>
          <w:sz w:val="20"/>
          <w:szCs w:val="20"/>
          <w:color w:val="auto"/>
        </w:rPr>
      </w:pPr>
    </w:p>
    <w:p>
      <w:pPr>
        <w:ind w:right="140" w:firstLine="510"/>
        <w:spacing w:after="0" w:line="245" w:lineRule="auto"/>
        <w:rPr>
          <w:sz w:val="20"/>
          <w:szCs w:val="20"/>
          <w:color w:val="auto"/>
        </w:rPr>
      </w:pPr>
      <w:r>
        <w:rPr>
          <w:rFonts w:ascii="Arial" w:cs="Arial" w:eastAsia="Arial" w:hAnsi="Arial"/>
          <w:sz w:val="18"/>
          <w:szCs w:val="18"/>
          <w:color w:val="auto"/>
        </w:rPr>
        <w:t>The amount of revenue generated by BlackHorse and included within consolidated revenues is $22.6 million and $66.3 million for the three and nine months ended September 30, 2022, respectively and $16.7 million for the three and nine months ended September 30,</w:t>
      </w:r>
    </w:p>
    <w:p>
      <w:pPr>
        <w:spacing w:after="0" w:line="266" w:lineRule="auto"/>
        <w:rPr>
          <w:sz w:val="20"/>
          <w:szCs w:val="20"/>
          <w:color w:val="auto"/>
        </w:rPr>
      </w:pPr>
      <w:r>
        <w:rPr>
          <w:rFonts w:ascii="Arial" w:cs="Arial" w:eastAsia="Arial" w:hAnsi="Arial"/>
          <w:sz w:val="18"/>
          <w:szCs w:val="18"/>
          <w:color w:val="auto"/>
        </w:rPr>
        <w:t>2021. The Company has determined that the presentation of net income from the date of acquisition is impracticable due to the integration of general corporate functions upon acquisition.</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04" w:lineRule="exact"/>
        <w:rPr>
          <w:sz w:val="20"/>
          <w:szCs w:val="20"/>
          <w:color w:val="auto"/>
        </w:rPr>
      </w:pPr>
    </w:p>
    <w:p>
      <w:pPr>
        <w:ind w:right="40" w:firstLine="510"/>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BlackHorse acquisition had been consummated as of the beginning of fiscal year 2020 (in thousands) is as follows:</w:t>
      </w:r>
    </w:p>
    <w:p>
      <w:pPr>
        <w:spacing w:after="0" w:line="1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114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4800" w:type="dxa"/>
            <w:vAlign w:val="bottom"/>
            <w:vMerge w:val="restart"/>
          </w:tcPr>
          <w:p>
            <w:pPr>
              <w:spacing w:after="0"/>
              <w:rPr>
                <w:sz w:val="20"/>
                <w:szCs w:val="20"/>
                <w:color w:val="auto"/>
              </w:rPr>
            </w:pPr>
            <w:r>
              <w:rPr>
                <w:rFonts w:ascii="Arial" w:cs="Arial" w:eastAsia="Arial" w:hAnsi="Arial"/>
                <w:sz w:val="18"/>
                <w:szCs w:val="18"/>
                <w:color w:val="auto"/>
              </w:rPr>
              <w:t>Pro forma Revenue</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1,134,370</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957,498</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3,092,160</w:t>
            </w: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2,748,559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44,766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95,299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Echo Ridge LLC</w:t>
      </w:r>
    </w:p>
    <w:p>
      <w:pPr>
        <w:spacing w:after="0" w:line="212" w:lineRule="exact"/>
        <w:rPr>
          <w:sz w:val="20"/>
          <w:szCs w:val="20"/>
          <w:color w:val="auto"/>
        </w:rPr>
      </w:pPr>
    </w:p>
    <w:p>
      <w:pPr>
        <w:ind w:right="60" w:firstLine="510"/>
        <w:spacing w:after="0" w:line="242" w:lineRule="auto"/>
        <w:rPr>
          <w:sz w:val="20"/>
          <w:szCs w:val="20"/>
          <w:color w:val="auto"/>
        </w:rPr>
      </w:pPr>
      <w:r>
        <w:rPr>
          <w:rFonts w:ascii="Arial" w:cs="Arial" w:eastAsia="Arial" w:hAnsi="Arial"/>
          <w:sz w:val="18"/>
          <w:szCs w:val="18"/>
          <w:color w:val="auto"/>
        </w:rPr>
        <w:t>On July 30, 2021, the Company acquired a 100% ownership interest in Echo Ridge LLC (“Echo Ridge”), a privately-owned company, for $9.0 million in cash. Echo Ridge adds position, navigation, and timing devices; modeling, simulation, test, and measurement tools; and deployable software defined radio products and signal processing services to Parsons’ space portfolio. The acquisition was entirely funded by cash on-hand. The Company allocated the purchase price to the appropriate classes of tangible assets and liabilities and assigned the excess of $7.2 million to goodwill. The entire value of goodwill was assigned to the Federal Solutions reporting unit and represents synergies expected to be realized from this business combination. Goodwill in its entirety is deductible for tax purposes.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ind w:left="640" w:right="8260" w:hanging="632"/>
        <w:spacing w:after="0" w:line="360" w:lineRule="auto"/>
        <w:tabs>
          <w:tab w:leader="none" w:pos="63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Contracts with Customers </w:t>
      </w:r>
      <w:r>
        <w:rPr>
          <w:rFonts w:ascii="Arial" w:cs="Arial" w:eastAsia="Arial" w:hAnsi="Arial"/>
          <w:sz w:val="18"/>
          <w:szCs w:val="18"/>
          <w:b w:val="1"/>
          <w:bCs w:val="1"/>
          <w:i w:val="1"/>
          <w:iCs w:val="1"/>
          <w:color w:val="auto"/>
        </w:rPr>
        <w:t>Disaggregation of Revenue</w:t>
      </w:r>
    </w:p>
    <w:p>
      <w:pPr>
        <w:ind w:right="200" w:firstLine="637"/>
        <w:spacing w:after="0" w:line="301" w:lineRule="auto"/>
        <w:rPr>
          <w:sz w:val="20"/>
          <w:szCs w:val="20"/>
          <w:color w:val="auto"/>
        </w:rPr>
      </w:pPr>
      <w:r>
        <w:rPr>
          <w:rFonts w:ascii="Arial" w:cs="Arial" w:eastAsia="Arial" w:hAnsi="Arial"/>
          <w:sz w:val="17"/>
          <w:szCs w:val="17"/>
          <w:color w:val="auto"/>
        </w:rPr>
        <w:t>The Company’s contracts contain both fixed-price and cost reimbursable components. Contract types are based on the component that represents the majority of the contract. The following table presents revenue disaggregated by contract type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2022</w:t>
            </w: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2022</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r>
      <w:tr>
        <w:trPr>
          <w:trHeight w:val="209"/>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Fixed-Price</w:t>
            </w: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334,853</w:t>
            </w:r>
          </w:p>
        </w:tc>
        <w:tc>
          <w:tcPr>
            <w:tcW w:w="2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246,894</w:t>
            </w:r>
          </w:p>
        </w:tc>
        <w:tc>
          <w:tcPr>
            <w:tcW w:w="2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854,835</w:t>
            </w:r>
          </w:p>
        </w:tc>
        <w:tc>
          <w:tcPr>
            <w:tcW w:w="24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710,067</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Time-and-Materials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302,236</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261,566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836,881</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754,596</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497,281</w:t>
            </w:r>
          </w:p>
        </w:tc>
        <w:tc>
          <w:tcPr>
            <w:tcW w:w="22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447,590</w:t>
            </w:r>
          </w:p>
        </w:tc>
        <w:tc>
          <w:tcPr>
            <w:tcW w:w="2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1,400,444</w:t>
            </w:r>
          </w:p>
        </w:tc>
        <w:tc>
          <w:tcPr>
            <w:tcW w:w="24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1,245,440</w:t>
            </w:r>
          </w:p>
        </w:tc>
        <w:tc>
          <w:tcPr>
            <w:tcW w:w="100" w:type="dxa"/>
            <w:vAlign w:val="bottom"/>
            <w:shd w:val="clear" w:color="auto" w:fill="CFF0FC"/>
          </w:tcPr>
          <w:p>
            <w:pPr>
              <w:spacing w:after="0"/>
              <w:rPr>
                <w:sz w:val="18"/>
                <w:szCs w:val="18"/>
                <w:color w:val="auto"/>
              </w:rPr>
            </w:pPr>
          </w:p>
        </w:tc>
      </w:tr>
      <w:tr>
        <w:trPr>
          <w:trHeight w:val="210"/>
        </w:trPr>
        <w:tc>
          <w:tcPr>
            <w:tcW w:w="4940" w:type="dxa"/>
            <w:vAlign w:val="bottom"/>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1,134,370</w:t>
            </w: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956,050</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3,092,160</w:t>
            </w:r>
          </w:p>
        </w:tc>
        <w:tc>
          <w:tcPr>
            <w:tcW w:w="24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2,710,103</w:t>
            </w:r>
          </w:p>
        </w:tc>
        <w:tc>
          <w:tcPr>
            <w:tcW w:w="100" w:type="dxa"/>
            <w:vAlign w:val="bottom"/>
          </w:tcPr>
          <w:p>
            <w:pPr>
              <w:spacing w:after="0"/>
              <w:rPr>
                <w:sz w:val="18"/>
                <w:szCs w:val="18"/>
                <w:color w:val="auto"/>
              </w:rPr>
            </w:pPr>
          </w:p>
        </w:tc>
      </w:tr>
    </w:tbl>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18 – Segments Information” for the Company’s revenues by business lines.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Contract assets and contract liabilities balances at September 30, 2022 and December 31, 2021 were as follows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2022</w:t>
            </w:r>
          </w:p>
        </w:tc>
        <w:tc>
          <w:tcPr>
            <w:tcW w:w="24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642,264</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579,216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63,048</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Contract liabilities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197,749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171,671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26,078</w:t>
            </w:r>
          </w:p>
        </w:tc>
        <w:tc>
          <w:tcPr>
            <w:tcW w:w="22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contract assets (liabilities) (1)</w:t>
            </w: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shd w:val="clear" w:color="auto" w:fill="CFF0FC"/>
          </w:tcPr>
          <w:p>
            <w:pPr>
              <w:spacing w:after="0"/>
              <w:rPr>
                <w:sz w:val="18"/>
                <w:szCs w:val="18"/>
                <w:color w:val="auto"/>
              </w:rPr>
            </w:pP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444,515</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407,545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36,970</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640" w:right="300" w:hanging="632"/>
        <w:spacing w:after="0" w:line="251"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contract retentions included in net contract assets (liabilities) were $74.2 million as of September 30, 2022, of which $40.5 million are not expected to be paid in the next 12 months. Total contract retentions included in net contract assets (liabilities) were $91.7 million as of December 31, 2021. Contract assets at September 30, 2022 and December 31, 2021 include $102.2 million and $98.6 million, respectively, related to unapproved change orders, claims, and requests for equitable adjustment. For the three and nine months ended September 30, 2022 and September 30, 2021, there were no material losses recognized related to the collectability of claims, unapproved change orders, and requests for equitable adjustment.</w:t>
      </w:r>
    </w:p>
    <w:p>
      <w:pPr>
        <w:spacing w:after="0" w:line="173" w:lineRule="exact"/>
        <w:rPr>
          <w:sz w:val="20"/>
          <w:szCs w:val="20"/>
          <w:color w:val="auto"/>
        </w:rPr>
      </w:pPr>
    </w:p>
    <w:p>
      <w:pPr>
        <w:jc w:val="both"/>
        <w:ind w:right="340" w:firstLine="637"/>
        <w:spacing w:after="0" w:line="255" w:lineRule="auto"/>
        <w:rPr>
          <w:sz w:val="20"/>
          <w:szCs w:val="20"/>
          <w:color w:val="auto"/>
        </w:rPr>
      </w:pPr>
      <w:r>
        <w:rPr>
          <w:rFonts w:ascii="Arial" w:cs="Arial" w:eastAsia="Arial" w:hAnsi="Arial"/>
          <w:sz w:val="18"/>
          <w:szCs w:val="18"/>
          <w:color w:val="auto"/>
        </w:rPr>
        <w:t>During the three months ended September 30, 2022 and September 30, 2021, the Company recognized revenue of $10.1 million and $3.0 million, respectively, and $91.8 million and $95.5 million during the nine months ended September 30, 2022 and September 30,</w:t>
      </w:r>
    </w:p>
    <w:p>
      <w:pPr>
        <w:spacing w:after="0" w:line="2" w:lineRule="exact"/>
        <w:rPr>
          <w:sz w:val="20"/>
          <w:szCs w:val="20"/>
          <w:color w:val="auto"/>
        </w:rPr>
      </w:pPr>
    </w:p>
    <w:p>
      <w:pPr>
        <w:ind w:right="700"/>
        <w:spacing w:after="0" w:line="276" w:lineRule="auto"/>
        <w:rPr>
          <w:sz w:val="20"/>
          <w:szCs w:val="20"/>
          <w:color w:val="auto"/>
        </w:rPr>
      </w:pPr>
      <w:r>
        <w:rPr>
          <w:rFonts w:ascii="Arial" w:cs="Arial" w:eastAsia="Arial" w:hAnsi="Arial"/>
          <w:sz w:val="18"/>
          <w:szCs w:val="18"/>
          <w:color w:val="auto"/>
        </w:rPr>
        <w:t>2021, respectively, that was included in the corresponding contract liability balances at December 31, 2021 and December 31, 2020, respectively. Certain changes in contract assets and contract liabilities consisted of the following:</w:t>
      </w: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right"/>
              <w:ind w:right="136"/>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r>
      <w:tr>
        <w:trPr>
          <w:trHeight w:val="210"/>
        </w:trPr>
        <w:tc>
          <w:tcPr>
            <w:tcW w:w="6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Acquired contract assets</w:t>
            </w: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4,591</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5,979</w:t>
            </w:r>
          </w:p>
        </w:tc>
        <w:tc>
          <w:tcPr>
            <w:tcW w:w="120" w:type="dxa"/>
            <w:vAlign w:val="bottom"/>
            <w:tcBorders>
              <w:top w:val="single" w:sz="8" w:color="CFF0FC"/>
            </w:tcBorders>
            <w:shd w:val="clear" w:color="auto" w:fill="CFF0FC"/>
          </w:tcPr>
          <w:p>
            <w:pPr>
              <w:spacing w:after="0"/>
              <w:rPr>
                <w:sz w:val="18"/>
                <w:szCs w:val="18"/>
                <w:color w:val="auto"/>
              </w:rPr>
            </w:pPr>
          </w:p>
        </w:tc>
      </w:tr>
      <w:tr>
        <w:trPr>
          <w:trHeight w:val="239"/>
        </w:trPr>
        <w:tc>
          <w:tcPr>
            <w:tcW w:w="6020" w:type="dxa"/>
            <w:vAlign w:val="bottom"/>
          </w:tcPr>
          <w:p>
            <w:pPr>
              <w:spacing w:after="0"/>
              <w:rPr>
                <w:sz w:val="20"/>
                <w:szCs w:val="20"/>
                <w:color w:val="auto"/>
              </w:rPr>
            </w:pPr>
            <w:r>
              <w:rPr>
                <w:rFonts w:ascii="Arial" w:cs="Arial" w:eastAsia="Arial" w:hAnsi="Arial"/>
                <w:sz w:val="18"/>
                <w:szCs w:val="18"/>
                <w:color w:val="auto"/>
              </w:rPr>
              <w:t>Acquired contract liabilities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2,080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0"/>
                <w:szCs w:val="20"/>
                <w:color w:val="auto"/>
              </w:rPr>
            </w:pPr>
          </w:p>
        </w:tc>
      </w:tr>
    </w:tbl>
    <w:p>
      <w:pPr>
        <w:spacing w:after="0" w:line="107" w:lineRule="exact"/>
        <w:rPr>
          <w:sz w:val="20"/>
          <w:szCs w:val="20"/>
          <w:color w:val="auto"/>
        </w:rPr>
      </w:pPr>
    </w:p>
    <w:p>
      <w:pPr>
        <w:ind w:right="740" w:firstLine="752"/>
        <w:spacing w:after="0" w:line="287" w:lineRule="auto"/>
        <w:rPr>
          <w:sz w:val="20"/>
          <w:szCs w:val="20"/>
          <w:color w:val="auto"/>
        </w:rPr>
      </w:pPr>
      <w:r>
        <w:rPr>
          <w:rFonts w:ascii="Arial" w:cs="Arial" w:eastAsia="Arial" w:hAnsi="Arial"/>
          <w:sz w:val="18"/>
          <w:szCs w:val="18"/>
          <w:color w:val="auto"/>
        </w:rPr>
        <w:t>There was no significant impairment of contract assets recognized during the nine months ended September 30, 2022 and September 30, 2021.</w:t>
      </w:r>
    </w:p>
    <w:p>
      <w:pPr>
        <w:spacing w:after="0" w:line="166" w:lineRule="exact"/>
        <w:rPr>
          <w:sz w:val="20"/>
          <w:szCs w:val="20"/>
          <w:color w:val="auto"/>
        </w:rPr>
      </w:pPr>
    </w:p>
    <w:p>
      <w:pPr>
        <w:ind w:right="280" w:firstLine="691"/>
        <w:spacing w:after="0" w:line="318" w:lineRule="auto"/>
        <w:rPr>
          <w:sz w:val="20"/>
          <w:szCs w:val="20"/>
          <w:color w:val="auto"/>
        </w:rPr>
      </w:pPr>
      <w:r>
        <w:rPr>
          <w:rFonts w:ascii="Arial" w:cs="Arial" w:eastAsia="Arial" w:hAnsi="Arial"/>
          <w:sz w:val="18"/>
          <w:szCs w:val="18"/>
          <w:color w:val="auto"/>
        </w:rPr>
        <w:t>Revisions in estimates, such as changes in estimated claims or incentives, related to performance obligations partially satisfied in previous periods that individually had an impact of $5 million or more on revenue resulted in the following changes in revenue: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tbl>
      <w:tblPr>
        <w:tblLayout w:type="fixed"/>
        <w:tblInd w:w="58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700" w:type="dxa"/>
            <w:vAlign w:val="bottom"/>
            <w:tcBorders>
              <w:bottom w:val="single" w:sz="8" w:color="auto"/>
            </w:tcBorders>
            <w:gridSpan w:val="5"/>
          </w:tcPr>
          <w:p>
            <w:pPr>
              <w:jc w:val="right"/>
              <w:ind w:right="56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60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60"/>
        </w:trPr>
        <w:tc>
          <w:tcPr>
            <w:tcW w:w="3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40" w:type="dxa"/>
            <w:vAlign w:val="bottom"/>
          </w:tcPr>
          <w:p>
            <w:pPr>
              <w:jc w:val="center"/>
              <w:ind w:left="42"/>
              <w:spacing w:after="0" w:line="160"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1460" w:type="dxa"/>
            <w:vAlign w:val="bottom"/>
            <w:gridSpan w:val="3"/>
          </w:tcPr>
          <w:p>
            <w:pPr>
              <w:jc w:val="center"/>
              <w:ind w:right="350"/>
              <w:spacing w:after="0" w:line="160" w:lineRule="exact"/>
              <w:rPr>
                <w:sz w:val="20"/>
                <w:szCs w:val="20"/>
                <w:color w:val="auto"/>
              </w:rPr>
            </w:pPr>
            <w:r>
              <w:rPr>
                <w:rFonts w:ascii="Arial" w:cs="Arial" w:eastAsia="Arial" w:hAnsi="Arial"/>
                <w:sz w:val="14"/>
                <w:szCs w:val="14"/>
                <w:b w:val="1"/>
                <w:bCs w:val="1"/>
                <w:color w:val="auto"/>
              </w:rPr>
              <w:t>September 30,</w:t>
            </w:r>
          </w:p>
        </w:tc>
        <w:tc>
          <w:tcPr>
            <w:tcW w:w="124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3020" w:type="dxa"/>
            <w:vAlign w:val="bottom"/>
          </w:tcPr>
          <w:p>
            <w:pPr>
              <w:spacing w:after="0"/>
              <w:rPr>
                <w:sz w:val="14"/>
                <w:szCs w:val="14"/>
                <w:color w:val="auto"/>
              </w:rPr>
            </w:pPr>
          </w:p>
        </w:tc>
        <w:tc>
          <w:tcPr>
            <w:tcW w:w="252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impact, net</w:t>
            </w:r>
          </w:p>
        </w:tc>
        <w:tc>
          <w:tcPr>
            <w:tcW w:w="138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962"/>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(6,300)</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(27,553)</w:t>
            </w:r>
          </w:p>
        </w:tc>
        <w:tc>
          <w:tcPr>
            <w:tcW w:w="100" w:type="dxa"/>
            <w:vAlign w:val="bottom"/>
            <w:tcBorders>
              <w:top w:val="single" w:sz="8" w:color="CFF0FC"/>
            </w:tcBorders>
            <w:shd w:val="clear" w:color="auto" w:fill="CFF0FC"/>
          </w:tcPr>
          <w:p>
            <w:pPr>
              <w:spacing w:after="0"/>
              <w:rPr>
                <w:sz w:val="18"/>
                <w:szCs w:val="18"/>
                <w:color w:val="auto"/>
              </w:rPr>
            </w:pPr>
          </w:p>
        </w:tc>
      </w:tr>
    </w:tbl>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receivable, net consisted of the following as of September 30, 2022 and December 31, 2021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3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r>
      <w:tr>
        <w:trPr>
          <w:trHeight w:val="211"/>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Billed</w:t>
            </w:r>
          </w:p>
        </w:tc>
        <w:tc>
          <w:tcPr>
            <w:tcW w:w="23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487,221</w:t>
            </w:r>
          </w:p>
        </w:tc>
        <w:tc>
          <w:tcPr>
            <w:tcW w:w="2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434,776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Unbilled</w:t>
            </w:r>
          </w:p>
        </w:tc>
        <w:tc>
          <w:tcPr>
            <w:tcW w:w="230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227,453</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167,490</w:t>
            </w:r>
          </w:p>
        </w:tc>
        <w:tc>
          <w:tcPr>
            <w:tcW w:w="120" w:type="dxa"/>
            <w:vAlign w:val="bottom"/>
            <w:tcBorders>
              <w:bottom w:val="single" w:sz="8" w:color="CFF0FC"/>
            </w:tcBorders>
          </w:tcPr>
          <w:p>
            <w:pPr>
              <w:spacing w:after="0"/>
              <w:rPr>
                <w:sz w:val="18"/>
                <w:szCs w:val="18"/>
                <w:color w:val="auto"/>
              </w:rPr>
            </w:pPr>
          </w:p>
        </w:tc>
      </w:tr>
      <w:tr>
        <w:trPr>
          <w:trHeight w:val="210"/>
        </w:trPr>
        <w:tc>
          <w:tcPr>
            <w:tcW w:w="50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gross</w:t>
            </w:r>
          </w:p>
        </w:tc>
        <w:tc>
          <w:tcPr>
            <w:tcW w:w="2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714,674</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602,266</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(3,953)</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(3,955)</w:t>
            </w:r>
          </w:p>
        </w:tc>
      </w:tr>
      <w:tr>
        <w:trPr>
          <w:trHeight w:val="209"/>
        </w:trPr>
        <w:tc>
          <w:tcPr>
            <w:tcW w:w="502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 accounts receivable, net</w:t>
            </w:r>
          </w:p>
        </w:tc>
        <w:tc>
          <w:tcPr>
            <w:tcW w:w="230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710,721</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598,311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ind w:right="60" w:firstLine="637"/>
        <w:spacing w:after="0" w:line="253"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169" w:lineRule="exact"/>
        <w:rPr>
          <w:sz w:val="20"/>
          <w:szCs w:val="20"/>
          <w:color w:val="auto"/>
        </w:rPr>
      </w:pPr>
    </w:p>
    <w:p>
      <w:pPr>
        <w:ind w:right="400" w:firstLine="637"/>
        <w:spacing w:after="0" w:line="253"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02" w:lineRule="exact"/>
        <w:rPr>
          <w:sz w:val="20"/>
          <w:szCs w:val="20"/>
          <w:color w:val="auto"/>
        </w:rPr>
      </w:pPr>
    </w:p>
    <w:p>
      <w:pPr>
        <w:ind w:right="80" w:firstLine="637"/>
        <w:spacing w:after="0" w:line="253" w:lineRule="auto"/>
        <w:rPr>
          <w:sz w:val="20"/>
          <w:szCs w:val="20"/>
          <w:color w:val="auto"/>
        </w:rPr>
      </w:pPr>
      <w:r>
        <w:rPr>
          <w:rFonts w:ascii="Arial" w:cs="Arial" w:eastAsia="Arial" w:hAnsi="Arial"/>
          <w:sz w:val="18"/>
          <w:szCs w:val="18"/>
          <w:color w:val="auto"/>
        </w:rPr>
        <w:t>The Company’s remaining unsatisfied performance obligations (“RUPO”) as of September 30, 2022 represent a measure of the total dollar value of work to be performed on contracts awarded and in-progress. The Company had $5.8 billion in RUPO as of September 30, 2022.</w:t>
      </w:r>
    </w:p>
    <w:p>
      <w:pPr>
        <w:spacing w:after="0" w:line="169" w:lineRule="exact"/>
        <w:rPr>
          <w:sz w:val="20"/>
          <w:szCs w:val="20"/>
          <w:color w:val="auto"/>
        </w:rPr>
      </w:pPr>
    </w:p>
    <w:p>
      <w:pPr>
        <w:ind w:right="120" w:firstLine="637"/>
        <w:spacing w:after="0" w:line="247" w:lineRule="auto"/>
        <w:rPr>
          <w:sz w:val="20"/>
          <w:szCs w:val="20"/>
          <w:color w:val="auto"/>
        </w:rPr>
      </w:pPr>
      <w:r>
        <w:rPr>
          <w:rFonts w:ascii="Arial" w:cs="Arial" w:eastAsia="Arial" w:hAnsi="Arial"/>
          <w:sz w:val="18"/>
          <w:szCs w:val="18"/>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delivery orders have not been issued.</w:t>
      </w:r>
    </w:p>
    <w:p>
      <w:pPr>
        <w:spacing w:after="0" w:line="174" w:lineRule="exact"/>
        <w:rPr>
          <w:sz w:val="20"/>
          <w:szCs w:val="20"/>
          <w:color w:val="auto"/>
        </w:rPr>
      </w:pPr>
    </w:p>
    <w:p>
      <w:pPr>
        <w:ind w:right="20" w:firstLine="637"/>
        <w:spacing w:after="0" w:line="245"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w:t>
      </w:r>
    </w:p>
    <w:p>
      <w:pPr>
        <w:ind w:right="740" w:firstLine="8"/>
        <w:spacing w:after="0" w:line="250"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 amounts that the Company has made against customers for which it has determined that it has a legal basis under existing contractual arrangements and a significant reversal of revenue is not probable, less revenue recognized to-date.</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expects to satisfy its RUPO as of September 30, 2022 over the following periods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257"/>
              <w:spacing w:after="0"/>
              <w:rPr>
                <w:sz w:val="20"/>
                <w:szCs w:val="20"/>
                <w:color w:val="auto"/>
              </w:rPr>
            </w:pPr>
            <w:r>
              <w:rPr>
                <w:rFonts w:ascii="Arial" w:cs="Arial" w:eastAsia="Arial" w:hAnsi="Arial"/>
                <w:sz w:val="14"/>
                <w:szCs w:val="14"/>
                <w:b w:val="1"/>
                <w:bCs w:val="1"/>
                <w:color w:val="auto"/>
              </w:rPr>
              <w:t>Within One to</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4"/>
                <w:szCs w:val="14"/>
                <w:b w:val="1"/>
                <w:bCs w:val="1"/>
                <w:color w:val="auto"/>
              </w:rPr>
              <w:t>Period RUPO Will Be Satisfied</w:t>
            </w: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Within One Year</w:t>
            </w:r>
          </w:p>
        </w:tc>
        <w:tc>
          <w:tcPr>
            <w:tcW w:w="220" w:type="dxa"/>
            <w:vAlign w:val="bottom"/>
          </w:tcPr>
          <w:p>
            <w:pPr>
              <w:spacing w:after="0"/>
              <w:rPr>
                <w:sz w:val="14"/>
                <w:szCs w:val="14"/>
                <w:color w:val="auto"/>
              </w:rPr>
            </w:pPr>
          </w:p>
        </w:tc>
        <w:tc>
          <w:tcPr>
            <w:tcW w:w="1400" w:type="dxa"/>
            <w:vAlign w:val="bottom"/>
          </w:tcPr>
          <w:p>
            <w:pPr>
              <w:jc w:val="right"/>
              <w:ind w:right="377"/>
              <w:spacing w:after="0"/>
              <w:rPr>
                <w:sz w:val="20"/>
                <w:szCs w:val="20"/>
                <w:color w:val="auto"/>
              </w:rPr>
            </w:pPr>
            <w:r>
              <w:rPr>
                <w:rFonts w:ascii="Arial" w:cs="Arial" w:eastAsia="Arial" w:hAnsi="Arial"/>
                <w:sz w:val="14"/>
                <w:szCs w:val="14"/>
                <w:b w:val="1"/>
                <w:bCs w:val="1"/>
                <w:color w:val="auto"/>
              </w:rPr>
              <w:t>Two Years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0"/>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9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1,598,275</w:t>
            </w: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638,502</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252,481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9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1,532,842</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895,714</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894,720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3,131,117</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1,534,216</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1,147,201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38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8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5" w:name="page16"/>
    <w:bookmarkEnd w:id="15"/>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1" w:lineRule="exact"/>
        <w:rPr>
          <w:sz w:val="20"/>
          <w:szCs w:val="20"/>
          <w:color w:val="auto"/>
        </w:rPr>
      </w:pPr>
    </w:p>
    <w:p>
      <w:pPr>
        <w:ind w:right="120" w:firstLine="745"/>
        <w:spacing w:after="0" w:line="276" w:lineRule="auto"/>
        <w:rPr>
          <w:sz w:val="20"/>
          <w:szCs w:val="20"/>
          <w:color w:val="auto"/>
        </w:rPr>
      </w:pPr>
      <w:r>
        <w:rPr>
          <w:rFonts w:ascii="Arial" w:cs="Arial" w:eastAsia="Arial" w:hAnsi="Arial"/>
          <w:sz w:val="18"/>
          <w:szCs w:val="18"/>
          <w:color w:val="auto"/>
        </w:rPr>
        <w:t>The Company has operating and finance leases for corporate and project office spaces, vehicles, heavy machinery and office equipment. Our leases have remaining lease terms of one year to 8 years, some of which may include options to extend the leases for up to five years, and some of which may include options to terminate the leases after the third year.</w:t>
      </w:r>
    </w:p>
    <w:p>
      <w:pPr>
        <w:spacing w:after="0" w:line="163" w:lineRule="exact"/>
        <w:rPr>
          <w:sz w:val="20"/>
          <w:szCs w:val="20"/>
          <w:color w:val="auto"/>
        </w:rPr>
      </w:pPr>
    </w:p>
    <w:p>
      <w:pPr>
        <w:ind w:right="40" w:firstLine="637"/>
        <w:spacing w:after="0" w:line="271" w:lineRule="auto"/>
        <w:rPr>
          <w:sz w:val="20"/>
          <w:szCs w:val="20"/>
          <w:color w:val="auto"/>
        </w:rPr>
      </w:pPr>
      <w:r>
        <w:rPr>
          <w:rFonts w:ascii="Arial" w:cs="Arial" w:eastAsia="Arial" w:hAnsi="Arial"/>
          <w:sz w:val="18"/>
          <w:szCs w:val="18"/>
          <w:color w:val="auto"/>
        </w:rPr>
        <w:t>The components of lease costs for the three and nine months ended September 30, 2022 and September 30, 2021 are as follows (in thousands):</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right"/>
              <w:ind w:right="61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60"/>
        </w:trPr>
        <w:tc>
          <w:tcPr>
            <w:tcW w:w="4340" w:type="dxa"/>
            <w:vAlign w:val="bottom"/>
          </w:tcPr>
          <w:p>
            <w:pPr>
              <w:spacing w:after="0"/>
              <w:rPr>
                <w:sz w:val="13"/>
                <w:szCs w:val="13"/>
                <w:color w:val="auto"/>
              </w:rPr>
            </w:pPr>
          </w:p>
        </w:tc>
        <w:tc>
          <w:tcPr>
            <w:tcW w:w="1560" w:type="dxa"/>
            <w:vAlign w:val="bottom"/>
            <w:gridSpan w:val="3"/>
          </w:tcPr>
          <w:p>
            <w:pPr>
              <w:jc w:val="right"/>
              <w:ind w:right="500"/>
              <w:spacing w:after="0" w:line="160" w:lineRule="exact"/>
              <w:rPr>
                <w:sz w:val="20"/>
                <w:szCs w:val="20"/>
                <w:color w:val="auto"/>
              </w:rPr>
            </w:pPr>
            <w:r>
              <w:rPr>
                <w:rFonts w:ascii="Arial" w:cs="Arial" w:eastAsia="Arial" w:hAnsi="Arial"/>
                <w:sz w:val="14"/>
                <w:szCs w:val="14"/>
                <w:b w:val="1"/>
                <w:bCs w:val="1"/>
                <w:color w:val="auto"/>
              </w:rPr>
              <w:t>September 30,</w:t>
            </w:r>
          </w:p>
        </w:tc>
        <w:tc>
          <w:tcPr>
            <w:tcW w:w="1300" w:type="dxa"/>
            <w:vAlign w:val="bottom"/>
            <w:gridSpan w:val="3"/>
          </w:tcPr>
          <w:p>
            <w:pPr>
              <w:jc w:val="right"/>
              <w:ind w:right="220"/>
              <w:spacing w:after="0" w:line="160"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560" w:type="dxa"/>
            <w:vAlign w:val="bottom"/>
            <w:gridSpan w:val="3"/>
          </w:tcPr>
          <w:p>
            <w:pPr>
              <w:jc w:val="right"/>
              <w:ind w:right="500"/>
              <w:spacing w:after="0" w:line="160"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3"/>
                <w:szCs w:val="13"/>
                <w:color w:val="auto"/>
              </w:rPr>
            </w:pPr>
          </w:p>
        </w:tc>
        <w:tc>
          <w:tcPr>
            <w:tcW w:w="1240" w:type="dxa"/>
            <w:vAlign w:val="bottom"/>
            <w:gridSpan w:val="3"/>
          </w:tcPr>
          <w:p>
            <w:pPr>
              <w:jc w:val="right"/>
              <w:ind w:right="20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43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09"/>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cost</w:t>
            </w: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16,299</w:t>
            </w: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49,049</w:t>
            </w: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49,500</w:t>
            </w:r>
          </w:p>
        </w:tc>
        <w:tc>
          <w:tcPr>
            <w:tcW w:w="100" w:type="dxa"/>
            <w:vAlign w:val="bottom"/>
            <w:shd w:val="clear" w:color="auto" w:fill="CFF0FC"/>
          </w:tcPr>
          <w:p>
            <w:pPr>
              <w:spacing w:after="0"/>
              <w:rPr>
                <w:sz w:val="18"/>
                <w:szCs w:val="18"/>
                <w:color w:val="auto"/>
              </w:rPr>
            </w:pPr>
          </w:p>
        </w:tc>
      </w:tr>
      <w:tr>
        <w:trPr>
          <w:trHeight w:val="216"/>
        </w:trPr>
        <w:tc>
          <w:tcPr>
            <w:tcW w:w="4340" w:type="dxa"/>
            <w:vAlign w:val="bottom"/>
          </w:tcPr>
          <w:p>
            <w:pPr>
              <w:ind w:left="240"/>
              <w:spacing w:after="0"/>
              <w:rPr>
                <w:sz w:val="20"/>
                <w:szCs w:val="20"/>
                <w:color w:val="auto"/>
              </w:rPr>
            </w:pPr>
            <w:r>
              <w:rPr>
                <w:rFonts w:ascii="Arial" w:cs="Arial" w:eastAsia="Arial" w:hAnsi="Arial"/>
                <w:sz w:val="18"/>
                <w:szCs w:val="18"/>
                <w:color w:val="auto"/>
              </w:rPr>
              <w:t>Short-term lease cost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3,858</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10,948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7,859</w:t>
            </w:r>
          </w:p>
        </w:tc>
        <w:tc>
          <w:tcPr>
            <w:tcW w:w="100" w:type="dxa"/>
            <w:vAlign w:val="bottom"/>
          </w:tcPr>
          <w:p>
            <w:pPr>
              <w:spacing w:after="0"/>
              <w:rPr>
                <w:sz w:val="18"/>
                <w:szCs w:val="18"/>
                <w:color w:val="auto"/>
              </w:rPr>
            </w:pPr>
          </w:p>
        </w:tc>
      </w:tr>
      <w:tr>
        <w:trPr>
          <w:trHeight w:val="216"/>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right-of-use assets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w:t>
            </w: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CFF0FC"/>
          </w:tcPr>
          <w:p>
            <w:pPr>
              <w:spacing w:after="0"/>
              <w:rPr>
                <w:sz w:val="18"/>
                <w:szCs w:val="18"/>
                <w:color w:val="auto"/>
              </w:rPr>
            </w:pPr>
          </w:p>
        </w:tc>
      </w:tr>
      <w:tr>
        <w:trPr>
          <w:trHeight w:val="216"/>
        </w:trPr>
        <w:tc>
          <w:tcPr>
            <w:tcW w:w="434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r>
      <w:tr>
        <w:trPr>
          <w:trHeight w:val="216"/>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Sublease income</w:t>
            </w: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(1,318)</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(3,321)</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(2,529)</w:t>
            </w:r>
          </w:p>
        </w:tc>
      </w:tr>
      <w:tr>
        <w:trPr>
          <w:trHeight w:val="209"/>
        </w:trPr>
        <w:tc>
          <w:tcPr>
            <w:tcW w:w="4340" w:type="dxa"/>
            <w:vAlign w:val="bottom"/>
          </w:tcPr>
          <w:p>
            <w:pPr>
              <w:spacing w:after="0"/>
              <w:rPr>
                <w:sz w:val="20"/>
                <w:szCs w:val="20"/>
                <w:color w:val="auto"/>
              </w:rPr>
            </w:pPr>
            <w:r>
              <w:rPr>
                <w:rFonts w:ascii="Arial" w:cs="Arial" w:eastAsia="Arial" w:hAnsi="Arial"/>
                <w:sz w:val="18"/>
                <w:szCs w:val="18"/>
                <w:color w:val="auto"/>
              </w:rPr>
              <w:t>Total lease cost</w:t>
            </w: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19,434</w:t>
            </w:r>
          </w:p>
        </w:tc>
        <w:tc>
          <w:tcPr>
            <w:tcW w:w="4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58,464</w:t>
            </w:r>
          </w:p>
        </w:tc>
        <w:tc>
          <w:tcPr>
            <w:tcW w:w="4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56,468</w:t>
            </w:r>
          </w:p>
        </w:tc>
        <w:tc>
          <w:tcPr>
            <w:tcW w:w="10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right="40" w:firstLine="637"/>
        <w:spacing w:after="0" w:line="271" w:lineRule="auto"/>
        <w:rPr>
          <w:sz w:val="20"/>
          <w:szCs w:val="20"/>
          <w:color w:val="auto"/>
        </w:rPr>
      </w:pPr>
      <w:r>
        <w:rPr>
          <w:rFonts w:ascii="Arial" w:cs="Arial" w:eastAsia="Arial" w:hAnsi="Arial"/>
          <w:sz w:val="18"/>
          <w:szCs w:val="18"/>
          <w:color w:val="auto"/>
        </w:rPr>
        <w:t>Supplemental cash flow information related to leases for the three months ended September 30, 2022 and September 30, 2021 is as follows (in thousands):</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69"/>
        </w:trPr>
        <w:tc>
          <w:tcPr>
            <w:tcW w:w="6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4"/>
                <w:szCs w:val="14"/>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r>
      <w:tr>
        <w:trPr>
          <w:trHeight w:val="209"/>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cash flows for operating leases</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51,988</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50,029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Operating cash flows for finance leases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flows from finance leases</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15,709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7,456</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FF0FC"/>
          </w:tcPr>
          <w:p>
            <w:pPr>
              <w:spacing w:after="0"/>
              <w:rPr>
                <w:sz w:val="18"/>
                <w:szCs w:val="18"/>
                <w:color w:val="auto"/>
              </w:rPr>
            </w:pPr>
          </w:p>
        </w:tc>
      </w:tr>
    </w:tbl>
    <w:p>
      <w:pPr>
        <w:spacing w:after="0" w:line="224" w:lineRule="exact"/>
        <w:rPr>
          <w:sz w:val="20"/>
          <w:szCs w:val="20"/>
          <w:color w:val="auto"/>
        </w:rPr>
      </w:pPr>
    </w:p>
    <w:p>
      <w:pPr>
        <w:jc w:val="both"/>
        <w:ind w:right="560" w:firstLine="637"/>
        <w:spacing w:after="0" w:line="271" w:lineRule="auto"/>
        <w:rPr>
          <w:sz w:val="20"/>
          <w:szCs w:val="20"/>
          <w:color w:val="auto"/>
        </w:rPr>
      </w:pPr>
      <w:r>
        <w:rPr>
          <w:rFonts w:ascii="Arial" w:cs="Arial" w:eastAsia="Arial" w:hAnsi="Arial"/>
          <w:sz w:val="18"/>
          <w:szCs w:val="18"/>
          <w:color w:val="auto"/>
        </w:rPr>
        <w:t>Supplemental balance sheet and other information related to leases as of September 30, 2022 and December 31, 2021 are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2021</w:t>
            </w:r>
          </w:p>
        </w:tc>
        <w:tc>
          <w:tcPr>
            <w:tcW w:w="560" w:type="dxa"/>
            <w:vAlign w:val="bottom"/>
          </w:tcPr>
          <w:p>
            <w:pPr>
              <w:spacing w:after="0"/>
              <w:rPr>
                <w:sz w:val="17"/>
                <w:szCs w:val="17"/>
                <w:color w:val="auto"/>
              </w:rPr>
            </w:pPr>
          </w:p>
        </w:tc>
      </w:tr>
      <w:tr>
        <w:trPr>
          <w:trHeight w:val="210"/>
        </w:trPr>
        <w:tc>
          <w:tcPr>
            <w:tcW w:w="580" w:type="dxa"/>
            <w:vAlign w:val="bottom"/>
          </w:tcPr>
          <w:p>
            <w:pPr>
              <w:spacing w:after="0"/>
              <w:rPr>
                <w:sz w:val="18"/>
                <w:szCs w:val="18"/>
                <w:color w:val="auto"/>
              </w:rPr>
            </w:pPr>
          </w:p>
        </w:tc>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0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Right-of-use assets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161,602</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182,672</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2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Current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59,056</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55,902</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w:t>
            </w:r>
          </w:p>
        </w:tc>
        <w:tc>
          <w:tcPr>
            <w:tcW w:w="20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121,172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148,893</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lease liabilities</w:t>
            </w:r>
          </w:p>
        </w:tc>
        <w:tc>
          <w:tcPr>
            <w:tcW w:w="20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180,228</w:t>
            </w:r>
          </w:p>
        </w:tc>
        <w:tc>
          <w:tcPr>
            <w:tcW w:w="2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204,795</w:t>
            </w:r>
          </w:p>
        </w:tc>
        <w:tc>
          <w:tcPr>
            <w:tcW w:w="180" w:type="dxa"/>
            <w:vAlign w:val="bottom"/>
            <w:tcBorders>
              <w:bottom w:val="single" w:sz="8" w:color="CFF0FC"/>
            </w:tcBorders>
          </w:tcPr>
          <w:p>
            <w:pPr>
              <w:spacing w:after="0"/>
              <w:rPr>
                <w:sz w:val="21"/>
                <w:szCs w:val="21"/>
                <w:color w:val="auto"/>
              </w:rPr>
            </w:pPr>
          </w:p>
        </w:tc>
        <w:tc>
          <w:tcPr>
            <w:tcW w:w="560" w:type="dxa"/>
            <w:vAlign w:val="bottom"/>
          </w:tcPr>
          <w:p>
            <w:pPr>
              <w:spacing w:after="0"/>
              <w:rPr>
                <w:sz w:val="21"/>
                <w:szCs w:val="21"/>
                <w:color w:val="auto"/>
              </w:rPr>
            </w:pPr>
          </w:p>
        </w:tc>
      </w:tr>
      <w:tr>
        <w:trPr>
          <w:trHeight w:val="197"/>
        </w:trPr>
        <w:tc>
          <w:tcPr>
            <w:tcW w:w="580" w:type="dxa"/>
            <w:vAlign w:val="bottom"/>
          </w:tcPr>
          <w:p>
            <w:pPr>
              <w:spacing w:after="0"/>
              <w:rPr>
                <w:sz w:val="17"/>
                <w:szCs w:val="17"/>
                <w:color w:val="auto"/>
              </w:rPr>
            </w:pPr>
          </w:p>
        </w:tc>
        <w:tc>
          <w:tcPr>
            <w:tcW w:w="4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Finance Leases:</w:t>
            </w:r>
          </w:p>
        </w:tc>
        <w:tc>
          <w:tcPr>
            <w:tcW w:w="2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3,829</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4,389</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2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w:t>
            </w:r>
          </w:p>
        </w:tc>
        <w:tc>
          <w:tcPr>
            <w:tcW w:w="2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2,117</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2,422</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3.8 Years</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 years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Finance leases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2.6 Years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2.9 years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2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Operating leases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2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8"/>
                <w:szCs w:val="18"/>
                <w:color w:val="auto"/>
              </w:rPr>
            </w:pPr>
          </w:p>
        </w:tc>
      </w:tr>
      <w:tr>
        <w:trPr>
          <w:trHeight w:val="436"/>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00" w:type="dxa"/>
            <w:vAlign w:val="bottom"/>
          </w:tcPr>
          <w:p>
            <w:pPr>
              <w:jc w:val="right"/>
              <w:ind w:right="105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4"/>
        </w:trPr>
        <w:tc>
          <w:tcPr>
            <w:tcW w:w="58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ind w:left="640"/>
        <w:spacing w:after="0"/>
        <w:rPr>
          <w:sz w:val="20"/>
          <w:szCs w:val="20"/>
          <w:color w:val="auto"/>
        </w:rPr>
      </w:pPr>
      <w:r>
        <w:rPr>
          <w:rFonts w:ascii="Arial" w:cs="Arial" w:eastAsia="Arial" w:hAnsi="Arial"/>
          <w:sz w:val="18"/>
          <w:szCs w:val="18"/>
          <w:color w:val="auto"/>
        </w:rPr>
        <w:t>As of September 30, 2022, the Company has no operating leases that have not yet commenced.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is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4"/>
                <w:szCs w:val="14"/>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Finance Leases</w:t>
            </w:r>
          </w:p>
        </w:tc>
      </w:tr>
      <w:tr>
        <w:trPr>
          <w:trHeight w:val="210"/>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 (remaining)</w:t>
            </w:r>
          </w:p>
        </w:tc>
        <w:tc>
          <w:tcPr>
            <w:tcW w:w="17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18,562</w:t>
            </w: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2023</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59,464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44,371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2025</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33,246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7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17,204</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192,213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3,931</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(11,985)</w:t>
            </w:r>
          </w:p>
        </w:tc>
        <w:tc>
          <w:tcPr>
            <w:tcW w:w="2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r>
      <w:tr>
        <w:trPr>
          <w:trHeight w:val="210"/>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present value of lease liabilities</w:t>
            </w:r>
          </w:p>
        </w:tc>
        <w:tc>
          <w:tcPr>
            <w:tcW w:w="17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180,228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changes in the carrying value of goodwill by reporting segment from December 31, 2021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Foreign</w:t>
            </w:r>
          </w:p>
        </w:tc>
        <w:tc>
          <w:tcPr>
            <w:tcW w:w="8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562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rPr>
              <w:t>Acquisitions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Exchange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09"/>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1,339,117</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252,250</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1,591,367</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73,573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69,740</w:t>
            </w:r>
          </w:p>
        </w:tc>
        <w:tc>
          <w:tcPr>
            <w:tcW w:w="100" w:type="dxa"/>
            <w:vAlign w:val="bottom"/>
          </w:tcPr>
          <w:p>
            <w:pPr>
              <w:spacing w:after="0"/>
              <w:rPr>
                <w:sz w:val="18"/>
                <w:szCs w:val="18"/>
                <w:color w:val="auto"/>
              </w:rPr>
            </w:pPr>
          </w:p>
        </w:tc>
      </w:tr>
      <w:tr>
        <w:trPr>
          <w:trHeight w:val="210"/>
        </w:trPr>
        <w:tc>
          <w:tcPr>
            <w:tcW w:w="5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1,412,690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252,250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(3,833)</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1,661,107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2" w:lineRule="exact"/>
        <w:rPr>
          <w:sz w:val="20"/>
          <w:szCs w:val="20"/>
          <w:color w:val="auto"/>
        </w:rPr>
      </w:pPr>
    </w:p>
    <w:p>
      <w:pPr>
        <w:jc w:val="both"/>
        <w:ind w:right="720" w:firstLine="637"/>
        <w:spacing w:after="0" w:line="271" w:lineRule="auto"/>
        <w:rPr>
          <w:sz w:val="20"/>
          <w:szCs w:val="20"/>
          <w:color w:val="auto"/>
        </w:rPr>
      </w:pPr>
      <w:r>
        <w:rPr>
          <w:rFonts w:ascii="Arial" w:cs="Arial" w:eastAsia="Arial" w:hAnsi="Arial"/>
          <w:sz w:val="18"/>
          <w:szCs w:val="18"/>
          <w:color w:val="auto"/>
        </w:rPr>
        <w:t>The Company performed a qualitative triggering analysis and determined there was no triggering event indicating a potential impairment to the carrying value of its goodwill at September 30, 2022 and, therefore, concluded there has not been an impairment.</w:t>
      </w:r>
    </w:p>
    <w:p>
      <w:pPr>
        <w:spacing w:after="0" w:line="262"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right="40" w:firstLine="637"/>
        <w:spacing w:after="0" w:line="271" w:lineRule="auto"/>
        <w:rPr>
          <w:sz w:val="20"/>
          <w:szCs w:val="20"/>
          <w:color w:val="auto"/>
        </w:rPr>
      </w:pPr>
      <w:r>
        <w:rPr>
          <w:rFonts w:ascii="Arial" w:cs="Arial" w:eastAsia="Arial" w:hAnsi="Arial"/>
          <w:sz w:val="18"/>
          <w:szCs w:val="18"/>
          <w:color w:val="auto"/>
        </w:rPr>
        <w:t>The gross amount and accumulated amortization of intangible assets with finite useful lives included in “Intangible assets, net” on the consolidated balance sheets are as follows (in thousands except for years):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r>
      <w:tr>
        <w:trPr>
          <w:trHeight w:val="171"/>
        </w:trPr>
        <w:tc>
          <w:tcPr>
            <w:tcW w:w="3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September 30, 2022</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r>
      <w:tr>
        <w:trPr>
          <w:trHeight w:val="160"/>
        </w:trPr>
        <w:tc>
          <w:tcPr>
            <w:tcW w:w="3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3"/>
                <w:szCs w:val="13"/>
                <w:color w:val="auto"/>
              </w:rPr>
            </w:pPr>
          </w:p>
        </w:tc>
        <w:tc>
          <w:tcPr>
            <w:tcW w:w="760" w:type="dxa"/>
            <w:vAlign w:val="bottom"/>
          </w:tcPr>
          <w:p>
            <w:pPr>
              <w:jc w:val="center"/>
              <w:ind w:right="55"/>
              <w:spacing w:after="0" w:line="160"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5"/>
              <w:spacing w:after="0" w:line="160"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0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rPr>
              <w:t>Amortization</w:t>
            </w:r>
          </w:p>
        </w:tc>
      </w:tr>
      <w:tr>
        <w:trPr>
          <w:trHeight w:val="162"/>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80" w:type="dxa"/>
            <w:vAlign w:val="bottom"/>
          </w:tcPr>
          <w:p>
            <w:pPr>
              <w:jc w:val="center"/>
              <w:ind w:right="55"/>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Period</w:t>
            </w:r>
          </w:p>
        </w:tc>
      </w:tr>
      <w:tr>
        <w:trPr>
          <w:trHeight w:val="171"/>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780" w:type="dxa"/>
            <w:vAlign w:val="bottom"/>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rPr>
              <w:t>(in years)</w:t>
            </w:r>
          </w:p>
        </w:tc>
      </w:tr>
      <w:tr>
        <w:trPr>
          <w:trHeight w:val="210"/>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Backlog</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251,455</w:t>
            </w: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(146,432)</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105,023</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169,455</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(126,637)</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42,818</w:t>
            </w:r>
          </w:p>
        </w:tc>
        <w:tc>
          <w:tcPr>
            <w:tcW w:w="1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338,829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(182,689)</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156,140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301,829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(158,405)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143,424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Leases</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Developed technology</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114,939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(109,135)</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113,939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(96,765)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17,174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(10,158)</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(8,444)</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Non-compete agreements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(4,221)</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(3,523)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 process research and development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n/a</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Other intangibles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09"/>
        </w:trPr>
        <w:tc>
          <w:tcPr>
            <w:tcW w:w="37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intangible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726,918</w:t>
            </w: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(453,476</w:t>
            </w:r>
          </w:p>
        </w:tc>
        <w:tc>
          <w:tcPr>
            <w:tcW w:w="200" w:type="dxa"/>
            <w:vAlign w:val="bottom"/>
            <w:tcBorders>
              <w:top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273,442</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602,418</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(394,597</w:t>
            </w:r>
          </w:p>
        </w:tc>
        <w:tc>
          <w:tcPr>
            <w:tcW w:w="180" w:type="dxa"/>
            <w:vAlign w:val="bottom"/>
            <w:tcBorders>
              <w:top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207,821</w:t>
            </w:r>
          </w:p>
        </w:tc>
        <w:tc>
          <w:tcPr>
            <w:tcW w:w="1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672"/>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0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4"/>
        </w:trPr>
        <w:tc>
          <w:tcPr>
            <w:tcW w:w="3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7" w:name="page18"/>
    <w:bookmarkEnd w:id="17"/>
    <w:p>
      <w:pPr>
        <w:ind w:right="160" w:firstLine="637"/>
        <w:spacing w:after="0" w:line="270" w:lineRule="auto"/>
        <w:rPr>
          <w:sz w:val="20"/>
          <w:szCs w:val="20"/>
          <w:color w:val="auto"/>
        </w:rPr>
      </w:pPr>
      <w:r>
        <w:rPr>
          <w:rFonts w:ascii="Arial" w:cs="Arial" w:eastAsia="Arial" w:hAnsi="Arial"/>
          <w:sz w:val="17"/>
          <w:szCs w:val="17"/>
          <w:color w:val="auto"/>
        </w:rPr>
        <w:t>The aggregate amortization expense of intangible assets for the three months ended September 30, 2022 and September 30, 2021 was $19.1 million and $27.0 million, respectively, and $58.9 million and $76.1 million for the nine months ended September 30, 2022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respectively.</w:t>
      </w:r>
    </w:p>
    <w:p>
      <w:pPr>
        <w:spacing w:after="0" w:line="216" w:lineRule="exact"/>
        <w:rPr>
          <w:sz w:val="20"/>
          <w:szCs w:val="20"/>
          <w:color w:val="auto"/>
        </w:rPr>
      </w:pPr>
    </w:p>
    <w:p>
      <w:pPr>
        <w:ind w:right="520" w:firstLine="637"/>
        <w:spacing w:after="0" w:line="271" w:lineRule="auto"/>
        <w:rPr>
          <w:sz w:val="20"/>
          <w:szCs w:val="20"/>
          <w:color w:val="auto"/>
        </w:rPr>
      </w:pPr>
      <w:r>
        <w:rPr>
          <w:rFonts w:ascii="Arial" w:cs="Arial" w:eastAsia="Arial" w:hAnsi="Arial"/>
          <w:sz w:val="18"/>
          <w:szCs w:val="18"/>
          <w:color w:val="auto"/>
        </w:rPr>
        <w:t>Estimated amortization expense for the remainder of the current fiscal year and in each of the next four years and beyond is as follows (in thousands):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2022</w:t>
            </w:r>
          </w:p>
        </w:tc>
      </w:tr>
      <w:tr>
        <w:trPr>
          <w:trHeight w:val="211"/>
        </w:trPr>
        <w:tc>
          <w:tcPr>
            <w:tcW w:w="8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19,314</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68,256</w:t>
            </w: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35,359</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29,818</w:t>
            </w: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26,238</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92,657</w:t>
            </w:r>
          </w:p>
        </w:tc>
        <w:tc>
          <w:tcPr>
            <w:tcW w:w="100" w:type="dxa"/>
            <w:vAlign w:val="bottom"/>
            <w:tcBorders>
              <w:bottom w:val="single" w:sz="8" w:color="CFF0FC"/>
            </w:tcBorders>
          </w:tcPr>
          <w:p>
            <w:pPr>
              <w:spacing w:after="0"/>
              <w:rPr>
                <w:sz w:val="18"/>
                <w:szCs w:val="18"/>
                <w:color w:val="auto"/>
              </w:rPr>
            </w:pPr>
          </w:p>
        </w:tc>
      </w:tr>
      <w:tr>
        <w:trPr>
          <w:trHeight w:val="209"/>
        </w:trPr>
        <w:tc>
          <w:tcPr>
            <w:tcW w:w="8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271,642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2"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September 30, 2022 and December 31, 2021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right"/>
              <w:ind w:right="416"/>
              <w:spacing w:after="0"/>
              <w:rPr>
                <w:sz w:val="20"/>
                <w:szCs w:val="20"/>
                <w:color w:val="auto"/>
              </w:rPr>
            </w:pPr>
            <w:r>
              <w:rPr>
                <w:rFonts w:ascii="Arial" w:cs="Arial" w:eastAsia="Arial" w:hAnsi="Arial"/>
                <w:sz w:val="14"/>
                <w:szCs w:val="14"/>
                <w:b w:val="1"/>
                <w:bCs w:val="1"/>
                <w:color w:val="auto"/>
              </w:rPr>
              <w:t>Useful life</w:t>
            </w:r>
          </w:p>
        </w:tc>
      </w:tr>
      <w:tr>
        <w:trPr>
          <w:trHeight w:val="171"/>
        </w:trPr>
        <w:tc>
          <w:tcPr>
            <w:tcW w:w="6040" w:type="dxa"/>
            <w:vAlign w:val="bottom"/>
          </w:tcPr>
          <w:p>
            <w:pPr>
              <w:spacing w:after="0"/>
              <w:rPr>
                <w:sz w:val="14"/>
                <w:szCs w:val="14"/>
                <w:color w:val="auto"/>
              </w:rPr>
            </w:pPr>
          </w:p>
        </w:tc>
        <w:tc>
          <w:tcPr>
            <w:tcW w:w="17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4"/>
                <w:szCs w:val="14"/>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2021</w:t>
            </w:r>
          </w:p>
        </w:tc>
        <w:tc>
          <w:tcPr>
            <w:tcW w:w="1660" w:type="dxa"/>
            <w:vAlign w:val="bottom"/>
          </w:tcPr>
          <w:p>
            <w:pPr>
              <w:jc w:val="right"/>
              <w:ind w:right="516"/>
              <w:spacing w:after="0"/>
              <w:rPr>
                <w:sz w:val="20"/>
                <w:szCs w:val="20"/>
                <w:color w:val="auto"/>
              </w:rPr>
            </w:pPr>
            <w:r>
              <w:rPr>
                <w:rFonts w:ascii="Arial" w:cs="Arial" w:eastAsia="Arial" w:hAnsi="Arial"/>
                <w:sz w:val="14"/>
                <w:szCs w:val="14"/>
                <w:b w:val="1"/>
                <w:bCs w:val="1"/>
                <w:color w:val="auto"/>
              </w:rPr>
              <w:t>(years)</w:t>
            </w:r>
          </w:p>
        </w:tc>
      </w:tr>
      <w:tr>
        <w:trPr>
          <w:trHeight w:val="210"/>
        </w:trPr>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Buildings and leasehold improvements</w:t>
            </w:r>
          </w:p>
        </w:tc>
        <w:tc>
          <w:tcPr>
            <w:tcW w:w="460" w:type="dxa"/>
            <w:vAlign w:val="bottom"/>
            <w:tcBorders>
              <w:top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102,527</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99,543</w:t>
            </w:r>
          </w:p>
        </w:tc>
        <w:tc>
          <w:tcPr>
            <w:tcW w:w="240" w:type="dxa"/>
            <w:vAlign w:val="bottom"/>
            <w:tcBorders>
              <w:top w:val="single" w:sz="8" w:color="CFF0FC"/>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87,685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86,862</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Computer systems and equipment</w:t>
            </w: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160,583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157,633</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Construction equipment</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6,806</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4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14,895</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12,970</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0"/>
        </w:trPr>
        <w:tc>
          <w:tcPr>
            <w:tcW w:w="6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371,880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363,814</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4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(277,362)</w:t>
            </w:r>
          </w:p>
        </w:tc>
        <w:tc>
          <w:tcPr>
            <w:tcW w:w="1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(259,618)</w:t>
            </w:r>
          </w:p>
        </w:tc>
        <w:tc>
          <w:tcPr>
            <w:tcW w:w="1660" w:type="dxa"/>
            <w:vAlign w:val="bottom"/>
            <w:shd w:val="clear" w:color="auto" w:fill="CFF0FC"/>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94,518</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104,196</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24" w:lineRule="exact"/>
        <w:rPr>
          <w:sz w:val="20"/>
          <w:szCs w:val="20"/>
          <w:color w:val="auto"/>
        </w:rPr>
      </w:pPr>
    </w:p>
    <w:p>
      <w:pPr>
        <w:ind w:right="240" w:firstLine="637"/>
        <w:spacing w:after="0" w:line="271" w:lineRule="auto"/>
        <w:rPr>
          <w:sz w:val="20"/>
          <w:szCs w:val="20"/>
          <w:color w:val="auto"/>
        </w:rPr>
      </w:pPr>
      <w:r>
        <w:rPr>
          <w:rFonts w:ascii="Arial" w:cs="Arial" w:eastAsia="Arial" w:hAnsi="Arial"/>
          <w:sz w:val="18"/>
          <w:szCs w:val="18"/>
          <w:color w:val="auto"/>
        </w:rPr>
        <w:t>Depreciation expense for the three months ended September 30, 2022 and September 30, 2021 was $9.7 million and $9.6 million, respectively, and $29.3 million and $28.8 million for the nine months ended September 30, 2022 and September 30, 2021, respectively.</w:t>
      </w:r>
    </w:p>
    <w:p>
      <w:pPr>
        <w:spacing w:after="0" w:line="289"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146050</wp:posOffset>
            </wp:positionV>
            <wp:extent cx="24428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5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4"/>
                <w:szCs w:val="14"/>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 2021</w:t>
            </w:r>
          </w:p>
        </w:tc>
      </w:tr>
      <w:tr>
        <w:trPr>
          <w:trHeight w:val="230"/>
        </w:trPr>
        <w:tc>
          <w:tcPr>
            <w:tcW w:w="6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w:t>
            </w:r>
          </w:p>
        </w:tc>
        <w:tc>
          <w:tcPr>
            <w:tcW w:w="160" w:type="dxa"/>
            <w:vAlign w:val="bottom"/>
            <w:tcBorders>
              <w:top w:val="single" w:sz="8" w:color="auto"/>
              <w:bottom w:val="single" w:sz="8" w:color="CFF0FC"/>
            </w:tcBorders>
            <w:shd w:val="clear" w:color="auto" w:fill="CFF0FC"/>
          </w:tcPr>
          <w:p>
            <w:pPr>
              <w:spacing w:after="0"/>
              <w:rPr>
                <w:sz w:val="20"/>
                <w:szCs w:val="20"/>
                <w:color w:val="auto"/>
              </w:rPr>
            </w:pPr>
          </w:p>
        </w:tc>
        <w:tc>
          <w:tcPr>
            <w:tcW w:w="1680" w:type="dxa"/>
            <w:vAlign w:val="bottom"/>
            <w:tcBorders>
              <w:top w:val="single" w:sz="8" w:color="auto"/>
              <w:bottom w:val="single" w:sz="8" w:color="CFF0FC"/>
            </w:tcBorders>
            <w:shd w:val="clear" w:color="auto" w:fill="CFF0FC"/>
          </w:tcPr>
          <w:p>
            <w:pPr>
              <w:spacing w:after="0"/>
              <w:rPr>
                <w:sz w:val="20"/>
                <w:szCs w:val="20"/>
                <w:color w:val="auto"/>
              </w:rPr>
            </w:pP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57"/>
        </w:trPr>
        <w:tc>
          <w:tcPr>
            <w:tcW w:w="6160" w:type="dxa"/>
            <w:vAlign w:val="bottom"/>
          </w:tcPr>
          <w:p>
            <w:pPr>
              <w:ind w:left="120"/>
              <w:spacing w:after="0"/>
              <w:rPr>
                <w:sz w:val="20"/>
                <w:szCs w:val="20"/>
                <w:color w:val="auto"/>
              </w:rPr>
            </w:pPr>
            <w:r>
              <w:rPr>
                <w:rFonts w:ascii="Arial" w:cs="Arial" w:eastAsia="Arial" w:hAnsi="Arial"/>
                <w:sz w:val="18"/>
                <w:szCs w:val="18"/>
                <w:color w:val="auto"/>
              </w:rPr>
              <w:t>Revolving credit facility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101,200</w:t>
            </w:r>
          </w:p>
        </w:tc>
        <w:tc>
          <w:tcPr>
            <w:tcW w:w="2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notes</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Convertible senior notes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8"/>
                <w:szCs w:val="18"/>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(6,482)</w:t>
            </w: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(8,078)</w:t>
            </w:r>
          </w:p>
        </w:tc>
      </w:tr>
      <w:tr>
        <w:trPr>
          <w:trHeight w:val="209"/>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w:t>
            </w:r>
          </w:p>
        </w:tc>
        <w:tc>
          <w:tcPr>
            <w:tcW w:w="1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694,718</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591,922</w:t>
            </w:r>
          </w:p>
        </w:tc>
        <w:tc>
          <w:tcPr>
            <w:tcW w:w="100" w:type="dxa"/>
            <w:vAlign w:val="bottom"/>
            <w:tcBorders>
              <w:bottom w:val="single" w:sz="8" w:color="CFF0FC"/>
            </w:tcBorders>
          </w:tcPr>
          <w:p>
            <w:pPr>
              <w:spacing w:after="0"/>
              <w:rPr>
                <w:sz w:val="18"/>
                <w:szCs w:val="18"/>
                <w:color w:val="auto"/>
              </w:rPr>
            </w:pPr>
          </w:p>
        </w:tc>
      </w:tr>
      <w:tr>
        <w:trPr>
          <w:trHeight w:val="250"/>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694,718</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591,922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331" w:lineRule="exact"/>
        <w:rPr>
          <w:sz w:val="20"/>
          <w:szCs w:val="20"/>
          <w:color w:val="auto"/>
        </w:rPr>
      </w:pPr>
    </w:p>
    <w:p>
      <w:pPr>
        <w:ind w:right="140" w:firstLine="644"/>
        <w:spacing w:after="0" w:line="253" w:lineRule="auto"/>
        <w:rPr>
          <w:sz w:val="20"/>
          <w:szCs w:val="20"/>
          <w:color w:val="auto"/>
        </w:rPr>
      </w:pPr>
      <w:r>
        <w:rPr>
          <w:rFonts w:ascii="Arial" w:cs="Arial" w:eastAsia="Arial" w:hAnsi="Arial"/>
          <w:sz w:val="18"/>
          <w:szCs w:val="18"/>
          <w:color w:val="auto"/>
        </w:rPr>
        <w:t>In June 2021, the Company entered into a $650 million unsecured revolving credit facility (the “Credit Agreement”). The Company incurred $1.9 million of costs in connection with this Credit Agreement. The 2021 Credit Agreement replaced an existing Fifth Amended and Restated Credit Agreement dated as of November 15, 2017. Under the new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ind w:right="20"/>
        <w:spacing w:after="0" w:line="263" w:lineRule="auto"/>
        <w:rPr>
          <w:sz w:val="20"/>
          <w:szCs w:val="20"/>
          <w:color w:val="auto"/>
        </w:rPr>
      </w:pPr>
      <w:r>
        <w:rPr>
          <w:rFonts w:ascii="Arial" w:cs="Arial" w:eastAsia="Arial" w:hAnsi="Arial"/>
          <w:sz w:val="17"/>
          <w:szCs w:val="17"/>
          <w:color w:val="auto"/>
        </w:rPr>
        <w:t>agreement, the Company’s revolving credit facility was increased from $550 million to $650 million. The credit facility has a five-year maturity, which may be extended up to two times for periods determined by the Company and the applicable extending lenders, and permits the Company to borrow in U.S. dollars, certain specified foreign currencies, and each other currency that may be approved in accordance with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2021 Facility. The borrowings under the Credit Agreement bear interest at either an adjusted Term SOFR benchmark rate plus a margin</w:t>
      </w:r>
    </w:p>
    <w:p>
      <w:pPr>
        <w:spacing w:after="0" w:line="27"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between 1.0% and 1.625% or a base rate (as defined in the Credit Agreement) plus a margin of between 0% and 0.625%. The rates on September 30, 2022 and December 31, 2021 were 4.46% and 1.36%, respectively. Borrowings under this Credit Agreement are guaranteed by certain Company operating subsidiaries. Letters of credit commitments outstanding under this agreement aggregated to $44.5 million and $44.3 million at September 30, 2022 and December 31, 2021, respectively, which reduced borrowing limits available to the Company.</w:t>
      </w:r>
    </w:p>
    <w:p>
      <w:pPr>
        <w:spacing w:after="0" w:line="1" w:lineRule="exact"/>
        <w:rPr>
          <w:sz w:val="20"/>
          <w:szCs w:val="20"/>
          <w:color w:val="auto"/>
        </w:rPr>
      </w:pPr>
    </w:p>
    <w:p>
      <w:pPr>
        <w:jc w:val="both"/>
        <w:ind w:right="460"/>
        <w:spacing w:after="0" w:line="248" w:lineRule="auto"/>
        <w:rPr>
          <w:sz w:val="20"/>
          <w:szCs w:val="20"/>
          <w:color w:val="auto"/>
        </w:rPr>
      </w:pPr>
      <w:r>
        <w:rPr>
          <w:rFonts w:ascii="Arial" w:cs="Arial" w:eastAsia="Arial" w:hAnsi="Arial"/>
          <w:sz w:val="18"/>
          <w:szCs w:val="18"/>
          <w:color w:val="auto"/>
        </w:rPr>
        <w:t>Interest expense related to the Credit Agreement was $ 2.5 million and $0.1 million for the three months ended September 30, 2022 and September 30, 2021, respectively and was $3.4 million and $0.6 million for nine months ended September 30, 2022 and September 30, 2021, respectively. The Company borrowed $300.0 million to partially fund the acquisition of Xator on May 31, 2022. There was $101.2 million outstanding under the Credit Agreement on September 30, 2022.</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Delayed Draw Term Loan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September 2022, the Company entered into a $350 million unsecured delayed draw term loan with an increase option of up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 million (the “2022 Delayed Draw Term Loan”). The 2022 Delayed Draw Term Loan may be borrowed in a single draw during the period</w:t>
      </w:r>
    </w:p>
    <w:p>
      <w:pPr>
        <w:spacing w:after="0" w:line="234" w:lineRule="auto"/>
        <w:rPr>
          <w:sz w:val="20"/>
          <w:szCs w:val="20"/>
          <w:color w:val="auto"/>
        </w:rPr>
      </w:pPr>
      <w:r>
        <w:rPr>
          <w:rFonts w:ascii="Arial" w:cs="Arial" w:eastAsia="Arial" w:hAnsi="Arial"/>
          <w:sz w:val="18"/>
          <w:szCs w:val="18"/>
          <w:color w:val="auto"/>
        </w:rPr>
        <w:t>from and including the Closing Date to the earlier to occur of (a) the date of termination of the 2022 Delayed Draw Term Loan by the</w:t>
      </w:r>
    </w:p>
    <w:p>
      <w:pPr>
        <w:spacing w:after="0" w:line="235" w:lineRule="auto"/>
        <w:rPr>
          <w:sz w:val="20"/>
          <w:szCs w:val="20"/>
          <w:color w:val="auto"/>
        </w:rPr>
      </w:pPr>
      <w:r>
        <w:rPr>
          <w:rFonts w:ascii="Arial" w:cs="Arial" w:eastAsia="Arial" w:hAnsi="Arial"/>
          <w:sz w:val="18"/>
          <w:szCs w:val="18"/>
          <w:color w:val="auto"/>
        </w:rPr>
        <w:t>Company pursuant to the terms of the 2022 Delayed Draw Term Loan Agreement and (b) six (6) months following the Closing Date.</w:t>
      </w:r>
    </w:p>
    <w:p>
      <w:pPr>
        <w:spacing w:after="0" w:line="235" w:lineRule="auto"/>
        <w:rPr>
          <w:sz w:val="20"/>
          <w:szCs w:val="20"/>
          <w:color w:val="auto"/>
        </w:rPr>
      </w:pPr>
      <w:r>
        <w:rPr>
          <w:rFonts w:ascii="Arial" w:cs="Arial" w:eastAsia="Arial" w:hAnsi="Arial"/>
          <w:sz w:val="18"/>
          <w:szCs w:val="18"/>
          <w:color w:val="auto"/>
        </w:rPr>
        <w:t>Proceeds of the 2022 Delayed Draw Term Loan Agreement may be used (a) to pay off in full, or partially payoff, the Company’s existing</w:t>
      </w:r>
    </w:p>
    <w:p>
      <w:pPr>
        <w:spacing w:after="0" w:line="235" w:lineRule="auto"/>
        <w:rPr>
          <w:sz w:val="20"/>
          <w:szCs w:val="20"/>
          <w:color w:val="auto"/>
        </w:rPr>
      </w:pPr>
      <w:r>
        <w:rPr>
          <w:rFonts w:ascii="Arial" w:cs="Arial" w:eastAsia="Arial" w:hAnsi="Arial"/>
          <w:sz w:val="18"/>
          <w:szCs w:val="18"/>
          <w:color w:val="auto"/>
        </w:rPr>
        <w:t>Senior Notes, (b) to prepay revolving loans outstanding under the Revolving Credit Agreement (as defined below), or (c) for working capital,</w:t>
      </w:r>
    </w:p>
    <w:p>
      <w:pPr>
        <w:spacing w:after="0" w:line="235" w:lineRule="auto"/>
        <w:rPr>
          <w:sz w:val="20"/>
          <w:szCs w:val="20"/>
          <w:color w:val="auto"/>
        </w:rPr>
      </w:pPr>
      <w:r>
        <w:rPr>
          <w:rFonts w:ascii="Arial" w:cs="Arial" w:eastAsia="Arial" w:hAnsi="Arial"/>
          <w:sz w:val="18"/>
          <w:szCs w:val="18"/>
          <w:color w:val="auto"/>
        </w:rPr>
        <w:t>capital expenditures and other lawful corporate purposes. No amounts were funded under the 2022 Delayed Draw Term Loan Agreement on</w:t>
      </w:r>
    </w:p>
    <w:p>
      <w:pPr>
        <w:spacing w:after="0" w:line="234" w:lineRule="auto"/>
        <w:rPr>
          <w:sz w:val="20"/>
          <w:szCs w:val="20"/>
          <w:color w:val="auto"/>
        </w:rPr>
      </w:pPr>
      <w:r>
        <w:rPr>
          <w:rFonts w:ascii="Arial" w:cs="Arial" w:eastAsia="Arial" w:hAnsi="Arial"/>
          <w:sz w:val="18"/>
          <w:szCs w:val="18"/>
          <w:color w:val="auto"/>
        </w:rPr>
        <w:t>the Closing Date. The Company incurred $0.9 million of debt issuance costs in connection with the delayed draw term loan as of September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30, 2022. There were no amounts outstanding under the 2022 Delayed Draw Term Loan as of September 30, 2022.</w:t>
      </w:r>
    </w:p>
    <w:p>
      <w:pPr>
        <w:spacing w:after="0" w:line="194" w:lineRule="exact"/>
        <w:rPr>
          <w:sz w:val="20"/>
          <w:szCs w:val="20"/>
          <w:color w:val="auto"/>
        </w:rPr>
      </w:pPr>
    </w:p>
    <w:p>
      <w:pPr>
        <w:ind w:right="40" w:firstLine="644"/>
        <w:spacing w:after="0"/>
        <w:rPr>
          <w:sz w:val="20"/>
          <w:szCs w:val="20"/>
          <w:color w:val="auto"/>
        </w:rPr>
      </w:pPr>
      <w:r>
        <w:rPr>
          <w:rFonts w:ascii="Arial" w:cs="Arial" w:eastAsia="Arial" w:hAnsi="Arial"/>
          <w:sz w:val="18"/>
          <w:szCs w:val="18"/>
          <w:color w:val="auto"/>
        </w:rPr>
        <w:t>The 2022 Delayed Draw Term Loan has a three-year maturity and permits the Company to borrow in U.S. dollars. The 2022 Delayed Draw Term Loan does not require any amortization payments by the Company. Depending on the Company’s consolidated leverage ratio (or debt rating after such time as the Company has such rating),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Amounts outstanding under the 2022 Delayed Draw Term Loan Agreement may be prepaid at the option of the Company without premium or penalty, subject to customary breakage fees in connection with the prepayment of benchmark rate loans.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102" w:lineRule="exact"/>
        <w:rPr>
          <w:sz w:val="20"/>
          <w:szCs w:val="20"/>
          <w:color w:val="auto"/>
        </w:rPr>
      </w:pPr>
    </w:p>
    <w:p>
      <w:pPr>
        <w:ind w:right="140" w:firstLine="637"/>
        <w:spacing w:after="0" w:line="271" w:lineRule="auto"/>
        <w:rPr>
          <w:sz w:val="20"/>
          <w:szCs w:val="20"/>
          <w:color w:val="auto"/>
        </w:rPr>
      </w:pPr>
      <w:r>
        <w:rPr>
          <w:rFonts w:ascii="Arial" w:cs="Arial" w:eastAsia="Arial" w:hAnsi="Arial"/>
          <w:sz w:val="18"/>
          <w:szCs w:val="18"/>
          <w:color w:val="auto"/>
        </w:rPr>
        <w:t>On July 1, 2014, the Company finalized a private placement whereby the Company raised an aggregate amount of $250.0 million in debt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Tranche</w:t>
            </w:r>
          </w:p>
        </w:tc>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Debt Amount</w:t>
            </w:r>
          </w:p>
        </w:tc>
        <w:tc>
          <w:tcPr>
            <w:tcW w:w="1860" w:type="dxa"/>
            <w:vAlign w:val="bottom"/>
            <w:gridSpan w:val="2"/>
          </w:tcPr>
          <w:p>
            <w:pPr>
              <w:ind w:left="380"/>
              <w:spacing w:after="0"/>
              <w:rPr>
                <w:sz w:val="20"/>
                <w:szCs w:val="20"/>
                <w:color w:val="auto"/>
              </w:rPr>
            </w:pPr>
            <w:r>
              <w:rPr>
                <w:rFonts w:ascii="Arial" w:cs="Arial" w:eastAsia="Arial" w:hAnsi="Arial"/>
                <w:sz w:val="14"/>
                <w:szCs w:val="14"/>
                <w:b w:val="1"/>
                <w:bCs w:val="1"/>
                <w:color w:val="auto"/>
              </w:rPr>
              <w:t>Maturity Date</w:t>
            </w:r>
          </w:p>
        </w:tc>
        <w:tc>
          <w:tcPr>
            <w:tcW w:w="1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Interest Rates</w:t>
            </w:r>
          </w:p>
        </w:tc>
        <w:tc>
          <w:tcPr>
            <w:tcW w:w="0" w:type="dxa"/>
            <w:vAlign w:val="bottom"/>
          </w:tcPr>
          <w:p>
            <w:pPr>
              <w:spacing w:after="0"/>
              <w:rPr>
                <w:sz w:val="1"/>
                <w:szCs w:val="1"/>
                <w:color w:val="auto"/>
              </w:rPr>
            </w:pPr>
          </w:p>
        </w:tc>
      </w:tr>
      <w:tr>
        <w:trPr>
          <w:trHeight w:val="20"/>
        </w:trPr>
        <w:tc>
          <w:tcPr>
            <w:tcW w:w="580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Senior Note, Series A</w:t>
            </w: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50,000</w:t>
            </w:r>
          </w:p>
        </w:tc>
        <w:tc>
          <w:tcPr>
            <w:tcW w:w="260" w:type="dxa"/>
            <w:vAlign w:val="bottom"/>
            <w:vMerge w:val="continue"/>
            <w:shd w:val="clear" w:color="auto" w:fill="CFF0FC"/>
          </w:tcPr>
          <w:p>
            <w:pPr>
              <w:spacing w:after="0"/>
              <w:rPr>
                <w:sz w:val="17"/>
                <w:szCs w:val="17"/>
                <w:color w:val="auto"/>
              </w:rPr>
            </w:pPr>
          </w:p>
        </w:tc>
        <w:tc>
          <w:tcPr>
            <w:tcW w:w="1700" w:type="dxa"/>
            <w:vAlign w:val="bottom"/>
            <w:shd w:val="clear" w:color="auto" w:fill="CFF0FC"/>
          </w:tcPr>
          <w:p>
            <w:pPr>
              <w:ind w:left="620"/>
              <w:spacing w:after="0" w:line="203" w:lineRule="exact"/>
              <w:rPr>
                <w:sz w:val="20"/>
                <w:szCs w:val="20"/>
                <w:color w:val="auto"/>
              </w:rPr>
            </w:pPr>
            <w:r>
              <w:rPr>
                <w:rFonts w:ascii="Arial" w:cs="Arial" w:eastAsia="Arial" w:hAnsi="Arial"/>
                <w:sz w:val="18"/>
                <w:szCs w:val="18"/>
                <w:color w:val="auto"/>
                <w:w w:val="98"/>
              </w:rPr>
              <w:t>July 15, 2021</w:t>
            </w:r>
          </w:p>
        </w:tc>
        <w:tc>
          <w:tcPr>
            <w:tcW w:w="160" w:type="dxa"/>
            <w:vAlign w:val="bottom"/>
            <w:vMerge w:val="continue"/>
            <w:shd w:val="clear" w:color="auto" w:fill="CFF0FC"/>
          </w:tcPr>
          <w:p>
            <w:pPr>
              <w:spacing w:after="0"/>
              <w:rPr>
                <w:sz w:val="17"/>
                <w:szCs w:val="17"/>
                <w:color w:val="auto"/>
              </w:rPr>
            </w:pPr>
          </w:p>
        </w:tc>
        <w:tc>
          <w:tcPr>
            <w:tcW w:w="17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Senior Note, Series B</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1860" w:type="dxa"/>
            <w:vAlign w:val="bottom"/>
            <w:gridSpan w:val="2"/>
          </w:tcPr>
          <w:p>
            <w:pPr>
              <w:ind w:left="620"/>
              <w:spacing w:after="0"/>
              <w:rPr>
                <w:sz w:val="20"/>
                <w:szCs w:val="20"/>
                <w:color w:val="auto"/>
              </w:rPr>
            </w:pPr>
            <w:r>
              <w:rPr>
                <w:rFonts w:ascii="Arial" w:cs="Arial" w:eastAsia="Arial" w:hAnsi="Arial"/>
                <w:sz w:val="18"/>
                <w:szCs w:val="18"/>
                <w:color w:val="auto"/>
              </w:rPr>
              <w:t>July 15, 2024</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Note, Series C</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July 15, 2026</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9"/>
        </w:trPr>
        <w:tc>
          <w:tcPr>
            <w:tcW w:w="5800" w:type="dxa"/>
            <w:vAlign w:val="bottom"/>
            <w:gridSpan w:val="2"/>
          </w:tcPr>
          <w:p>
            <w:pPr>
              <w:spacing w:after="0"/>
              <w:rPr>
                <w:sz w:val="20"/>
                <w:szCs w:val="20"/>
                <w:color w:val="auto"/>
              </w:rPr>
            </w:pPr>
            <w:r>
              <w:rPr>
                <w:rFonts w:ascii="Arial" w:cs="Arial" w:eastAsia="Arial" w:hAnsi="Arial"/>
                <w:sz w:val="18"/>
                <w:szCs w:val="18"/>
                <w:color w:val="auto"/>
              </w:rPr>
              <w:t>Senior Note, Series D</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20"/>
                <w:szCs w:val="20"/>
                <w:color w:val="auto"/>
              </w:rPr>
            </w:pPr>
          </w:p>
        </w:tc>
        <w:tc>
          <w:tcPr>
            <w:tcW w:w="1860" w:type="dxa"/>
            <w:vAlign w:val="bottom"/>
            <w:gridSpan w:val="2"/>
          </w:tcPr>
          <w:p>
            <w:pPr>
              <w:ind w:left="620"/>
              <w:spacing w:after="0"/>
              <w:rPr>
                <w:sz w:val="20"/>
                <w:szCs w:val="20"/>
                <w:color w:val="auto"/>
              </w:rPr>
            </w:pPr>
            <w:r>
              <w:rPr>
                <w:rFonts w:ascii="Arial" w:cs="Arial" w:eastAsia="Arial" w:hAnsi="Arial"/>
                <w:sz w:val="18"/>
                <w:szCs w:val="18"/>
                <w:color w:val="auto"/>
              </w:rPr>
              <w:t>July 15, 2029</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60" w:firstLine="644"/>
        <w:spacing w:after="0" w:line="241" w:lineRule="auto"/>
        <w:rPr>
          <w:sz w:val="20"/>
          <w:szCs w:val="20"/>
          <w:color w:val="auto"/>
        </w:rPr>
      </w:pPr>
      <w:r>
        <w:rPr>
          <w:rFonts w:ascii="Arial" w:cs="Arial" w:eastAsia="Arial" w:hAnsi="Arial"/>
          <w:sz w:val="18"/>
          <w:szCs w:val="18"/>
          <w:color w:val="auto"/>
        </w:rPr>
        <w:t>The Company incurred $1.1 million of debt issuance costs in connection with the private placement. On August 10, 2018, the Company finalized an amended and restated intercreditor agreement related to this private placement to more closely align certain covenants and definitions with the terms under the 2017 amended and restated Credit Agreement and incurred $0.5 million of additional issuance costs. These costs are presented as a direct deduction from the debt on the face of the consolidated balance sheets. Interest expense related to the Senior Notes for the three months ended September 30, 2022 and September 30, 2021 was $2.6 million and $2.7 million, respectively, and was $7.8 million and $8.9 million for the nine months ended September 30, 2022 and September 30, 2021,</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respectively. The amortization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line="242" w:lineRule="auto"/>
        <w:rPr>
          <w:sz w:val="20"/>
          <w:szCs w:val="20"/>
          <w:color w:val="auto"/>
        </w:rPr>
      </w:pPr>
      <w:r>
        <w:rPr>
          <w:rFonts w:ascii="Arial" w:cs="Arial" w:eastAsia="Arial" w:hAnsi="Arial"/>
          <w:sz w:val="18"/>
          <w:szCs w:val="18"/>
          <w:color w:val="auto"/>
        </w:rPr>
        <w:t>debt issuance costs and interest expense is recorded in “Interest expense” on the consolidated statements of income. The Company paid the $50 million Series A tranche of the Senior Note as scheduled in July 2021. The Company made interest payments of $5.1 million for the three months ended September 30, 2022 and $10.2 million for the nine months ended September 30, 2022, and $6.2 million for the three months ended September 30, 2021 and $12.4 million for the nine months ended September 30, 2021. Interest payable of $2.2 million and $4.7 million is recorded in “Accrued expenses and other current liabilities” on the consolidated balance sheets at September 30, 2022 and December 31, 2021, respectively, related to the Senior Notes.</w:t>
      </w:r>
    </w:p>
    <w:p>
      <w:pPr>
        <w:spacing w:after="0" w:line="179" w:lineRule="exact"/>
        <w:rPr>
          <w:sz w:val="20"/>
          <w:szCs w:val="20"/>
          <w:color w:val="auto"/>
        </w:rPr>
      </w:pPr>
    </w:p>
    <w:p>
      <w:pPr>
        <w:jc w:val="both"/>
        <w:ind w:right="80" w:firstLine="644"/>
        <w:spacing w:after="0" w:line="253" w:lineRule="auto"/>
        <w:rPr>
          <w:sz w:val="20"/>
          <w:szCs w:val="20"/>
          <w:color w:val="auto"/>
        </w:rPr>
      </w:pPr>
      <w:r>
        <w:rPr>
          <w:rFonts w:ascii="Arial" w:cs="Arial" w:eastAsia="Arial" w:hAnsi="Arial"/>
          <w:sz w:val="18"/>
          <w:szCs w:val="18"/>
          <w:color w:val="auto"/>
        </w:rPr>
        <w:t>Using a discounted cash flow technique that incorporates a market interest yield curve with adjustments for duration, optionality, and risk profile, the Company estimated that the fair value (Level 2) of its Senior Notes at September 30, 2022 approximates $203.5 million. See “Note 16 – Fair Value of Financial Instruments” for the definition of Level 2 of the fair value hierarchy.</w:t>
      </w:r>
    </w:p>
    <w:p>
      <w:pPr>
        <w:spacing w:after="0" w:line="169" w:lineRule="exact"/>
        <w:rPr>
          <w:sz w:val="20"/>
          <w:szCs w:val="20"/>
          <w:color w:val="auto"/>
        </w:rPr>
      </w:pPr>
    </w:p>
    <w:p>
      <w:pPr>
        <w:ind w:right="100" w:firstLine="644"/>
        <w:spacing w:after="0" w:line="253" w:lineRule="auto"/>
        <w:rPr>
          <w:sz w:val="20"/>
          <w:szCs w:val="20"/>
          <w:color w:val="auto"/>
        </w:rPr>
      </w:pPr>
      <w:r>
        <w:rPr>
          <w:rFonts w:ascii="Arial" w:cs="Arial" w:eastAsia="Arial" w:hAnsi="Arial"/>
          <w:sz w:val="18"/>
          <w:szCs w:val="18"/>
          <w:color w:val="auto"/>
        </w:rPr>
        <w:t>The Credit Agreement and private placement includes various covenants, including restrictions on indebtedness, liens, acquisitions, investments or dispositions, payment of dividends and maintenance of certain financial ratios and conditions. The Company was in compliance with these covenants at September 30, 2022 and December 31, 2021.</w:t>
      </w:r>
    </w:p>
    <w:p>
      <w:pPr>
        <w:spacing w:after="0" w:line="169" w:lineRule="exact"/>
        <w:rPr>
          <w:sz w:val="20"/>
          <w:szCs w:val="20"/>
          <w:color w:val="auto"/>
        </w:rPr>
      </w:pPr>
    </w:p>
    <w:p>
      <w:pPr>
        <w:ind w:right="300" w:firstLine="644"/>
        <w:spacing w:after="0" w:line="253" w:lineRule="auto"/>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$239.8 million and $223.0 million at September 30, 2022 and December 31, 2021, respectively.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02" w:lineRule="exact"/>
        <w:rPr>
          <w:sz w:val="20"/>
          <w:szCs w:val="20"/>
          <w:color w:val="auto"/>
        </w:rPr>
      </w:pPr>
    </w:p>
    <w:p>
      <w:pPr>
        <w:ind w:right="60" w:firstLine="644"/>
        <w:spacing w:after="0" w:line="244" w:lineRule="auto"/>
        <w:rPr>
          <w:sz w:val="20"/>
          <w:szCs w:val="20"/>
          <w:color w:val="auto"/>
        </w:rPr>
      </w:pPr>
      <w:r>
        <w:rPr>
          <w:rFonts w:ascii="Arial" w:cs="Arial" w:eastAsia="Arial" w:hAnsi="Arial"/>
          <w:sz w:val="18"/>
          <w:szCs w:val="18"/>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$ 389.7 million, net of $10.3 million of transaction fees and other third-party offering expenses. The Convertible Senior Notes accrue interest at a rate of 0.25% per annum, payable semi-annually on February 15 and August 15 of each year beginning on February 15, 2021, and will mature on August 15, 2025, unless earlier repurchased, redeemed or converted.</w:t>
      </w:r>
    </w:p>
    <w:p>
      <w:pPr>
        <w:spacing w:after="0" w:line="176" w:lineRule="exact"/>
        <w:rPr>
          <w:sz w:val="20"/>
          <w:szCs w:val="20"/>
          <w:color w:val="auto"/>
        </w:rPr>
      </w:pPr>
    </w:p>
    <w:p>
      <w:pPr>
        <w:ind w:right="120" w:firstLine="644"/>
        <w:spacing w:after="0" w:line="244" w:lineRule="auto"/>
        <w:rPr>
          <w:sz w:val="20"/>
          <w:szCs w:val="20"/>
          <w:color w:val="auto"/>
        </w:rPr>
      </w:pPr>
      <w:r>
        <w:rPr>
          <w:rFonts w:ascii="Arial" w:cs="Arial" w:eastAsia="Arial" w:hAnsi="Arial"/>
          <w:sz w:val="18"/>
          <w:szCs w:val="18"/>
          <w:color w:val="auto"/>
        </w:rPr>
        <w:t>The Convertible Senior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spacing w:after="0" w:line="176" w:lineRule="exact"/>
        <w:rPr>
          <w:sz w:val="20"/>
          <w:szCs w:val="20"/>
          <w:color w:val="auto"/>
        </w:rPr>
      </w:pPr>
    </w:p>
    <w:p>
      <w:pPr>
        <w:ind w:right="60" w:firstLine="644"/>
        <w:spacing w:after="0" w:line="247" w:lineRule="auto"/>
        <w:rPr>
          <w:sz w:val="20"/>
          <w:szCs w:val="20"/>
          <w:color w:val="auto"/>
        </w:rPr>
      </w:pPr>
      <w:r>
        <w:rPr>
          <w:rFonts w:ascii="Arial" w:cs="Arial" w:eastAsia="Arial" w:hAnsi="Arial"/>
          <w:sz w:val="18"/>
          <w:szCs w:val="18"/>
          <w:color w:val="auto"/>
        </w:rPr>
        <w:t>Each $1,000 of principal of the Notes will initially be convertible into 22.2913 shares of our common stock, which is equivalent to an initial conversion price of $44.86 per share, subject to adjustment upon the occurrence of specified events. On or after March 15, 2025 until the close of business on the second scheduled trading day immediately preceding the maturity date of the Convertible Senior Notes, holders may convert all or a portion of their Convertible Senior Notes, regardless of the conditions below.</w:t>
      </w:r>
    </w:p>
    <w:p>
      <w:pPr>
        <w:spacing w:after="0" w:line="174" w:lineRule="exact"/>
        <w:rPr>
          <w:sz w:val="20"/>
          <w:szCs w:val="20"/>
          <w:color w:val="auto"/>
        </w:rPr>
      </w:pPr>
    </w:p>
    <w:p>
      <w:pPr>
        <w:ind w:right="80" w:firstLine="644"/>
        <w:spacing w:after="0" w:line="271" w:lineRule="auto"/>
        <w:rPr>
          <w:sz w:val="20"/>
          <w:szCs w:val="20"/>
          <w:color w:val="auto"/>
        </w:rPr>
      </w:pPr>
      <w:r>
        <w:rPr>
          <w:rFonts w:ascii="Arial" w:cs="Arial" w:eastAsia="Arial" w:hAnsi="Arial"/>
          <w:sz w:val="18"/>
          <w:szCs w:val="18"/>
          <w:color w:val="auto"/>
        </w:rPr>
        <w:t>Prior to the close of business on the business day immediately preceding March 15, 2025, the Notes will be convertible at the option of the holders thereof only under the following circumstances:</w:t>
      </w:r>
    </w:p>
    <w:p>
      <w:pPr>
        <w:spacing w:after="0" w:line="154" w:lineRule="exact"/>
        <w:rPr>
          <w:sz w:val="20"/>
          <w:szCs w:val="20"/>
          <w:color w:val="auto"/>
        </w:rPr>
      </w:pPr>
    </w:p>
    <w:p>
      <w:pPr>
        <w:ind w:left="1380" w:right="100" w:hanging="360"/>
        <w:spacing w:after="0" w:line="246" w:lineRule="auto"/>
        <w:tabs>
          <w:tab w:leader="none" w:pos="13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December 31, 2021,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6" w:lineRule="exact"/>
        <w:rPr>
          <w:rFonts w:ascii="Times New Roman" w:cs="Times New Roman" w:eastAsia="Times New Roman" w:hAnsi="Times New Roman"/>
          <w:sz w:val="18"/>
          <w:szCs w:val="18"/>
          <w:color w:val="auto"/>
        </w:rPr>
      </w:pPr>
    </w:p>
    <w:p>
      <w:pPr>
        <w:ind w:left="1380" w:right="540" w:hanging="360"/>
        <w:spacing w:after="0" w:line="270" w:lineRule="auto"/>
        <w:tabs>
          <w:tab w:leader="none" w:pos="13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per $1,000 principal amount of Convertible Senior Notes for such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3" w:right="359" w:bottom="1440" w:gutter="0" w:footer="0" w:header="0"/>
        </w:sectPr>
      </w:pPr>
    </w:p>
    <w:bookmarkStart w:id="20" w:name="page21"/>
    <w:bookmarkEnd w:id="20"/>
    <w:p>
      <w:pPr>
        <w:ind w:left="1380" w:right="580"/>
        <w:spacing w:after="0" w:line="271" w:lineRule="auto"/>
        <w:rPr>
          <w:sz w:val="20"/>
          <w:szCs w:val="20"/>
          <w:color w:val="auto"/>
        </w:rPr>
      </w:pPr>
      <w:r>
        <w:rPr>
          <w:rFonts w:ascii="Arial" w:cs="Arial" w:eastAsia="Arial" w:hAnsi="Arial"/>
          <w:sz w:val="18"/>
          <w:szCs w:val="18"/>
          <w:color w:val="auto"/>
        </w:rPr>
        <w:t>trading day was less than 98% of the product of the last reported sale price of the Company’s common stock and the conversion rate on each such trading day;</w:t>
      </w:r>
    </w:p>
    <w:p>
      <w:pPr>
        <w:spacing w:after="0" w:line="154" w:lineRule="exact"/>
        <w:rPr>
          <w:sz w:val="20"/>
          <w:szCs w:val="20"/>
          <w:color w:val="auto"/>
        </w:rPr>
      </w:pPr>
    </w:p>
    <w:p>
      <w:pPr>
        <w:ind w:left="1380" w:hanging="360"/>
        <w:spacing w:after="0"/>
        <w:tabs>
          <w:tab w:leader="none" w:pos="13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Convertible Senior Notes for redemption; or</w:t>
      </w:r>
    </w:p>
    <w:p>
      <w:pPr>
        <w:spacing w:after="0" w:line="251"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51" w:lineRule="exact"/>
        <w:rPr>
          <w:sz w:val="20"/>
          <w:szCs w:val="20"/>
          <w:color w:val="auto"/>
        </w:rPr>
      </w:pPr>
    </w:p>
    <w:p>
      <w:pPr>
        <w:ind w:right="60" w:firstLine="644"/>
        <w:spacing w:after="0" w:line="242" w:lineRule="auto"/>
        <w:rPr>
          <w:sz w:val="20"/>
          <w:szCs w:val="20"/>
          <w:color w:val="auto"/>
        </w:rPr>
      </w:pPr>
      <w:r>
        <w:rPr>
          <w:rFonts w:ascii="Arial" w:cs="Arial" w:eastAsia="Arial" w:hAnsi="Arial"/>
          <w:sz w:val="18"/>
          <w:szCs w:val="18"/>
          <w:color w:val="auto"/>
        </w:rPr>
        <w:t>The Company may redeem all or any portion of the Convertible Senior Notes for cash, at its option, on or after August 21, 2023 and before the 51</w:t>
      </w:r>
      <w:r>
        <w:rPr>
          <w:rFonts w:ascii="Arial" w:cs="Arial" w:eastAsia="Arial" w:hAnsi="Arial"/>
          <w:sz w:val="15"/>
          <w:szCs w:val="15"/>
          <w:color w:val="auto"/>
        </w:rPr>
        <w:t>st</w:t>
      </w:r>
      <w:r>
        <w:rPr>
          <w:rFonts w:ascii="Arial" w:cs="Arial" w:eastAsia="Arial" w:hAnsi="Arial"/>
          <w:sz w:val="18"/>
          <w:szCs w:val="18"/>
          <w:color w:val="auto"/>
        </w:rPr>
        <w:t xml:space="preserve"> scheduled trading day immediately before the maturity date at a redemption price equal to 100% of the principal amount of the Notes to be redeemed, plus accrued and unpaid interest, but only if the last reported sale price per share of the Company’s common stock exceeds 130% of the conversion price for a specified period of time. In addition, calling any Convertible Senior Note for redemption will constitute a Make-Whole Fundamental Change with respect to that Convertible Senior Note, in which case the conversion rate applicable to the conversion of that Convertible Senior Note will be increased in certain circumstances if it is converted after it is called for redemption.</w:t>
      </w:r>
    </w:p>
    <w:p>
      <w:pPr>
        <w:spacing w:after="0" w:line="179" w:lineRule="exact"/>
        <w:rPr>
          <w:sz w:val="20"/>
          <w:szCs w:val="20"/>
          <w:color w:val="auto"/>
        </w:rPr>
      </w:pPr>
    </w:p>
    <w:p>
      <w:pPr>
        <w:ind w:firstLine="644"/>
        <w:spacing w:after="0" w:line="247" w:lineRule="auto"/>
        <w:rPr>
          <w:sz w:val="20"/>
          <w:szCs w:val="20"/>
          <w:color w:val="auto"/>
        </w:rPr>
      </w:pPr>
      <w:r>
        <w:rPr>
          <w:rFonts w:ascii="Arial" w:cs="Arial" w:eastAsia="Arial" w:hAnsi="Arial"/>
          <w:sz w:val="18"/>
          <w:szCs w:val="18"/>
          <w:color w:val="auto"/>
        </w:rPr>
        <w:t>Upon the occurrence of a fundamental change prior to the maturity date of the Convertible Senior Notes, holders of the Convertible Senior Notes may require the Company to repurchase all or a portion of the Convertible Senior Notes for cash at a price equal to 100% of the principal amount of the Convertible Senior Notes to be repurchased, plus any accrued and unpaid interest to, but excluding, the fundamental change repurchase date.</w:t>
      </w:r>
    </w:p>
    <w:p>
      <w:pPr>
        <w:spacing w:after="0" w:line="174" w:lineRule="exact"/>
        <w:rPr>
          <w:sz w:val="20"/>
          <w:szCs w:val="20"/>
          <w:color w:val="auto"/>
        </w:rPr>
      </w:pPr>
    </w:p>
    <w:p>
      <w:pPr>
        <w:ind w:right="40" w:firstLine="644"/>
        <w:spacing w:after="0" w:line="244" w:lineRule="auto"/>
        <w:rPr>
          <w:sz w:val="20"/>
          <w:szCs w:val="20"/>
          <w:color w:val="auto"/>
        </w:rPr>
      </w:pPr>
      <w:r>
        <w:rPr>
          <w:rFonts w:ascii="Arial" w:cs="Arial" w:eastAsia="Arial" w:hAnsi="Arial"/>
          <w:sz w:val="18"/>
          <w:szCs w:val="18"/>
          <w:color w:val="auto"/>
        </w:rPr>
        <w:t>Upon conversion, the Company may settle the Convertible Senior Notes for cash, shares of the Company’s common stock, or a combination thereof, at the Company’s option. If the Company satisfies its conversion obligation solely in cash or through payment and delivery of a combination of cash and shares of the Company’s common stock, the amount of cash and shares of common stock due upon conversion will be based on a daily conversion value calculated on a proportionate basis for each trading day in a 50-trading day observation period.</w:t>
      </w:r>
    </w:p>
    <w:p>
      <w:pPr>
        <w:spacing w:after="0" w:line="176" w:lineRule="exact"/>
        <w:rPr>
          <w:sz w:val="20"/>
          <w:szCs w:val="20"/>
          <w:color w:val="auto"/>
        </w:rPr>
      </w:pPr>
    </w:p>
    <w:p>
      <w:pPr>
        <w:ind w:right="40" w:firstLine="644"/>
        <w:spacing w:after="0" w:line="238" w:lineRule="auto"/>
        <w:rPr>
          <w:sz w:val="20"/>
          <w:szCs w:val="20"/>
          <w:color w:val="auto"/>
        </w:rPr>
      </w:pPr>
      <w:r>
        <w:rPr>
          <w:rFonts w:ascii="Arial" w:cs="Arial" w:eastAsia="Arial" w:hAnsi="Arial"/>
          <w:sz w:val="18"/>
          <w:szCs w:val="18"/>
          <w:color w:val="auto"/>
        </w:rPr>
        <w:t>Under existing GAAP at the time of issuance during 2020, convertible debt instruments that may be settled in cash on conversion were required to be separated into liability and equity components in a manner that reflects the issuer’s non-convertible debt borrowing rate. The carrying amount of the liability component was based on the fair value of a similar instrument that did not contain an equity conversion option. The carrying amount allocated to the equity component, which is recognized as a debt discount, represented the difference between the proceeds from the issuance of the notes and the fair value of the liability component of the notes. Based on this debt to equity ratio, debt issuance costs were then allocated to the liability and equity components in a similar manner. Accordingly, at issuance the Company allocated $336.1 million to the debt liability and $53.6 million to additional paid-in capital. The difference between the principal amount of the Convertible Senior Notes and the liability component, inclusive of issuance costs, represented the debt discount, which the Company amortized to interest expense over the term of the Convertible Senior Notes using an effective interest rate of 3.25%. During the year ended December 31, 2020, the Company recognized interest expense of $4.4 million. As of December 31, 2020, the net carrying value of the Notes was $340.6 million.</w:t>
      </w:r>
    </w:p>
    <w:p>
      <w:pPr>
        <w:spacing w:after="0" w:line="186" w:lineRule="exact"/>
        <w:rPr>
          <w:sz w:val="20"/>
          <w:szCs w:val="20"/>
          <w:color w:val="auto"/>
        </w:rPr>
      </w:pPr>
    </w:p>
    <w:p>
      <w:pPr>
        <w:ind w:right="40" w:firstLine="644"/>
        <w:spacing w:after="0" w:line="242" w:lineRule="auto"/>
        <w:rPr>
          <w:sz w:val="20"/>
          <w:szCs w:val="20"/>
          <w:color w:val="auto"/>
        </w:rPr>
      </w:pPr>
      <w:r>
        <w:rPr>
          <w:rFonts w:ascii="Arial" w:cs="Arial" w:eastAsia="Arial" w:hAnsi="Arial"/>
          <w:sz w:val="18"/>
          <w:szCs w:val="18"/>
          <w:color w:val="auto"/>
        </w:rPr>
        <w:t>In the first quarter of 2021, the Company early adopted ASU 2020-06, “Debt – Debt with Conversion and Other Options (Subtopic 470-20) and Derivatives and Hedging – Contracts in Equity’s Own Equity (Subtopic 815-40)”. The Company used the modified retrospective method which resulted in a reduction in non-cash interest expense and reclassification of equity component of the convertible senior notes of $55.0 million and equity component of the debt issuance costs of $1.4 million to liabilities on the consolidated balance sheet. The Company also adjusted the carrying amount of the convertible senior notes to what it would have been if the Company had applied ASU 2020-06 from the inception of the Notes and recorded the offset of the carrying amount adjustment of $3.7 million in retained earnings on January 1, 2021.</w:t>
      </w:r>
    </w:p>
    <w:p>
      <w:pPr>
        <w:spacing w:after="0" w:line="179" w:lineRule="exact"/>
        <w:rPr>
          <w:sz w:val="20"/>
          <w:szCs w:val="20"/>
          <w:color w:val="auto"/>
        </w:rPr>
      </w:pPr>
    </w:p>
    <w:p>
      <w:pPr>
        <w:jc w:val="both"/>
        <w:ind w:right="440" w:firstLine="644"/>
        <w:spacing w:after="0" w:line="270" w:lineRule="auto"/>
        <w:rPr>
          <w:sz w:val="20"/>
          <w:szCs w:val="20"/>
          <w:color w:val="auto"/>
        </w:rPr>
      </w:pPr>
      <w:r>
        <w:rPr>
          <w:rFonts w:ascii="Arial" w:cs="Arial" w:eastAsia="Arial" w:hAnsi="Arial"/>
          <w:sz w:val="17"/>
          <w:szCs w:val="17"/>
          <w:color w:val="auto"/>
        </w:rPr>
        <w:t>The Company recognized interest expense of $ 0.7 million and $0.7 million for the three months ended September 30, 2022 and September 30, 2021, respectively, and $2.2 million and $2.2 million for the nine months ended September 30, 2022 and September 30,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2021, respectively. As of September 30, 2022 and December 31, 2021, the carrying value of the Notes was $400.0 million.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b w:val="1"/>
          <w:bCs w:val="1"/>
          <w:i w:val="1"/>
          <w:iCs w:val="1"/>
          <w:color w:val="auto"/>
        </w:rPr>
        <w:t>Convertible Note Hedge and Warrant Transactions</w:t>
      </w:r>
    </w:p>
    <w:p>
      <w:pPr>
        <w:spacing w:after="0" w:line="210" w:lineRule="exact"/>
        <w:rPr>
          <w:sz w:val="20"/>
          <w:szCs w:val="20"/>
          <w:color w:val="auto"/>
        </w:rPr>
      </w:pPr>
    </w:p>
    <w:p>
      <w:pPr>
        <w:ind w:firstLine="644"/>
        <w:spacing w:after="0" w:line="242" w:lineRule="auto"/>
        <w:rPr>
          <w:sz w:val="20"/>
          <w:szCs w:val="20"/>
          <w:color w:val="auto"/>
        </w:rPr>
      </w:pPr>
      <w:r>
        <w:rPr>
          <w:rFonts w:ascii="Arial" w:cs="Arial" w:eastAsia="Arial" w:hAnsi="Arial"/>
          <w:sz w:val="18"/>
          <w:szCs w:val="18"/>
          <w:color w:val="auto"/>
        </w:rPr>
        <w:t>In connection with the sale of the Convertible Senior Notes, the Company purchased a bond hedge designed to mitigate the potential dilution from the conversion of the Convertible Senior Notes. Under the five-year term of the bond hedge, upon a conversion of the bonds, the Company will receive the number of shares of common stock equal to the remaining common stock deliverable upon conversion of the Convertible Senior Notes if the conversion value exceeds the principal amount of the Notes. The aggregate number of shares that the Company could be obligated to issue upon conversion of the Convertible Senior Notes is approximately 8.9 million shares. The cost of the convertible note hedge transactions was $55.0 million.</w:t>
      </w:r>
    </w:p>
    <w:p>
      <w:pPr>
        <w:spacing w:after="0" w:line="179" w:lineRule="exact"/>
        <w:rPr>
          <w:sz w:val="20"/>
          <w:szCs w:val="20"/>
          <w:color w:val="auto"/>
        </w:rPr>
      </w:pPr>
    </w:p>
    <w:p>
      <w:pPr>
        <w:jc w:val="both"/>
        <w:ind w:right="300" w:firstLine="644"/>
        <w:spacing w:after="0" w:line="247" w:lineRule="auto"/>
        <w:rPr>
          <w:sz w:val="20"/>
          <w:szCs w:val="20"/>
          <w:color w:val="auto"/>
        </w:rPr>
      </w:pPr>
      <w:r>
        <w:rPr>
          <w:rFonts w:ascii="Arial" w:cs="Arial" w:eastAsia="Arial" w:hAnsi="Arial"/>
          <w:sz w:val="18"/>
          <w:szCs w:val="18"/>
          <w:color w:val="auto"/>
        </w:rPr>
        <w:t>The cost of the convertible note hedge was partially offset by the Company’s sale of warrants to acquire approximately 8.9 million shares of the Company’s common stock. The warrants were initially exercisable at a price of at least $ 66.46 per share and are subject to customary adjustments upon the occurrence of certain events, such as the payment of dividends. The Company received $13.8 million in cash proceeds from the sales of these warrants.</w:t>
      </w:r>
    </w:p>
    <w:p>
      <w:pPr>
        <w:spacing w:after="0" w:line="174" w:lineRule="exact"/>
        <w:rPr>
          <w:sz w:val="20"/>
          <w:szCs w:val="20"/>
          <w:color w:val="auto"/>
        </w:rPr>
      </w:pPr>
    </w:p>
    <w:p>
      <w:pPr>
        <w:ind w:right="260" w:firstLine="644"/>
        <w:spacing w:after="0" w:line="253" w:lineRule="auto"/>
        <w:rPr>
          <w:sz w:val="20"/>
          <w:szCs w:val="20"/>
          <w:color w:val="auto"/>
        </w:rPr>
      </w:pPr>
      <w:r>
        <w:rPr>
          <w:rFonts w:ascii="Arial" w:cs="Arial" w:eastAsia="Arial" w:hAnsi="Arial"/>
          <w:sz w:val="18"/>
          <w:szCs w:val="18"/>
          <w:color w:val="auto"/>
        </w:rPr>
        <w:t>The bond hedge and warrant transactions effectively increased the conversion price associated with the Convertible Senior Notes during the term of these transactions from 35%, or $44.86, to 100%, or $66.46, at their issuance, thereby reducing the dilutive economic effect to shareholders upon actual conversion.</w:t>
      </w:r>
    </w:p>
    <w:p>
      <w:pPr>
        <w:spacing w:after="0" w:line="169" w:lineRule="exact"/>
        <w:rPr>
          <w:sz w:val="20"/>
          <w:szCs w:val="20"/>
          <w:color w:val="auto"/>
        </w:rPr>
      </w:pPr>
    </w:p>
    <w:p>
      <w:pPr>
        <w:jc w:val="both"/>
        <w:ind w:right="260" w:firstLine="644"/>
        <w:spacing w:after="0" w:line="253" w:lineRule="auto"/>
        <w:rPr>
          <w:sz w:val="20"/>
          <w:szCs w:val="20"/>
          <w:color w:val="auto"/>
        </w:rPr>
      </w:pPr>
      <w:r>
        <w:rPr>
          <w:rFonts w:ascii="Arial" w:cs="Arial" w:eastAsia="Arial" w:hAnsi="Arial"/>
          <w:sz w:val="18"/>
          <w:szCs w:val="18"/>
          <w:color w:val="auto"/>
        </w:rPr>
        <w:t>The bond hedges and warrants are indexed to, and potentially settled in, shares of the Company’s common stock. The net cost of $41.2 million for the purchase of the bond hedges and sale of the warrants was recorded as a reduction to additional paid-in capital in the consolidated balance sheets.</w:t>
      </w:r>
    </w:p>
    <w:p>
      <w:pPr>
        <w:spacing w:after="0" w:line="169" w:lineRule="exact"/>
        <w:rPr>
          <w:sz w:val="20"/>
          <w:szCs w:val="20"/>
          <w:color w:val="auto"/>
        </w:rPr>
      </w:pPr>
    </w:p>
    <w:p>
      <w:pPr>
        <w:ind w:right="80" w:firstLine="644"/>
        <w:spacing w:after="0"/>
        <w:rPr>
          <w:sz w:val="20"/>
          <w:szCs w:val="20"/>
          <w:color w:val="auto"/>
        </w:rPr>
      </w:pPr>
      <w:r>
        <w:rPr>
          <w:rFonts w:ascii="Arial" w:cs="Arial" w:eastAsia="Arial" w:hAnsi="Arial"/>
          <w:sz w:val="18"/>
          <w:szCs w:val="18"/>
          <w:color w:val="auto"/>
        </w:rPr>
        <w:t>At issuance, the Company recorded a deferred tax liability of $16.2 million related to the Convertible Senior Notes debt discount and the capitalized debt issuance costs. The Company also recorded a deferred tax asset of $16.5 million related to the convertible note hedge transactions and the tax basis of the capitalized debt issuance costs through additional paid-in capital. The deferred tax liability and deferred tax asset were included net in “Deferred tax assets” on the consolidated balance sheets. Upon adoption of ASU 2020-06, the Company reversed the deferred tax liability of $13.9 million that the Company had recorded at issuance related to the Convertible Senior Note debt discount and recorded an additional deferred tax liability of $ 0.4 million related to the capitalized debt issuance costs. In addition, the Company recorded a $0.9 million adjustment to the deferred tax asset through retained earnings related to the tax effect of book accretion recorded in 2020 and reversed upon adoption.</w:t>
      </w:r>
    </w:p>
    <w:p>
      <w:pPr>
        <w:spacing w:after="0" w:line="288"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ind w:right="80" w:firstLine="674"/>
        <w:spacing w:after="0" w:line="244" w:lineRule="auto"/>
        <w:rPr>
          <w:sz w:val="20"/>
          <w:szCs w:val="20"/>
          <w:color w:val="auto"/>
        </w:rPr>
      </w:pPr>
      <w:r>
        <w:rPr>
          <w:rFonts w:ascii="Arial" w:cs="Arial" w:eastAsia="Arial" w:hAnsi="Arial"/>
          <w:sz w:val="18"/>
          <w:szCs w:val="18"/>
          <w:color w:val="auto"/>
        </w:rPr>
        <w:t>On August 9, President Biden signed the Creating Helpful Incentives to Produce Semiconductors (CHIPS) Act into law, which includes an advanced manufacturing investment tax credit, among other provisions. On August 16, President Biden signed the Inflation Reduction Act (the IRA) into law, which includes implementation of a new alternative minimum tax, an excise tax on stock buybacks, and tax incentives for energy and climate initiatives, among other provisions. Based on the Company’s review, these new laws do not result in a material change to the Company’s income tax provision for 2022.</w:t>
      </w:r>
    </w:p>
    <w:p>
      <w:pPr>
        <w:spacing w:after="0" w:line="176" w:lineRule="exact"/>
        <w:rPr>
          <w:sz w:val="20"/>
          <w:szCs w:val="20"/>
          <w:color w:val="auto"/>
        </w:rPr>
      </w:pPr>
    </w:p>
    <w:p>
      <w:pPr>
        <w:ind w:right="300" w:firstLine="674"/>
        <w:spacing w:after="0" w:line="255" w:lineRule="auto"/>
        <w:rPr>
          <w:sz w:val="20"/>
          <w:szCs w:val="20"/>
          <w:color w:val="auto"/>
        </w:rPr>
      </w:pPr>
      <w:r>
        <w:rPr>
          <w:rFonts w:ascii="Arial" w:cs="Arial" w:eastAsia="Arial" w:hAnsi="Arial"/>
          <w:sz w:val="17"/>
          <w:szCs w:val="17"/>
          <w:color w:val="auto"/>
        </w:rPr>
        <w:t>The Company’s effective tax rate was 24.0% and 25.5% for the three months ended September 30, 2022 and 2021, respectively. The change in the effective tax rate was due primarily to a decrease in withholding tax, a change in jurisdictional mix of earnings and a nonrecurring write down of a foreign tax receivable included in 2021, partially offset by a release of a valuation allowance included in</w:t>
      </w:r>
    </w:p>
    <w:p>
      <w:pPr>
        <w:spacing w:after="0" w:line="2"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2021. The Company’s effective tax rate for the nine months ended September 30, 2022 and 2021 was 23.5% and 25.8%, respectively. The change in effective tax rate was due primarily to a decrease in withholding tax, a change in jurisdictional mix of earnings, a settlement of an uncertain tax position and a nonrecurring write down of a foreign tax receivable included in 2021, partially offset by a release of a valuation allowance included in 2021. The difference between the effective tax rate and the statutory U.S. Federal income tax rate of 21.0% for the three and nine months ended September 30, 2022 primarily relates to state income taxes, partially offset by benefits related to untaxed income attributable to noncontrolling interests, earnings in lower tax jurisdictions, and federal research tax credits.</w:t>
      </w:r>
    </w:p>
    <w:p>
      <w:pPr>
        <w:spacing w:after="0" w:line="193" w:lineRule="exact"/>
        <w:rPr>
          <w:sz w:val="20"/>
          <w:szCs w:val="20"/>
          <w:color w:val="auto"/>
        </w:rPr>
      </w:pPr>
    </w:p>
    <w:p>
      <w:pPr>
        <w:ind w:right="560" w:firstLine="674"/>
        <w:spacing w:after="0" w:line="271" w:lineRule="auto"/>
        <w:rPr>
          <w:sz w:val="20"/>
          <w:szCs w:val="20"/>
          <w:color w:val="auto"/>
        </w:rPr>
      </w:pPr>
      <w:r>
        <w:rPr>
          <w:rFonts w:ascii="Arial" w:cs="Arial" w:eastAsia="Arial" w:hAnsi="Arial"/>
          <w:sz w:val="18"/>
          <w:szCs w:val="18"/>
          <w:color w:val="auto"/>
        </w:rPr>
        <w:t>As of September 30, 2022, the Company’s deferred tax assets were subject to a valuation allowance of $28.5 million primarily related to foreign net operating loss carryforwards, foreign tax credit carryforwards, and capital losses that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1" w:right="359" w:bottom="1440" w:gutter="0" w:footer="0" w:header="0"/>
        </w:sectPr>
      </w:pPr>
    </w:p>
    <w:bookmarkStart w:id="22" w:name="page23"/>
    <w:bookmarkEnd w:id="22"/>
    <w:p>
      <w:pPr>
        <w:ind w:right="40"/>
        <w:spacing w:after="0" w:line="247" w:lineRule="auto"/>
        <w:rPr>
          <w:sz w:val="20"/>
          <w:szCs w:val="20"/>
          <w:color w:val="auto"/>
        </w:rPr>
      </w:pPr>
      <w:r>
        <w:rPr>
          <w:rFonts w:ascii="Arial" w:cs="Arial" w:eastAsia="Arial" w:hAnsi="Arial"/>
          <w:sz w:val="18"/>
          <w:szCs w:val="18"/>
          <w:color w:val="auto"/>
        </w:rPr>
        <w:t>the Company has determined are not more-likely-than-not to be realized. The factors used to assess the likelihood of realization include: the past performance of the entities, forecasts of future taxable income, future reversals of existing taxable temporary differences, and available tax planning strategies that could be implemented to realize the deferred tax assets. The ability or failure to achieve the forecasted taxable income in these entities could affect the ultimate realization of deferred tax assets.</w:t>
      </w:r>
    </w:p>
    <w:p>
      <w:pPr>
        <w:spacing w:after="0" w:line="187" w:lineRule="exact"/>
        <w:rPr>
          <w:sz w:val="20"/>
          <w:szCs w:val="20"/>
          <w:color w:val="auto"/>
        </w:rPr>
      </w:pPr>
    </w:p>
    <w:p>
      <w:pPr>
        <w:jc w:val="both"/>
        <w:ind w:right="380" w:firstLine="674"/>
        <w:spacing w:after="0" w:line="253" w:lineRule="auto"/>
        <w:rPr>
          <w:sz w:val="20"/>
          <w:szCs w:val="20"/>
          <w:color w:val="auto"/>
        </w:rPr>
      </w:pPr>
      <w:r>
        <w:rPr>
          <w:rFonts w:ascii="Arial" w:cs="Arial" w:eastAsia="Arial" w:hAnsi="Arial"/>
          <w:sz w:val="18"/>
          <w:szCs w:val="18"/>
          <w:color w:val="auto"/>
        </w:rPr>
        <w:t>As of September 30, 2022 and December 31, 2021, the liability for income taxes associated with unrecognized tax benefits was $22.7 million and $21.2 million, respectively. It is reasonably possible that the Company may realize a decrease in our unrecognized tax benefits of approximately $4.0 million during the next 12 months as a result of concluding various tax audits and closing tax years.</w:t>
      </w:r>
    </w:p>
    <w:p>
      <w:pPr>
        <w:spacing w:after="0" w:line="169" w:lineRule="exact"/>
        <w:rPr>
          <w:sz w:val="20"/>
          <w:szCs w:val="20"/>
          <w:color w:val="auto"/>
        </w:rPr>
      </w:pPr>
    </w:p>
    <w:p>
      <w:pPr>
        <w:ind w:right="20" w:firstLine="674"/>
        <w:spacing w:after="0" w:line="247" w:lineRule="auto"/>
        <w:rPr>
          <w:sz w:val="20"/>
          <w:szCs w:val="20"/>
          <w:color w:val="auto"/>
        </w:rPr>
      </w:pPr>
      <w:r>
        <w:rPr>
          <w:rFonts w:ascii="Arial" w:cs="Arial" w:eastAsia="Arial" w:hAnsi="Arial"/>
          <w:sz w:val="18"/>
          <w:szCs w:val="18"/>
          <w:color w:val="auto"/>
        </w:rPr>
        <w:t>Although the Company believes its reserves for its tax positions are reasonable, the final outcome of tax audits could be materially different, both favorably and unfavorably. It is reasonably possible that certain audits may conclude in the next 12 months and that the unrecognized tax benefits the Company has recorded in relation to these tax years may change compared to the liabilities recorded for these periods. However, it is not currently possible to estimate the amount, if any, of such change.</w:t>
      </w:r>
    </w:p>
    <w:p>
      <w:pPr>
        <w:spacing w:after="0" w:line="282"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04" w:lineRule="exact"/>
        <w:rPr>
          <w:sz w:val="20"/>
          <w:szCs w:val="20"/>
          <w:color w:val="auto"/>
        </w:rPr>
      </w:pPr>
    </w:p>
    <w:p>
      <w:pPr>
        <w:ind w:right="40" w:firstLine="644"/>
        <w:spacing w:after="0" w:line="238"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unless some amount within the range of loss appears at that time to be a better estimate than any other amount in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September 2015, a former Parsons employee filed an action in the United States District Court for the Northern District of Alabama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against us as a qui tam relator on behalf of the United States (the “Relator”) alleging violation of the False Claims Act. The United States</w:t>
      </w:r>
    </w:p>
    <w:p>
      <w:pPr>
        <w:spacing w:after="0" w:line="234" w:lineRule="auto"/>
        <w:rPr>
          <w:sz w:val="20"/>
          <w:szCs w:val="20"/>
          <w:color w:val="auto"/>
        </w:rPr>
      </w:pPr>
      <w:r>
        <w:rPr>
          <w:rFonts w:ascii="Arial" w:cs="Arial" w:eastAsia="Arial" w:hAnsi="Arial"/>
          <w:sz w:val="18"/>
          <w:szCs w:val="18"/>
          <w:color w:val="auto"/>
        </w:rPr>
        <w:t>government did not intervene in this matter as it is allowed to do so under the statute. The Company filed a motion to dismiss the lawsuit on</w:t>
      </w:r>
    </w:p>
    <w:p>
      <w:pPr>
        <w:spacing w:after="0" w:line="235" w:lineRule="auto"/>
        <w:rPr>
          <w:sz w:val="20"/>
          <w:szCs w:val="20"/>
          <w:color w:val="auto"/>
        </w:rPr>
      </w:pPr>
      <w:r>
        <w:rPr>
          <w:rFonts w:ascii="Arial" w:cs="Arial" w:eastAsia="Arial" w:hAnsi="Arial"/>
          <w:sz w:val="18"/>
          <w:szCs w:val="18"/>
          <w:color w:val="auto"/>
        </w:rPr>
        <w:t>the grounds that the Relator did not meet the applicable statute of limitations. The District Court granted the motion to dismiss. The Relator’s</w:t>
      </w:r>
    </w:p>
    <w:p>
      <w:pPr>
        <w:spacing w:after="0" w:line="235" w:lineRule="auto"/>
        <w:rPr>
          <w:sz w:val="20"/>
          <w:szCs w:val="20"/>
          <w:color w:val="auto"/>
        </w:rPr>
      </w:pPr>
      <w:r>
        <w:rPr>
          <w:rFonts w:ascii="Arial" w:cs="Arial" w:eastAsia="Arial" w:hAnsi="Arial"/>
          <w:sz w:val="18"/>
          <w:szCs w:val="18"/>
          <w:color w:val="auto"/>
        </w:rPr>
        <w:t>attorney appealed the decision to the United States Court of Appeals of the Eleventh Circuit, which ultimately ruled in favor of the Relator,</w:t>
      </w:r>
    </w:p>
    <w:p>
      <w:pPr>
        <w:spacing w:after="0" w:line="235" w:lineRule="auto"/>
        <w:rPr>
          <w:sz w:val="20"/>
          <w:szCs w:val="20"/>
          <w:color w:val="auto"/>
        </w:rPr>
      </w:pPr>
      <w:r>
        <w:rPr>
          <w:rFonts w:ascii="Arial" w:cs="Arial" w:eastAsia="Arial" w:hAnsi="Arial"/>
          <w:sz w:val="18"/>
          <w:szCs w:val="18"/>
          <w:color w:val="auto"/>
        </w:rPr>
        <w:t>and the Company petitioned the United States Supreme Court to review the decision. The Supreme Court reviewed the decision and</w:t>
      </w:r>
    </w:p>
    <w:p>
      <w:pPr>
        <w:spacing w:after="0" w:line="235" w:lineRule="auto"/>
        <w:rPr>
          <w:sz w:val="20"/>
          <w:szCs w:val="20"/>
          <w:color w:val="auto"/>
        </w:rPr>
      </w:pPr>
      <w:r>
        <w:rPr>
          <w:rFonts w:ascii="Arial" w:cs="Arial" w:eastAsia="Arial" w:hAnsi="Arial"/>
          <w:sz w:val="18"/>
          <w:szCs w:val="18"/>
          <w:color w:val="auto"/>
        </w:rPr>
        <w:t>accepted the position of the Relator. The case was thus remanded to the United States District Court for the Northern District of</w:t>
      </w:r>
    </w:p>
    <w:p>
      <w:pPr>
        <w:spacing w:after="0" w:line="234" w:lineRule="auto"/>
        <w:rPr>
          <w:sz w:val="20"/>
          <w:szCs w:val="20"/>
          <w:color w:val="auto"/>
        </w:rPr>
      </w:pPr>
      <w:r>
        <w:rPr>
          <w:rFonts w:ascii="Arial" w:cs="Arial" w:eastAsia="Arial" w:hAnsi="Arial"/>
          <w:sz w:val="18"/>
          <w:szCs w:val="18"/>
          <w:color w:val="auto"/>
        </w:rPr>
        <w:t>Alabama. The defendants, including Parsons, will file appropriate pleadings opposing the allegations. At this time, the Company is unable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determine the probability of the outcome of the litigation or determine a potential range of loss, if any.</w:t>
      </w:r>
    </w:p>
    <w:p>
      <w:pPr>
        <w:spacing w:after="0" w:line="194" w:lineRule="exact"/>
        <w:rPr>
          <w:sz w:val="20"/>
          <w:szCs w:val="20"/>
          <w:color w:val="auto"/>
        </w:rPr>
      </w:pPr>
    </w:p>
    <w:p>
      <w:pPr>
        <w:ind w:right="60" w:firstLine="637"/>
        <w:spacing w:after="0"/>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2013 have been closed, and years thereafter remain open.</w:t>
      </w:r>
    </w:p>
    <w:p>
      <w:pPr>
        <w:spacing w:after="0" w:line="180" w:lineRule="exact"/>
        <w:rPr>
          <w:sz w:val="20"/>
          <w:szCs w:val="20"/>
          <w:color w:val="auto"/>
        </w:rPr>
      </w:pPr>
    </w:p>
    <w:p>
      <w:pPr>
        <w:ind w:right="20" w:firstLine="637"/>
        <w:spacing w:after="0" w:line="271"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3" w:name="page24"/>
    <w:bookmarkEnd w:id="23"/>
    <w:p>
      <w:pPr>
        <w:ind w:left="640" w:hanging="632"/>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04" w:lineRule="exact"/>
        <w:rPr>
          <w:sz w:val="20"/>
          <w:szCs w:val="20"/>
          <w:color w:val="auto"/>
        </w:rPr>
      </w:pPr>
    </w:p>
    <w:p>
      <w:pPr>
        <w:ind w:right="40" w:firstLine="637"/>
        <w:spacing w:after="0" w:line="257" w:lineRule="auto"/>
        <w:rPr>
          <w:sz w:val="20"/>
          <w:szCs w:val="20"/>
          <w:color w:val="auto"/>
        </w:rPr>
      </w:pPr>
      <w:r>
        <w:rPr>
          <w:rFonts w:ascii="Arial" w:cs="Arial" w:eastAsia="Arial" w:hAnsi="Arial"/>
          <w:sz w:val="17"/>
          <w:szCs w:val="17"/>
          <w:color w:val="auto"/>
        </w:rPr>
        <w:t>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September 30, 2022 and December 31, 2021, total shares of the</w:t>
      </w:r>
    </w:p>
    <w:p>
      <w:pPr>
        <w:spacing w:after="0" w:line="2"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Company’s common stock outstanding were 103,470,622 and 103,659,731, respectively, of which 64,144,230 and 70,328,237, respectively, were held by the ESOP.</w:t>
      </w:r>
    </w:p>
    <w:p>
      <w:pPr>
        <w:spacing w:after="0" w:line="149" w:lineRule="exact"/>
        <w:rPr>
          <w:sz w:val="20"/>
          <w:szCs w:val="20"/>
          <w:color w:val="auto"/>
        </w:rPr>
      </w:pPr>
    </w:p>
    <w:p>
      <w:pPr>
        <w:ind w:right="340" w:firstLine="644"/>
        <w:spacing w:after="0" w:line="244"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176" w:lineRule="exact"/>
        <w:rPr>
          <w:sz w:val="20"/>
          <w:szCs w:val="20"/>
          <w:color w:val="auto"/>
        </w:rPr>
      </w:pPr>
    </w:p>
    <w:p>
      <w:pPr>
        <w:ind w:right="220" w:firstLine="644"/>
        <w:spacing w:after="0" w:line="270" w:lineRule="auto"/>
        <w:rPr>
          <w:sz w:val="20"/>
          <w:szCs w:val="20"/>
          <w:color w:val="auto"/>
        </w:rPr>
      </w:pPr>
      <w:r>
        <w:rPr>
          <w:rFonts w:ascii="Arial" w:cs="Arial" w:eastAsia="Arial" w:hAnsi="Arial"/>
          <w:sz w:val="17"/>
          <w:szCs w:val="17"/>
          <w:color w:val="auto"/>
        </w:rPr>
        <w:t>Total ESOP contribution expense was $15.4 million and $14.8 million for the three months ended September 30, 2022 and September 30, 2021, respectively, and $42.0 million and $41.3 million for the nine months ended September 30, 2022 and September 30,</w:t>
      </w:r>
    </w:p>
    <w:p>
      <w:pPr>
        <w:spacing w:after="0" w:line="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2021, respectively. The expense is recorded in “Direct costs of contracts” and “Selling, general and administrative expense” in the consolidated statements of income. The fiscal 2022 ESOP contribution has not yet been made. The amount is currently included in accrued liabilities.</w:t>
      </w:r>
    </w:p>
    <w:p>
      <w:pPr>
        <w:spacing w:after="0" w:line="275"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and Advances to Joint Ventures</w:t>
      </w:r>
    </w:p>
    <w:p>
      <w:pPr>
        <w:spacing w:after="0" w:line="104" w:lineRule="exact"/>
        <w:rPr>
          <w:sz w:val="20"/>
          <w:szCs w:val="20"/>
          <w:color w:val="auto"/>
        </w:rPr>
      </w:pPr>
    </w:p>
    <w:p>
      <w:pPr>
        <w:ind w:right="40" w:firstLine="637"/>
        <w:spacing w:after="0" w:line="253" w:lineRule="auto"/>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169" w:lineRule="exact"/>
        <w:rPr>
          <w:sz w:val="20"/>
          <w:szCs w:val="20"/>
          <w:color w:val="auto"/>
        </w:rPr>
      </w:pPr>
    </w:p>
    <w:p>
      <w:pPr>
        <w:ind w:right="60" w:firstLine="637"/>
        <w:spacing w:after="0" w:line="247"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Variable Interest Entity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174" w:lineRule="exact"/>
        <w:rPr>
          <w:sz w:val="20"/>
          <w:szCs w:val="20"/>
          <w:color w:val="auto"/>
        </w:rPr>
      </w:pPr>
    </w:p>
    <w:p>
      <w:pPr>
        <w:ind w:right="220" w:firstLine="637"/>
        <w:spacing w:after="0" w:line="247"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174" w:lineRule="exact"/>
        <w:rPr>
          <w:sz w:val="20"/>
          <w:szCs w:val="20"/>
          <w:color w:val="auto"/>
        </w:rPr>
      </w:pPr>
    </w:p>
    <w:p>
      <w:pPr>
        <w:ind w:firstLine="637"/>
        <w:spacing w:after="0" w:line="271"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154" w:lineRule="exact"/>
        <w:rPr>
          <w:sz w:val="20"/>
          <w:szCs w:val="20"/>
          <w:color w:val="auto"/>
        </w:rPr>
      </w:pPr>
    </w:p>
    <w:p>
      <w:pPr>
        <w:ind w:right="520" w:firstLine="637"/>
        <w:spacing w:after="0" w:line="303" w:lineRule="auto"/>
        <w:rPr>
          <w:sz w:val="20"/>
          <w:szCs w:val="20"/>
          <w:color w:val="auto"/>
        </w:rPr>
      </w:pPr>
      <w:r>
        <w:rPr>
          <w:rFonts w:ascii="Arial" w:cs="Arial" w:eastAsia="Arial" w:hAnsi="Arial"/>
          <w:sz w:val="18"/>
          <w:szCs w:val="18"/>
          <w:color w:val="auto"/>
        </w:rPr>
        <w:t>Letters of credit outstanding described in “Note 10 – Debt and Credit Facilities” that relate to project ventures are $99.2 million and $73.2 million at September 30, 2022 and December 31, 2021, respectively.</w:t>
      </w:r>
    </w:p>
    <w:p>
      <w:pPr>
        <w:spacing w:after="0" w:line="139" w:lineRule="exact"/>
        <w:rPr>
          <w:sz w:val="20"/>
          <w:szCs w:val="20"/>
          <w:color w:val="auto"/>
        </w:rPr>
      </w:pPr>
    </w:p>
    <w:p>
      <w:pPr>
        <w:jc w:val="both"/>
        <w:ind w:right="240" w:firstLine="637"/>
        <w:spacing w:after="0" w:line="253" w:lineRule="auto"/>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77" w:right="419" w:bottom="1440" w:gutter="0" w:footer="0" w:header="0"/>
        </w:sectPr>
      </w:pPr>
    </w:p>
    <w:bookmarkStart w:id="24" w:name="page25"/>
    <w:bookmarkEnd w:id="24"/>
    <w:p>
      <w:pPr>
        <w:ind w:left="64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02" w:lineRule="exact"/>
        <w:rPr>
          <w:sz w:val="20"/>
          <w:szCs w:val="20"/>
          <w:color w:val="auto"/>
        </w:rPr>
      </w:pPr>
    </w:p>
    <w:p>
      <w:pPr>
        <w:ind w:right="380" w:firstLine="637"/>
        <w:spacing w:after="0" w:line="271"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(in thousands):</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r>
      <w:tr>
        <w:trPr>
          <w:trHeight w:val="210"/>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0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268,561</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246,342</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assets</w:t>
            </w:r>
          </w:p>
        </w:tc>
        <w:tc>
          <w:tcPr>
            <w:tcW w:w="20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7,885</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120" w:type="dxa"/>
            <w:vAlign w:val="bottom"/>
            <w:tcBorders>
              <w:bottom w:val="single" w:sz="8" w:color="CFF0FC"/>
            </w:tcBorders>
          </w:tcPr>
          <w:p>
            <w:pPr>
              <w:spacing w:after="0"/>
              <w:rPr>
                <w:sz w:val="18"/>
                <w:szCs w:val="18"/>
                <w:color w:val="auto"/>
              </w:rPr>
            </w:pPr>
          </w:p>
        </w:tc>
      </w:tr>
      <w:tr>
        <w:trPr>
          <w:trHeight w:val="209"/>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20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276,446</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248,522</w:t>
            </w:r>
          </w:p>
        </w:tc>
        <w:tc>
          <w:tcPr>
            <w:tcW w:w="120" w:type="dxa"/>
            <w:vAlign w:val="bottom"/>
            <w:shd w:val="clear" w:color="auto" w:fill="CFF0FC"/>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Current liabilities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169,233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175,637</w:t>
            </w:r>
          </w:p>
        </w:tc>
        <w:tc>
          <w:tcPr>
            <w:tcW w:w="120" w:type="dxa"/>
            <w:vAlign w:val="bottom"/>
          </w:tcPr>
          <w:p>
            <w:pPr>
              <w:spacing w:after="0"/>
              <w:rPr>
                <w:sz w:val="18"/>
                <w:szCs w:val="18"/>
                <w:color w:val="auto"/>
              </w:rPr>
            </w:pPr>
          </w:p>
        </w:tc>
      </w:tr>
      <w:tr>
        <w:trPr>
          <w:trHeight w:val="216"/>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20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169,233</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175,637</w:t>
            </w:r>
          </w:p>
        </w:tc>
        <w:tc>
          <w:tcPr>
            <w:tcW w:w="120" w:type="dxa"/>
            <w:vAlign w:val="bottom"/>
            <w:shd w:val="clear" w:color="auto" w:fill="CFF0FC"/>
          </w:tcPr>
          <w:p>
            <w:pPr>
              <w:spacing w:after="0"/>
              <w:rPr>
                <w:sz w:val="18"/>
                <w:szCs w:val="18"/>
                <w:color w:val="auto"/>
              </w:rPr>
            </w:pPr>
          </w:p>
        </w:tc>
      </w:tr>
      <w:tr>
        <w:trPr>
          <w:trHeight w:val="209"/>
        </w:trPr>
        <w:tc>
          <w:tcPr>
            <w:tcW w:w="4180" w:type="dxa"/>
            <w:vAlign w:val="bottom"/>
          </w:tcPr>
          <w:p>
            <w:pPr>
              <w:ind w:left="240"/>
              <w:spacing w:after="0"/>
              <w:rPr>
                <w:sz w:val="20"/>
                <w:szCs w:val="20"/>
                <w:color w:val="auto"/>
              </w:rPr>
            </w:pPr>
            <w:r>
              <w:rPr>
                <w:rFonts w:ascii="Arial" w:cs="Arial" w:eastAsia="Arial" w:hAnsi="Arial"/>
                <w:sz w:val="18"/>
                <w:szCs w:val="18"/>
                <w:color w:val="auto"/>
              </w:rPr>
              <w:t>Total joint venture equity</w:t>
            </w:r>
          </w:p>
        </w:tc>
        <w:tc>
          <w:tcPr>
            <w:tcW w:w="20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107,213</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72,885</w:t>
            </w:r>
          </w:p>
        </w:tc>
        <w:tc>
          <w:tcPr>
            <w:tcW w:w="12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4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2022</w:t>
            </w: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2022</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209"/>
        </w:trPr>
        <w:tc>
          <w:tcPr>
            <w:tcW w:w="4940" w:type="dxa"/>
            <w:vAlign w:val="bottom"/>
            <w:vMerge w:val="continue"/>
          </w:tcPr>
          <w:p>
            <w:pPr>
              <w:spacing w:after="0"/>
              <w:rPr>
                <w:sz w:val="18"/>
                <w:szCs w:val="18"/>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130,344</w:t>
            </w: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101,816</w:t>
            </w: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333,967</w:t>
            </w:r>
          </w:p>
        </w:tc>
        <w:tc>
          <w:tcPr>
            <w:tcW w:w="240" w:type="dxa"/>
            <w:vAlign w:val="bottom"/>
          </w:tcPr>
          <w:p>
            <w:pPr>
              <w:spacing w:after="0"/>
              <w:rPr>
                <w:sz w:val="18"/>
                <w:szCs w:val="18"/>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Costs</w:t>
            </w:r>
          </w:p>
        </w:tc>
        <w:tc>
          <w:tcPr>
            <w:tcW w:w="4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101,882</w:t>
            </w:r>
          </w:p>
        </w:tc>
        <w:tc>
          <w:tcPr>
            <w:tcW w:w="22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86,726</w:t>
            </w:r>
          </w:p>
        </w:tc>
        <w:tc>
          <w:tcPr>
            <w:tcW w:w="2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289,485</w:t>
            </w:r>
          </w:p>
        </w:tc>
        <w:tc>
          <w:tcPr>
            <w:tcW w:w="24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28,462</w:t>
            </w:r>
          </w:p>
        </w:tc>
        <w:tc>
          <w:tcPr>
            <w:tcW w:w="220" w:type="dxa"/>
            <w:vAlign w:val="bottom"/>
            <w:tcBorders>
              <w:bottom w:val="single" w:sz="8" w:color="CFF0FC"/>
            </w:tcBorders>
          </w:tcPr>
          <w:p>
            <w:pPr>
              <w:spacing w:after="0"/>
              <w:rPr>
                <w:sz w:val="21"/>
                <w:szCs w:val="21"/>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15,090</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44,482</w:t>
            </w:r>
          </w:p>
        </w:tc>
        <w:tc>
          <w:tcPr>
            <w:tcW w:w="240" w:type="dxa"/>
            <w:vAlign w:val="bottom"/>
            <w:tcBorders>
              <w:bottom w:val="single" w:sz="8" w:color="CFF0FC"/>
            </w:tcBorders>
          </w:tcPr>
          <w:p>
            <w:pPr>
              <w:spacing w:after="0"/>
              <w:rPr>
                <w:sz w:val="21"/>
                <w:szCs w:val="21"/>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14,024</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7,411</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21,685</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17,711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320" w:firstLine="637"/>
        <w:spacing w:after="0" w:line="271"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26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02" w:lineRule="exact"/>
        <w:rPr>
          <w:sz w:val="20"/>
          <w:szCs w:val="20"/>
          <w:color w:val="auto"/>
        </w:rPr>
      </w:pPr>
    </w:p>
    <w:p>
      <w:pPr>
        <w:ind w:firstLine="637"/>
        <w:spacing w:after="0" w:line="247"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earnings (loss) of unconsolidated joint ventures” in the consolidated statements of income. The Company’s maximum exposure to loss as a result of its investments in unconsolidated joint ventures is typically limited to the aggregate of the carrying value of the investment and future funding commitments.</w:t>
      </w:r>
    </w:p>
    <w:p>
      <w:pPr>
        <w:spacing w:after="0" w:line="174" w:lineRule="exact"/>
        <w:rPr>
          <w:sz w:val="20"/>
          <w:szCs w:val="20"/>
          <w:color w:val="auto"/>
        </w:rPr>
      </w:pPr>
    </w:p>
    <w:p>
      <w:pPr>
        <w:ind w:right="340" w:firstLine="637"/>
        <w:spacing w:after="0" w:line="271"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(in thousands):</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20" w:type="dxa"/>
            <w:vAlign w:val="bottom"/>
            <w:vMerge w:val="restart"/>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right"/>
              <w:ind w:right="132"/>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10"/>
        </w:trPr>
        <w:tc>
          <w:tcPr>
            <w:tcW w:w="60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1,770,762</w:t>
            </w:r>
          </w:p>
        </w:tc>
        <w:tc>
          <w:tcPr>
            <w:tcW w:w="2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1,620,735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487,823</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531,261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2,258,585</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2,151,996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1,357,131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1,088,985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467,030</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669,911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1,824,161</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1,758,896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joint venture equity</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434,424</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393,100</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and advances to unconsolidated joint ventures</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99,424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110,688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1140" w:type="dxa"/>
            <w:vAlign w:val="bottom"/>
          </w:tcPr>
          <w:p>
            <w:pPr>
              <w:jc w:val="right"/>
              <w:ind w:right="56"/>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24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20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782,880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728,461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1,762,420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1,701,262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Costs</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774,030</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697,493</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1,711,555</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1,604,538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8,850</w:t>
            </w: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30,968</w:t>
            </w: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50,865</w:t>
            </w:r>
          </w:p>
        </w:tc>
        <w:tc>
          <w:tcPr>
            <w:tcW w:w="2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96,724</w:t>
            </w:r>
          </w:p>
        </w:tc>
        <w:tc>
          <w:tcPr>
            <w:tcW w:w="100" w:type="dxa"/>
            <w:vAlign w:val="bottom"/>
            <w:tcBorders>
              <w:bottom w:val="single" w:sz="8" w:color="CFF0FC"/>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Equity in earnings of unconsolidated joint ventures</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(974)</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9,570</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10,237</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26,528</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9"/>
        </w:trPr>
        <w:tc>
          <w:tcPr>
            <w:tcW w:w="5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right="17"/>
              <w:spacing w:after="0"/>
              <w:rPr>
                <w:sz w:val="20"/>
                <w:szCs w:val="20"/>
                <w:color w:val="auto"/>
              </w:rPr>
            </w:pPr>
            <w:r>
              <w:rPr>
                <w:rFonts w:ascii="Arial" w:cs="Arial" w:eastAsia="Arial" w:hAnsi="Arial"/>
                <w:sz w:val="18"/>
                <w:szCs w:val="18"/>
                <w:color w:val="auto"/>
                <w:w w:val="99"/>
              </w:rPr>
              <w:t>23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5" w:name="page26"/>
    <w:bookmarkEnd w:id="25"/>
    <w:p>
      <w:pPr>
        <w:ind w:right="20" w:firstLine="637"/>
        <w:spacing w:after="0" w:line="247" w:lineRule="auto"/>
        <w:rPr>
          <w:sz w:val="20"/>
          <w:szCs w:val="20"/>
          <w:color w:val="auto"/>
        </w:rPr>
      </w:pPr>
      <w:r>
        <w:rPr>
          <w:rFonts w:ascii="Arial" w:cs="Arial" w:eastAsia="Arial" w:hAnsi="Arial"/>
          <w:sz w:val="18"/>
          <w:szCs w:val="18"/>
          <w:color w:val="auto"/>
        </w:rPr>
        <w:t>The Company received net distributions from its unconsolidated joint ventures for the three months ended September 30, 2022 and September 30, 2021 of $13.2 million and $7.3 million, respectively. The Company received net distributions from its unconsolidated joint ventures for the nine months ended September 30, 2022 of $21.4 million and had net contributions to its unconsolidated joint ventures for the nine months ended September 30, 2021 of $0.5 million.</w:t>
      </w:r>
    </w:p>
    <w:p>
      <w:pPr>
        <w:spacing w:after="0" w:line="174" w:lineRule="exact"/>
        <w:rPr>
          <w:sz w:val="20"/>
          <w:szCs w:val="20"/>
          <w:color w:val="auto"/>
        </w:rPr>
      </w:pPr>
    </w:p>
    <w:p>
      <w:pPr>
        <w:ind w:right="120" w:firstLine="644"/>
        <w:spacing w:after="0" w:line="242" w:lineRule="auto"/>
        <w:rPr>
          <w:sz w:val="20"/>
          <w:szCs w:val="20"/>
          <w:color w:val="auto"/>
        </w:rPr>
      </w:pPr>
      <w:r>
        <w:rPr>
          <w:rFonts w:ascii="Arial" w:cs="Arial" w:eastAsia="Arial" w:hAnsi="Arial"/>
          <w:sz w:val="18"/>
          <w:szCs w:val="18"/>
          <w:color w:val="auto"/>
        </w:rPr>
        <w:t>For the three and nine months ended September 30, 2022, the Company recorded write -downs of $ 6.4 million and $9.4 million, respectively, on an unconsolidated joint venture in the Critical Infrastructure segment as a result of changes in estimates made by the managing partner. The write-downs decreased operating and net income by $6.4 million and $4.8 million, respectively for the three months ended September 2022. Operating and net income were decreased by $9.4 million and $7.0 million, respectively, for the nine months ended September 30, 2022. The write-downs decreased diluted earnings per share by $0.04 and $0.06 for the three and nine months ended September 30, 2022.</w:t>
      </w:r>
    </w:p>
    <w:p>
      <w:pPr>
        <w:spacing w:after="0" w:line="179" w:lineRule="exact"/>
        <w:rPr>
          <w:sz w:val="20"/>
          <w:szCs w:val="20"/>
          <w:color w:val="auto"/>
        </w:rPr>
      </w:pPr>
    </w:p>
    <w:p>
      <w:pPr>
        <w:ind w:right="20" w:firstLine="644"/>
        <w:spacing w:after="0" w:line="242" w:lineRule="auto"/>
        <w:rPr>
          <w:sz w:val="20"/>
          <w:szCs w:val="20"/>
          <w:color w:val="auto"/>
        </w:rPr>
      </w:pPr>
      <w:r>
        <w:rPr>
          <w:rFonts w:ascii="Arial" w:cs="Arial" w:eastAsia="Arial" w:hAnsi="Arial"/>
          <w:sz w:val="18"/>
          <w:szCs w:val="18"/>
          <w:color w:val="auto"/>
        </w:rPr>
        <w:t>For the three and nine months ended September 30, 2021, the Company recorded write -downs of $ 5.5 million and $10.6 million, respectively, on an unconsolidated joint venture in the Critical Infrastructure segment as a result of changes in estimates made by the managing partner. The write-downs decreased operating and net income by $5.5 million and $4.1 million, respectively for the three months ended September 2021. Operating and net income were decreased by $10.6 million and $ 7.9 million, respectively, for the nine months ended September 30, 2021. The write-downs decreased diluted earnings per share by $0.04 and $0.07 for the three and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4" w:lineRule="exact"/>
        <w:rPr>
          <w:sz w:val="20"/>
          <w:szCs w:val="20"/>
          <w:color w:val="auto"/>
        </w:rPr>
      </w:pPr>
    </w:p>
    <w:p>
      <w:pPr>
        <w:ind w:right="20" w:firstLine="637"/>
        <w:spacing w:after="0"/>
        <w:rPr>
          <w:sz w:val="20"/>
          <w:szCs w:val="20"/>
          <w:color w:val="auto"/>
        </w:rPr>
      </w:pPr>
      <w:r>
        <w:rPr>
          <w:rFonts w:ascii="Arial" w:cs="Arial" w:eastAsia="Arial" w:hAnsi="Arial"/>
          <w:sz w:val="18"/>
          <w:szCs w:val="18"/>
          <w:color w:val="auto"/>
        </w:rPr>
        <w:t>The Company often provides services to unconsolidated joint ventures and revenues include amounts related to recovering costs for these services. Revenues related to services the Company provided to unconsolidated joint ventures for the three months ended September 30, 2022 and September 30, 2021 were $59.9 million and $48.3 million, respectively, and $159.0 million and $152.9 million for the nine months ended September 30, 2022 and September 30, 2021, respectively. For the three months ended September 30, 2022 and September 30, 2021, the Company incurred $41.7 million and $37.3 million, respectively, and for the nine months ended September 30, 2022 and September 30, 2021 incurred $112.7 million and $116.9 million, respectively, of reimbursable costs. The revenue and reimbursable cost prior period amounts have been updated to reflect all joint ventures for the comparable period. Amounts included in the consolidated balance sheets related to services the Company provided to unconsolidated joint ventures are as follows (in thousands):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15"/>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r>
      <w:tr>
        <w:trPr>
          <w:trHeight w:val="209"/>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37,657</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30,246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Contract assets</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27,037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16,069</w:t>
            </w: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shd w:val="clear" w:color="auto" w:fill="CFF0FC"/>
          </w:tcPr>
          <w:p>
            <w:pPr>
              <w:spacing w:after="0"/>
              <w:rPr>
                <w:sz w:val="18"/>
                <w:szCs w:val="18"/>
                <w:color w:val="auto"/>
              </w:rPr>
            </w:pPr>
          </w:p>
        </w:tc>
      </w:tr>
    </w:tbl>
    <w:p>
      <w:pPr>
        <w:spacing w:after="0" w:line="332"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4" w:lineRule="exact"/>
        <w:rPr>
          <w:sz w:val="20"/>
          <w:szCs w:val="20"/>
          <w:color w:val="auto"/>
        </w:rPr>
      </w:pPr>
    </w:p>
    <w:p>
      <w:pPr>
        <w:ind w:firstLine="637"/>
        <w:spacing w:after="0" w:line="244"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September 30, 2022 and December 31, 2021, the Company’s financial instruments include cash, cash equivalents, accounts receivable, accounts payable, debt and other liabilities. The fair values of these financial instruments approximate their carrying values due to their short-term maturities.</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Investments measured at fair value are based on one or more of the following three valuation techniques:</w:t>
      </w:r>
    </w:p>
    <w:p>
      <w:pPr>
        <w:spacing w:after="0" w:line="104" w:lineRule="exact"/>
        <w:rPr>
          <w:sz w:val="20"/>
          <w:szCs w:val="20"/>
          <w:color w:val="auto"/>
        </w:rPr>
      </w:pPr>
    </w:p>
    <w:p>
      <w:pPr>
        <w:ind w:left="880" w:right="500" w:hanging="238"/>
        <w:spacing w:after="0" w:line="270" w:lineRule="auto"/>
        <w:tabs>
          <w:tab w:leader="none" w:pos="8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46"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ind w:left="880" w:right="320" w:hanging="238"/>
        <w:spacing w:after="0" w:line="270" w:lineRule="auto"/>
        <w:tabs>
          <w:tab w:leader="none" w:pos="8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54" w:lineRule="exact"/>
        <w:rPr>
          <w:sz w:val="20"/>
          <w:szCs w:val="20"/>
          <w:color w:val="auto"/>
        </w:rPr>
      </w:pPr>
    </w:p>
    <w:p>
      <w:pPr>
        <w:ind w:right="20" w:firstLine="637"/>
        <w:spacing w:after="0" w:line="253" w:lineRule="auto"/>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1Unadjusted quoted prices in active markets that are accessible at the measurement date for identical assets and liabilities;</w:t>
      </w:r>
    </w:p>
    <w:p>
      <w:pPr>
        <w:spacing w:after="0" w:line="104" w:lineRule="exact"/>
        <w:rPr>
          <w:sz w:val="20"/>
          <w:szCs w:val="20"/>
          <w:color w:val="auto"/>
        </w:rPr>
      </w:pPr>
    </w:p>
    <w:p>
      <w:pPr>
        <w:ind w:left="1220" w:right="200" w:hanging="580"/>
        <w:spacing w:after="0" w:line="271" w:lineRule="auto"/>
        <w:rPr>
          <w:sz w:val="20"/>
          <w:szCs w:val="20"/>
          <w:color w:val="auto"/>
        </w:rPr>
      </w:pPr>
      <w:r>
        <w:rPr>
          <w:rFonts w:ascii="Arial" w:cs="Arial" w:eastAsia="Arial" w:hAnsi="Arial"/>
          <w:sz w:val="18"/>
          <w:szCs w:val="18"/>
          <w:color w:val="auto"/>
        </w:rPr>
        <w:t>Level 2Pricing inputs that include quoted prices for similar assets and liabilities in active markets and inputs that are observable for the asset or liability, either directly or indirectly, for substantially the full term of the instrument; and</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3Prices or valuations that require inputs that are both significant to the fair value measurements and unobservable.</w:t>
      </w:r>
    </w:p>
    <w:p>
      <w:pPr>
        <w:spacing w:after="0" w:line="212" w:lineRule="exact"/>
        <w:rPr>
          <w:sz w:val="20"/>
          <w:szCs w:val="20"/>
          <w:color w:val="auto"/>
        </w:rPr>
      </w:pPr>
    </w:p>
    <w:p>
      <w:pPr>
        <w:ind w:right="160" w:firstLine="637"/>
        <w:spacing w:after="0" w:line="247"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4" w:lineRule="exact"/>
        <w:rPr>
          <w:sz w:val="20"/>
          <w:szCs w:val="20"/>
          <w:color w:val="auto"/>
        </w:rPr>
      </w:pPr>
    </w:p>
    <w:p>
      <w:pPr>
        <w:ind w:right="180" w:firstLine="637"/>
        <w:spacing w:after="0" w:line="253" w:lineRule="auto"/>
        <w:rPr>
          <w:sz w:val="20"/>
          <w:szCs w:val="20"/>
          <w:color w:val="auto"/>
        </w:rPr>
      </w:pPr>
      <w:r>
        <w:rPr>
          <w:rFonts w:ascii="Arial" w:cs="Arial" w:eastAsia="Arial" w:hAnsi="Arial"/>
          <w:sz w:val="18"/>
          <w:szCs w:val="18"/>
          <w:color w:val="auto"/>
        </w:rPr>
        <w:t>Refer to Notes to Consolidated Financial Statements included in the Company’s Form 10-K for the year ended December 31, 2021 for a more complete discussion of the various items within the consolidated financial statements measured at fair value and the methods used to determine fair value.</w:t>
      </w:r>
    </w:p>
    <w:p>
      <w:pPr>
        <w:spacing w:after="0" w:line="277"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4" w:lineRule="exact"/>
        <w:rPr>
          <w:sz w:val="20"/>
          <w:szCs w:val="20"/>
          <w:color w:val="auto"/>
        </w:rPr>
      </w:pPr>
    </w:p>
    <w:p>
      <w:pPr>
        <w:ind w:firstLine="637"/>
        <w:spacing w:after="0" w:line="242" w:lineRule="auto"/>
        <w:rPr>
          <w:sz w:val="20"/>
          <w:szCs w:val="20"/>
          <w:color w:val="auto"/>
        </w:rPr>
      </w:pPr>
      <w:r>
        <w:rPr>
          <w:rFonts w:ascii="Arial" w:cs="Arial" w:eastAsia="Arial" w:hAnsi="Arial"/>
          <w:sz w:val="18"/>
          <w:szCs w:val="18"/>
          <w:color w:val="auto"/>
        </w:rPr>
        <w:t>The following tables reconcile the denominator and numerator used to compute basic earnings per share (“EPS”) to the denominator and numerator used to compute diluted EPS for the three and nine months ended September 30, 2022 and September 30, 2021. Basic EPS is computed using the weighted average number of shares outstanding during the period and income available to shareholders. Diluted EPS is computed similar to basic EPS, except the income available to shareholders is adjusted to add back interest expense, after tax, related to the Convertible Senior Note, and the weighted average number of shares outstanding is adjusted to reflect the dilutive effects of stock-based awards and shares underlying the Convertible Senior Note.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Convertible Senior Note dilution impact is calculated using the if-converted method which was required upon adoption of ASU 2020-</w:t>
      </w:r>
    </w:p>
    <w:p>
      <w:pPr>
        <w:spacing w:after="0" w:line="14" w:lineRule="exact"/>
        <w:rPr>
          <w:sz w:val="20"/>
          <w:szCs w:val="20"/>
          <w:color w:val="auto"/>
        </w:rPr>
      </w:pPr>
    </w:p>
    <w:p>
      <w:pPr>
        <w:ind w:right="40" w:firstLine="8"/>
        <w:spacing w:after="0" w:line="239" w:lineRule="auto"/>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result, the Company elected to adopt the if-converted method when the Convertible Senior Notes were issued during the third quarter of 2020. In connection with the offerings of the Notes, the Company entered into a convertible note hedge and warrants (see Note 10 Debt and Credit Facilities); however, the convertible note hedge is not considered when calculating dilutive shares given its impact is anti-dilutive. The impact of the bond hedge would offset the dilutive impact of the shares underlying the Convertible Senior Note. The warrants have a strike price above our average share price during the period and are out of the money and not included in the tables below.</w:t>
      </w:r>
    </w:p>
    <w:p>
      <w:pPr>
        <w:spacing w:after="0" w:line="72" w:lineRule="exact"/>
        <w:rPr>
          <w:sz w:val="20"/>
          <w:szCs w:val="20"/>
          <w:color w:val="auto"/>
        </w:rPr>
      </w:pPr>
    </w:p>
    <w:p>
      <w:pPr>
        <w:ind w:right="60" w:firstLine="637"/>
        <w:spacing w:after="0" w:line="243" w:lineRule="auto"/>
        <w:rPr>
          <w:sz w:val="20"/>
          <w:szCs w:val="20"/>
          <w:color w:val="auto"/>
        </w:rPr>
      </w:pPr>
      <w:r>
        <w:rPr>
          <w:rFonts w:ascii="Arial" w:cs="Arial" w:eastAsia="Arial" w:hAnsi="Arial"/>
          <w:sz w:val="18"/>
          <w:szCs w:val="18"/>
          <w:color w:val="auto"/>
        </w:rPr>
        <w:t>Dilutive potential common shares include, when circumstances require, shares the Company could be obligated to issue from its Convertible Senior Notes and warrants (see Note 10 for further discussion) and stock-based awards. Shares to be provided to the Company from its bond hedge purchased concurrently with the issuance of Convertible Senior Notes are anti-dilutive and are not included in its diluted shares. Anti-dilutive stock-based awards excluded from the calculation of earnings per share for the three months ended September 30, 2022 and September 30, 2021 were 2,449 and 4,656, respectively, and for the nine months ended September 30, 2022 and September 30,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2021 were 11,564 and 6,838, respectively.</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7" w:name="page28"/>
    <w:bookmarkEnd w:id="27"/>
    <w:p>
      <w:pPr>
        <w:ind w:left="640"/>
        <w:spacing w:after="0"/>
        <w:rPr>
          <w:sz w:val="20"/>
          <w:szCs w:val="20"/>
          <w:color w:val="auto"/>
        </w:rPr>
      </w:pPr>
      <w:r>
        <w:rPr>
          <w:rFonts w:ascii="Arial" w:cs="Arial" w:eastAsia="Arial" w:hAnsi="Arial"/>
          <w:sz w:val="18"/>
          <w:szCs w:val="18"/>
          <w:color w:val="auto"/>
        </w:rPr>
        <w:t>The weighted average number of shares used to compute basic and diluted EPS were:</w:t>
      </w: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46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4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60"/>
        </w:trPr>
        <w:tc>
          <w:tcPr>
            <w:tcW w:w="4880" w:type="dxa"/>
            <w:vAlign w:val="bottom"/>
          </w:tcPr>
          <w:p>
            <w:pPr>
              <w:spacing w:after="0"/>
              <w:rPr>
                <w:sz w:val="13"/>
                <w:szCs w:val="13"/>
                <w:color w:val="auto"/>
              </w:rPr>
            </w:pPr>
          </w:p>
        </w:tc>
        <w:tc>
          <w:tcPr>
            <w:tcW w:w="134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September 30,</w:t>
            </w:r>
          </w:p>
        </w:tc>
        <w:tc>
          <w:tcPr>
            <w:tcW w:w="120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488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0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103,608,135</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102,478,095</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103,684,048</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102,463,511</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Stock-based awards</w:t>
            </w:r>
          </w:p>
        </w:tc>
        <w:tc>
          <w:tcPr>
            <w:tcW w:w="1120" w:type="dxa"/>
            <w:vAlign w:val="bottom"/>
          </w:tcPr>
          <w:p>
            <w:pPr>
              <w:jc w:val="right"/>
              <w:spacing w:after="0"/>
              <w:rPr>
                <w:sz w:val="20"/>
                <w:szCs w:val="20"/>
                <w:color w:val="auto"/>
              </w:rPr>
            </w:pPr>
            <w:r>
              <w:rPr>
                <w:rFonts w:ascii="Arial" w:cs="Arial" w:eastAsia="Arial" w:hAnsi="Arial"/>
                <w:sz w:val="18"/>
                <w:szCs w:val="18"/>
                <w:color w:val="auto"/>
              </w:rPr>
              <w:t>918,090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751,807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746,702</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637,686</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8,916,530</w:t>
            </w:r>
          </w:p>
        </w:tc>
        <w:tc>
          <w:tcPr>
            <w:tcW w:w="22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8,916,530</w:t>
            </w:r>
          </w:p>
        </w:tc>
        <w:tc>
          <w:tcPr>
            <w:tcW w:w="22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8,916,530</w:t>
            </w:r>
          </w:p>
        </w:tc>
        <w:tc>
          <w:tcPr>
            <w:tcW w:w="220" w:type="dxa"/>
            <w:vAlign w:val="bottom"/>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8,916,530</w:t>
            </w:r>
          </w:p>
        </w:tc>
        <w:tc>
          <w:tcPr>
            <w:tcW w:w="100" w:type="dxa"/>
            <w:vAlign w:val="bottom"/>
            <w:shd w:val="clear" w:color="auto" w:fill="CFF0FC"/>
          </w:tcPr>
          <w:p>
            <w:pPr>
              <w:spacing w:after="0"/>
              <w:rPr>
                <w:sz w:val="18"/>
                <w:szCs w:val="18"/>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113,442,755</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112,146,432</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113,347,280</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112,017,727</w:t>
            </w:r>
          </w:p>
        </w:tc>
        <w:tc>
          <w:tcPr>
            <w:tcW w:w="10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net income available to shareholders to compute basic and diluted EPS were (in thousands):</w:t>
      </w:r>
    </w:p>
    <w:p>
      <w:pPr>
        <w:spacing w:after="0" w:line="7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33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397"/>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60"/>
        </w:trPr>
        <w:tc>
          <w:tcPr>
            <w:tcW w:w="5260" w:type="dxa"/>
            <w:vAlign w:val="bottom"/>
          </w:tcPr>
          <w:p>
            <w:pPr>
              <w:spacing w:after="0"/>
              <w:rPr>
                <w:sz w:val="13"/>
                <w:szCs w:val="13"/>
                <w:color w:val="auto"/>
              </w:rPr>
            </w:pPr>
          </w:p>
        </w:tc>
        <w:tc>
          <w:tcPr>
            <w:tcW w:w="122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124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September 30,</w:t>
            </w:r>
          </w:p>
        </w:tc>
        <w:tc>
          <w:tcPr>
            <w:tcW w:w="112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526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0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29,571</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19,358</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68,533</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35,099</w:t>
            </w:r>
          </w:p>
        </w:tc>
        <w:tc>
          <w:tcPr>
            <w:tcW w:w="100" w:type="dxa"/>
            <w:vAlign w:val="bottom"/>
            <w:shd w:val="clear" w:color="auto" w:fill="CFF0FC"/>
          </w:tcPr>
          <w:p>
            <w:pPr>
              <w:spacing w:after="0"/>
              <w:rPr>
                <w:sz w:val="18"/>
                <w:szCs w:val="18"/>
                <w:color w:val="auto"/>
              </w:rPr>
            </w:pPr>
          </w:p>
        </w:tc>
      </w:tr>
      <w:tr>
        <w:trPr>
          <w:trHeight w:val="197"/>
        </w:trPr>
        <w:tc>
          <w:tcPr>
            <w:tcW w:w="5260" w:type="dxa"/>
            <w:vAlign w:val="bottom"/>
          </w:tcPr>
          <w:p>
            <w:pPr>
              <w:spacing w:after="0" w:line="197" w:lineRule="exact"/>
              <w:rPr>
                <w:sz w:val="20"/>
                <w:szCs w:val="20"/>
                <w:color w:val="auto"/>
              </w:rPr>
            </w:pPr>
            <w:r>
              <w:rPr>
                <w:rFonts w:ascii="Arial" w:cs="Arial" w:eastAsia="Arial" w:hAnsi="Arial"/>
                <w:sz w:val="18"/>
                <w:szCs w:val="18"/>
                <w:color w:val="auto"/>
              </w:rPr>
              <w:t>Convertible senior notes if-converted method interest</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adjustment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CFF0FC"/>
            </w:tcBorders>
          </w:tcPr>
          <w:p>
            <w:pPr>
              <w:spacing w:after="0"/>
              <w:rPr>
                <w:sz w:val="19"/>
                <w:szCs w:val="19"/>
                <w:color w:val="auto"/>
              </w:rPr>
            </w:pPr>
          </w:p>
        </w:tc>
      </w:tr>
      <w:tr>
        <w:trPr>
          <w:trHeight w:val="209"/>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net income attributable to Parsons Corporation</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30,116</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19,892</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70,160</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10" w:lineRule="exact"/>
        <w:rPr>
          <w:sz w:val="20"/>
          <w:szCs w:val="20"/>
          <w:color w:val="auto"/>
        </w:rPr>
      </w:pPr>
    </w:p>
    <w:p>
      <w:pPr>
        <w:ind w:right="200" w:firstLine="749"/>
        <w:spacing w:after="0" w:line="244" w:lineRule="auto"/>
        <w:rPr>
          <w:sz w:val="20"/>
          <w:szCs w:val="20"/>
          <w:color w:val="auto"/>
        </w:rPr>
      </w:pPr>
      <w:r>
        <w:rPr>
          <w:rFonts w:ascii="Arial" w:cs="Arial" w:eastAsia="Arial" w:hAnsi="Arial"/>
          <w:sz w:val="18"/>
          <w:szCs w:val="18"/>
          <w:color w:val="auto"/>
        </w:rPr>
        <w:t>In August 2021, the Company’s Board of Directors authorized a stock repurchase program to repurchase up to $100.0 million of shares of Common stock. Repurchases under this stock repurchase program commenced on August 12, 2021. Any and all shares of Common Stock purchased by the Company pursuant to the program shall be retired upon their acquisition and shall not become treasury shares but instead shall resume the status of authorized but unissued shares of Common Stock. The table below presents information on this repurchase program:</w:t>
      </w:r>
    </w:p>
    <w:p>
      <w:pPr>
        <w:spacing w:after="0" w:line="30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60"/>
        </w:trPr>
        <w:tc>
          <w:tcPr>
            <w:tcW w:w="3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60" w:type="dxa"/>
            <w:vAlign w:val="bottom"/>
            <w:gridSpan w:val="2"/>
          </w:tcPr>
          <w:p>
            <w:pPr>
              <w:jc w:val="right"/>
              <w:ind w:right="17"/>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14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160" w:type="dxa"/>
            <w:vAlign w:val="bottom"/>
            <w:gridSpan w:val="2"/>
          </w:tcPr>
          <w:p>
            <w:pPr>
              <w:jc w:val="right"/>
              <w:ind w:right="17"/>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260" w:type="dxa"/>
            <w:vAlign w:val="bottom"/>
            <w:gridSpan w:val="3"/>
          </w:tcPr>
          <w:p>
            <w:pPr>
              <w:ind w:left="8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3540" w:type="dxa"/>
            <w:vAlign w:val="bottom"/>
            <w:tcBorders>
              <w:bottom w:val="single" w:sz="8" w:color="CFF0FC"/>
            </w:tcBorders>
          </w:tcPr>
          <w:p>
            <w:pPr>
              <w:spacing w:after="0"/>
              <w:rPr>
                <w:sz w:val="14"/>
                <w:szCs w:val="14"/>
                <w:color w:val="auto"/>
              </w:rPr>
            </w:pPr>
          </w:p>
        </w:tc>
        <w:tc>
          <w:tcPr>
            <w:tcW w:w="1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0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Total shares repurchased</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95,413</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245,000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522,501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245,000</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Total shares retired</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95,413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245,000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522,501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245,000</w:t>
            </w:r>
          </w:p>
        </w:tc>
        <w:tc>
          <w:tcPr>
            <w:tcW w:w="100" w:type="dxa"/>
            <w:vAlign w:val="bottom"/>
          </w:tcPr>
          <w:p>
            <w:pPr>
              <w:spacing w:after="0"/>
              <w:rPr>
                <w:sz w:val="18"/>
                <w:szCs w:val="18"/>
                <w:color w:val="auto"/>
              </w:rPr>
            </w:pPr>
          </w:p>
        </w:tc>
      </w:tr>
      <w:tr>
        <w:trPr>
          <w:trHeight w:val="216"/>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Average price paid per share</w:t>
            </w:r>
          </w:p>
        </w:tc>
        <w:tc>
          <w:tcPr>
            <w:tcW w:w="15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w:t>
            </w:r>
          </w:p>
        </w:tc>
        <w:tc>
          <w:tcPr>
            <w:tcW w:w="4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35.51</w:t>
            </w:r>
          </w:p>
        </w:tc>
        <w:tc>
          <w:tcPr>
            <w:tcW w:w="4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37.32</w:t>
            </w:r>
          </w:p>
        </w:tc>
        <w:tc>
          <w:tcPr>
            <w:tcW w:w="4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35.51</w:t>
            </w:r>
          </w:p>
        </w:tc>
        <w:tc>
          <w:tcPr>
            <w:tcW w:w="100" w:type="dxa"/>
            <w:vAlign w:val="bottom"/>
            <w:shd w:val="clear" w:color="auto" w:fill="CFF0FC"/>
          </w:tcPr>
          <w:p>
            <w:pPr>
              <w:spacing w:after="0"/>
              <w:rPr>
                <w:sz w:val="18"/>
                <w:szCs w:val="18"/>
                <w:color w:val="auto"/>
              </w:rPr>
            </w:pPr>
          </w:p>
        </w:tc>
      </w:tr>
    </w:tbl>
    <w:p>
      <w:pPr>
        <w:spacing w:after="0" w:line="2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September 30, 2022, the Company has $58.8 million remaining under the stock repurchase program.</w:t>
      </w:r>
    </w:p>
    <w:p>
      <w:pPr>
        <w:spacing w:after="0" w:line="104"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340" w:firstLine="637"/>
        <w:spacing w:after="0" w:line="247"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cybersecurity, missile defense, and military facility modernization, logistics support, hazardous material remediation and engineering services.</w:t>
      </w:r>
    </w:p>
    <w:p>
      <w:pPr>
        <w:spacing w:after="0" w:line="174" w:lineRule="exact"/>
        <w:rPr>
          <w:sz w:val="20"/>
          <w:szCs w:val="20"/>
          <w:color w:val="auto"/>
        </w:rPr>
      </w:pPr>
    </w:p>
    <w:p>
      <w:pPr>
        <w:ind w:firstLine="637"/>
        <w:spacing w:after="0" w:line="247"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174" w:lineRule="exact"/>
        <w:rPr>
          <w:sz w:val="20"/>
          <w:szCs w:val="20"/>
          <w:color w:val="auto"/>
        </w:rPr>
      </w:pPr>
    </w:p>
    <w:p>
      <w:pPr>
        <w:ind w:right="60" w:firstLine="637"/>
        <w:spacing w:after="0" w:line="271"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its Chairwoman and Chief Executive Officer, evaluates the performance of each segment and manages the operations of the</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28" w:name="page29"/>
    <w:bookmarkEnd w:id="28"/>
    <w:p>
      <w:pPr>
        <w:ind w:right="180"/>
        <w:spacing w:after="0" w:line="271" w:lineRule="auto"/>
        <w:rPr>
          <w:sz w:val="20"/>
          <w:szCs w:val="20"/>
          <w:color w:val="auto"/>
        </w:rPr>
      </w:pPr>
      <w:r>
        <w:rPr>
          <w:rFonts w:ascii="Arial" w:cs="Arial" w:eastAsia="Arial" w:hAnsi="Arial"/>
          <w:sz w:val="18"/>
          <w:szCs w:val="18"/>
          <w:color w:val="auto"/>
        </w:rPr>
        <w:t>Company for purposes of allocating resources among the segments. The CODM evaluates segment operating performance using segment Revenue and segment Adjusted EBITDA attributable to Parsons Corporation.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business segment revenue for the periods presented (in thousands):</w:t>
      </w: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r>
      <w:tr>
        <w:trPr>
          <w:trHeight w:val="160"/>
        </w:trPr>
        <w:tc>
          <w:tcPr>
            <w:tcW w:w="5140" w:type="dxa"/>
            <w:vAlign w:val="bottom"/>
          </w:tcPr>
          <w:p>
            <w:pPr>
              <w:spacing w:after="0"/>
              <w:rPr>
                <w:sz w:val="13"/>
                <w:szCs w:val="13"/>
                <w:color w:val="auto"/>
              </w:rPr>
            </w:pPr>
          </w:p>
        </w:tc>
        <w:tc>
          <w:tcPr>
            <w:tcW w:w="122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3"/>
                <w:szCs w:val="13"/>
                <w:color w:val="auto"/>
              </w:rPr>
            </w:pPr>
          </w:p>
        </w:tc>
        <w:tc>
          <w:tcPr>
            <w:tcW w:w="104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16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5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0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 revenue</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620,416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499,291</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1,649,601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1,394,035</w:t>
            </w:r>
          </w:p>
        </w:tc>
        <w:tc>
          <w:tcPr>
            <w:tcW w:w="120" w:type="dxa"/>
            <w:vAlign w:val="bottom"/>
            <w:shd w:val="clear" w:color="auto" w:fill="CFF0FC"/>
          </w:tcPr>
          <w:p>
            <w:pPr>
              <w:spacing w:after="0"/>
              <w:rPr>
                <w:sz w:val="18"/>
                <w:szCs w:val="18"/>
                <w:color w:val="auto"/>
              </w:rPr>
            </w:pP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 revenue</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513,954</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456,759</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1,442,559</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1,316,068</w:t>
            </w:r>
          </w:p>
        </w:tc>
        <w:tc>
          <w:tcPr>
            <w:tcW w:w="120" w:type="dxa"/>
            <w:vAlign w:val="bottom"/>
            <w:tcBorders>
              <w:bottom w:val="single" w:sz="8" w:color="CFF0FC"/>
            </w:tcBorders>
          </w:tcPr>
          <w:p>
            <w:pPr>
              <w:spacing w:after="0"/>
              <w:rPr>
                <w:sz w:val="18"/>
                <w:szCs w:val="18"/>
                <w:color w:val="auto"/>
              </w:rPr>
            </w:pPr>
          </w:p>
        </w:tc>
      </w:tr>
      <w:tr>
        <w:trPr>
          <w:trHeight w:val="210"/>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1,134,370</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956,050</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3,092,160</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2,710,103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637"/>
        <w:spacing w:after="0"/>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equity-based compensation, income and expense recognized on litigation matters, expenses incurred in connection with acquisitions and other non-recurring transaction costs and expenses related to our prior restructuring. The following table reconciles business segment Adjusted EBITDA attributable to Parsons Corporation to Net Income attributable to Parsons Corporation for the periods presented (in thousands):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391"/>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780" w:type="dxa"/>
            <w:vAlign w:val="bottom"/>
            <w:vMerge w:val="restart"/>
          </w:tcPr>
          <w:p>
            <w:pPr>
              <w:spacing w:after="0"/>
              <w:rPr>
                <w:sz w:val="20"/>
                <w:szCs w:val="20"/>
                <w:color w:val="auto"/>
              </w:rPr>
            </w:pPr>
            <w:r>
              <w:rPr>
                <w:rFonts w:ascii="Arial" w:cs="Arial" w:eastAsia="Arial" w:hAnsi="Arial"/>
                <w:sz w:val="18"/>
                <w:szCs w:val="18"/>
                <w:color w:val="auto"/>
              </w:rPr>
              <w:t>Adjusted EBITDA attributable to Parsons Corporation</w:t>
            </w:r>
          </w:p>
        </w:tc>
        <w:tc>
          <w:tcPr>
            <w:tcW w:w="360" w:type="dxa"/>
            <w:vAlign w:val="bottom"/>
          </w:tcPr>
          <w:p>
            <w:pPr>
              <w:spacing w:after="0"/>
              <w:rPr>
                <w:sz w:val="13"/>
                <w:szCs w:val="13"/>
                <w:color w:val="auto"/>
              </w:rPr>
            </w:pPr>
          </w:p>
        </w:tc>
        <w:tc>
          <w:tcPr>
            <w:tcW w:w="122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122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24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3"/>
                <w:szCs w:val="13"/>
                <w:color w:val="auto"/>
              </w:rPr>
            </w:pPr>
          </w:p>
        </w:tc>
        <w:tc>
          <w:tcPr>
            <w:tcW w:w="114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4780" w:type="dxa"/>
            <w:vAlign w:val="bottom"/>
            <w:tcBorders>
              <w:bottom w:val="single" w:sz="8" w:color="CFF0FC"/>
            </w:tcBorders>
            <w:vMerge w:val="continue"/>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Solutions</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61,004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46,481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151,287</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Critical Infrastructure</w:t>
            </w:r>
          </w:p>
        </w:tc>
        <w:tc>
          <w:tcPr>
            <w:tcW w:w="3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27,545</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30,371</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81,020</w:t>
            </w:r>
          </w:p>
        </w:tc>
        <w:tc>
          <w:tcPr>
            <w:tcW w:w="2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89,845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Parsons Corporation</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88,549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76,852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232,307</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(29,578)</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(37,232)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(90,668)</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(106,540)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(5,941)</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(3,987)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(14,168)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(13,188)</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(13,792)</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(9,165)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(27,643)</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(18,378)</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(7,125)</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(3,224)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(15,814)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(15,125)</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Transaction-related costs (a)</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(2,563)</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(2,537)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(14,486)</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(9,269)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Restructuring expense (b)</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 (c)</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(1,121)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(1,139)</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09"/>
        </w:trPr>
        <w:tc>
          <w:tcPr>
            <w:tcW w:w="478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43,595</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14,024</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21,685</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8"/>
                <w:szCs w:val="18"/>
                <w:color w:val="auto"/>
              </w:rPr>
              <w:t>Net income attributable to Parsons Corporation</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40" w:right="140" w:hanging="632"/>
        <w:spacing w:after="0" w:line="245"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ind w:left="640" w:hanging="632"/>
        <w:spacing w:after="0" w:line="23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costs associated with corporate restructuring initiatives.</w:t>
      </w:r>
    </w:p>
    <w:p>
      <w:pPr>
        <w:ind w:left="640" w:right="120" w:hanging="632"/>
        <w:spacing w:after="0" w:line="250"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7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Asset information by segment is not a key measure of performance used by the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-907415</wp:posOffset>
            </wp:positionV>
            <wp:extent cx="9512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ind w:left="640"/>
        <w:spacing w:after="0"/>
        <w:rPr>
          <w:sz w:val="20"/>
          <w:szCs w:val="20"/>
          <w:color w:val="auto"/>
        </w:rPr>
      </w:pPr>
      <w:r>
        <w:rPr>
          <w:rFonts w:ascii="Arial" w:cs="Arial" w:eastAsia="Arial" w:hAnsi="Arial"/>
          <w:sz w:val="18"/>
          <w:szCs w:val="18"/>
          <w:color w:val="auto"/>
        </w:rPr>
        <w:t>The following tables present revenues and property and equipment, net by geographic area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512"/>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112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500" w:type="dxa"/>
            <w:vAlign w:val="bottom"/>
            <w:gridSpan w:val="4"/>
          </w:tcPr>
          <w:p>
            <w:pPr>
              <w:ind w:left="80"/>
              <w:spacing w:after="0" w:line="160" w:lineRule="exact"/>
              <w:rPr>
                <w:sz w:val="20"/>
                <w:szCs w:val="20"/>
                <w:color w:val="auto"/>
              </w:rPr>
            </w:pPr>
            <w:r>
              <w:rPr>
                <w:rFonts w:ascii="Arial" w:cs="Arial" w:eastAsia="Arial" w:hAnsi="Arial"/>
                <w:sz w:val="14"/>
                <w:szCs w:val="14"/>
                <w:b w:val="1"/>
                <w:bCs w:val="1"/>
                <w:color w:val="auto"/>
              </w:rPr>
              <w:t>September 30,</w:t>
            </w:r>
          </w:p>
        </w:tc>
        <w:tc>
          <w:tcPr>
            <w:tcW w:w="1380" w:type="dxa"/>
            <w:vAlign w:val="bottom"/>
            <w:gridSpan w:val="6"/>
          </w:tcPr>
          <w:p>
            <w:pPr>
              <w:jc w:val="center"/>
              <w:ind w:right="260"/>
              <w:spacing w:after="0" w:line="160"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3"/>
          </w:tcPr>
          <w:p>
            <w:pPr>
              <w:ind w:left="60"/>
              <w:spacing w:after="0" w:line="160"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574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944,942</w:t>
            </w:r>
          </w:p>
        </w:tc>
        <w:tc>
          <w:tcPr>
            <w:tcW w:w="48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804,122</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2,571,741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2,245,515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60"/>
              <w:spacing w:after="0"/>
              <w:rPr>
                <w:sz w:val="20"/>
                <w:szCs w:val="20"/>
                <w:color w:val="auto"/>
              </w:rPr>
            </w:pPr>
            <w:r>
              <w:rPr>
                <w:rFonts w:ascii="Arial" w:cs="Arial" w:eastAsia="Arial" w:hAnsi="Arial"/>
                <w:sz w:val="18"/>
                <w:szCs w:val="18"/>
                <w:color w:val="auto"/>
              </w:rPr>
              <w:t>Middle East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184,680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147,207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504,078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448,525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 of World</w:t>
            </w: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4,748</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4,721</w:t>
            </w:r>
          </w:p>
        </w:tc>
        <w:tc>
          <w:tcPr>
            <w:tcW w:w="3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16,341</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1,134,370</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956,050</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3,092,160</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2,710,103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340" w:type="dxa"/>
            <w:vAlign w:val="bottom"/>
            <w:gridSpan w:val="5"/>
          </w:tcPr>
          <w:p>
            <w:pPr>
              <w:ind w:left="640"/>
              <w:spacing w:after="0"/>
              <w:rPr>
                <w:sz w:val="20"/>
                <w:szCs w:val="20"/>
                <w:color w:val="auto"/>
              </w:rPr>
            </w:pPr>
            <w:r>
              <w:rPr>
                <w:rFonts w:ascii="Arial" w:cs="Arial" w:eastAsia="Arial" w:hAnsi="Arial"/>
                <w:sz w:val="18"/>
                <w:szCs w:val="18"/>
                <w:color w:val="auto"/>
              </w:rPr>
              <w:t>The geographic location of revenue is determined by the location of the customer.</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Borders>
              <w:bottom w:val="single" w:sz="8" w:color="auto"/>
            </w:tcBorders>
            <w:gridSpan w:val="4"/>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4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5"/>
          </w:tcPr>
          <w:p>
            <w:pPr>
              <w:ind w:left="10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8"/>
                <w:szCs w:val="18"/>
                <w:color w:val="auto"/>
              </w:rPr>
            </w:pPr>
          </w:p>
        </w:tc>
        <w:tc>
          <w:tcPr>
            <w:tcW w:w="168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09"/>
        </w:trPr>
        <w:tc>
          <w:tcPr>
            <w:tcW w:w="5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59"/>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90,820</w:t>
            </w:r>
          </w:p>
        </w:tc>
        <w:tc>
          <w:tcPr>
            <w:tcW w:w="1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Middle East</w:t>
            </w:r>
          </w:p>
        </w:tc>
        <w:tc>
          <w:tcPr>
            <w:tcW w:w="20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2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5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94,518</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104,196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right="220" w:firstLine="637"/>
        <w:spacing w:after="0" w:line="270" w:lineRule="auto"/>
        <w:rPr>
          <w:sz w:val="20"/>
          <w:szCs w:val="20"/>
          <w:color w:val="auto"/>
        </w:rPr>
      </w:pPr>
      <w:r>
        <w:rPr>
          <w:rFonts w:ascii="Arial" w:cs="Arial" w:eastAsia="Arial" w:hAnsi="Arial"/>
          <w:sz w:val="17"/>
          <w:szCs w:val="17"/>
          <w:color w:val="auto"/>
        </w:rPr>
        <w:t>North America includes revenue in the United States for the three months ended September 30, 2022 and September 30, 2021 of $851.5 million and $730.7 million, respectively, and for the nine months ended September 30, 2022 and September 30, 2021 of $2.3 billion</w:t>
      </w:r>
    </w:p>
    <w:p>
      <w:pPr>
        <w:spacing w:after="0" w:line="2" w:lineRule="exact"/>
        <w:rPr>
          <w:sz w:val="20"/>
          <w:szCs w:val="20"/>
          <w:color w:val="auto"/>
        </w:rPr>
      </w:pPr>
    </w:p>
    <w:p>
      <w:pPr>
        <w:ind w:right="940"/>
        <w:spacing w:after="0" w:line="276" w:lineRule="auto"/>
        <w:rPr>
          <w:sz w:val="20"/>
          <w:szCs w:val="20"/>
          <w:color w:val="auto"/>
        </w:rPr>
      </w:pPr>
      <w:r>
        <w:rPr>
          <w:rFonts w:ascii="Arial" w:cs="Arial" w:eastAsia="Arial" w:hAnsi="Arial"/>
          <w:sz w:val="18"/>
          <w:szCs w:val="18"/>
          <w:color w:val="auto"/>
        </w:rPr>
        <w:t>and $2.0 billion, respectively. North America property and equipment, net includes $84.0 million and $95.0 million of property and equipment, net in the United States at September 30, 2022 and December 31, 2021, respectively.</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revenues by business units (in thousands):</w:t>
      </w: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2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3"/>
                <w:szCs w:val="13"/>
                <w:color w:val="auto"/>
              </w:rPr>
            </w:pPr>
          </w:p>
        </w:tc>
        <w:tc>
          <w:tcPr>
            <w:tcW w:w="104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16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392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Defense and Intelligence</w:t>
            </w:r>
          </w:p>
        </w:tc>
        <w:tc>
          <w:tcPr>
            <w:tcW w:w="138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351,419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332,080</w:t>
            </w:r>
          </w:p>
        </w:tc>
        <w:tc>
          <w:tcPr>
            <w:tcW w:w="46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1,037,244</w:t>
            </w:r>
          </w:p>
        </w:tc>
        <w:tc>
          <w:tcPr>
            <w:tcW w:w="3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929,044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Engineered Systems</w:t>
            </w:r>
          </w:p>
        </w:tc>
        <w:tc>
          <w:tcPr>
            <w:tcW w:w="1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268,997</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167,211</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612,357</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464,991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Solutions revenues</w:t>
            </w:r>
          </w:p>
        </w:tc>
        <w:tc>
          <w:tcPr>
            <w:tcW w:w="1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620,416</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499,291</w:t>
            </w:r>
          </w:p>
        </w:tc>
        <w:tc>
          <w:tcPr>
            <w:tcW w:w="3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1,649,601</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1,394,035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480"/>
              <w:spacing w:after="0"/>
              <w:rPr>
                <w:sz w:val="20"/>
                <w:szCs w:val="20"/>
                <w:color w:val="auto"/>
              </w:rPr>
            </w:pPr>
            <w:r>
              <w:rPr>
                <w:rFonts w:ascii="Arial" w:cs="Arial" w:eastAsia="Arial" w:hAnsi="Arial"/>
                <w:sz w:val="18"/>
                <w:szCs w:val="18"/>
                <w:color w:val="auto"/>
              </w:rPr>
              <w:t>Mobility Solutions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329,666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293,799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924,834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871,220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Connected Communities</w:t>
            </w:r>
          </w:p>
        </w:tc>
        <w:tc>
          <w:tcPr>
            <w:tcW w:w="1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184,288</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162,960</w:t>
            </w:r>
          </w:p>
        </w:tc>
        <w:tc>
          <w:tcPr>
            <w:tcW w:w="3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517,725</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444,848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Critical Infrastructure revenues</w:t>
            </w:r>
          </w:p>
        </w:tc>
        <w:tc>
          <w:tcPr>
            <w:tcW w:w="1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513,954</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456,759</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1,442,559</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1,316,068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1,134,370</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956,050</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3,092,160</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2,710,103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20" w:firstLine="749"/>
        <w:spacing w:after="0" w:line="242" w:lineRule="auto"/>
        <w:rPr>
          <w:sz w:val="20"/>
          <w:szCs w:val="20"/>
          <w:color w:val="auto"/>
        </w:rPr>
      </w:pPr>
      <w:r>
        <w:rPr>
          <w:rFonts w:ascii="Arial" w:cs="Arial" w:eastAsia="Arial" w:hAnsi="Arial"/>
          <w:sz w:val="18"/>
          <w:szCs w:val="18"/>
          <w:color w:val="auto"/>
        </w:rPr>
        <w:t>Effective July 1, 2021, the Company made changes to its Federal Solutions business units by consolidating Space &amp; Geospatial Solutions, Cyber &amp; Intelligence, and Missile Defense &amp; C5ISR into a new Defense and Intelligence business unit. Effective January 1, 2022, the Company made changes to its Critical Infrastructure business units by transferring a portion of legacy Mobility Solutions to the Connected Communities business unit. Effective June 1, 2022, the Company made changes to its Federal Solutions business units by transferring a portion of legacy Defense and Intelligence business unit to the Engineered Systems business unit. The prior year information in the table above has been reclassified to conform to the business line changes.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ind w:left="640" w:hanging="632"/>
        <w:spacing w:after="0"/>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1" w:lineRule="exact"/>
        <w:rPr>
          <w:sz w:val="20"/>
          <w:szCs w:val="20"/>
          <w:color w:val="auto"/>
        </w:rPr>
      </w:pPr>
    </w:p>
    <w:p>
      <w:pPr>
        <w:ind w:firstLine="722"/>
        <w:spacing w:after="0" w:line="249" w:lineRule="auto"/>
        <w:rPr>
          <w:sz w:val="20"/>
          <w:szCs w:val="20"/>
          <w:color w:val="auto"/>
        </w:rPr>
      </w:pPr>
      <w:r>
        <w:rPr>
          <w:rFonts w:ascii="Arial" w:cs="Arial" w:eastAsia="Arial" w:hAnsi="Arial"/>
          <w:sz w:val="18"/>
          <w:szCs w:val="18"/>
          <w:color w:val="auto"/>
        </w:rPr>
        <w:t>On October 26, 2022, the Company prepaid its outstanding private placement debt of $200.0 million described in Note 10 – Debt and Credit Facilities with borrowings under the revolving credit facility. In connection with the prepayment, the Company incurred $ 2.1 million of additional interest expense associated with a make-whole amount and unamortized debt issuance costs. On October 28, 2022, the Company borrowed $350.0 million on the 2022 Delayed Draw Term Loan described in Note 10 – Debt and Credit Facilities and used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proceeds to pay down the borrowings under the revolving credit facility.</w:t>
      </w: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77" w:right="4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ind w:right="180" w:firstLine="637"/>
        <w:spacing w:after="0" w:line="246"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10-K for the year ended December 31, 2021.</w:t>
      </w:r>
    </w:p>
    <w:p>
      <w:pPr>
        <w:spacing w:after="0" w:line="177" w:lineRule="exact"/>
        <w:rPr>
          <w:sz w:val="20"/>
          <w:szCs w:val="20"/>
          <w:color w:val="auto"/>
        </w:rPr>
      </w:pPr>
    </w:p>
    <w:p>
      <w:pPr>
        <w:ind w:right="20" w:firstLine="637"/>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10-K for the year ended December 31, 2021. We undertake no obligation to revise publicly any forward-looking statements. Actual results may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144780</wp:posOffset>
            </wp:positionV>
            <wp:extent cx="6172200" cy="3471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right="160" w:firstLine="637"/>
        <w:spacing w:after="0" w:line="244" w:lineRule="auto"/>
        <w:rPr>
          <w:sz w:val="20"/>
          <w:szCs w:val="20"/>
          <w:color w:val="auto"/>
        </w:rPr>
      </w:pPr>
      <w:r>
        <w:rPr>
          <w:rFonts w:ascii="Arial" w:cs="Arial" w:eastAsia="Arial" w:hAnsi="Arial"/>
          <w:sz w:val="18"/>
          <w:szCs w:val="18"/>
          <w:color w:val="auto"/>
        </w:rPr>
        <w:t>We are a leading provider of the integrated solutions and services required in today’s complex security environment and a world of digital transformation. We deliver innovative technology-driven solutions to customers worldwide. We have developed significant expertise and differentiated capabilities in key areas of cybersecurity, intelligence, missile defense, C5ISR, space, transportation, water/wastewater and environmental remediation. By combining our talented team of professionals and advanced technology, we solve complex technical challenges to enable a safer, smarter, more secure and more connected world.</w:t>
      </w:r>
    </w:p>
    <w:p>
      <w:pPr>
        <w:spacing w:after="0" w:line="176" w:lineRule="exact"/>
        <w:rPr>
          <w:sz w:val="20"/>
          <w:szCs w:val="20"/>
          <w:color w:val="auto"/>
        </w:rPr>
      </w:pPr>
    </w:p>
    <w:p>
      <w:pPr>
        <w:ind w:right="60" w:firstLine="637"/>
        <w:spacing w:after="0" w:line="253" w:lineRule="auto"/>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p>
    <w:p>
      <w:pPr>
        <w:spacing w:after="0" w:line="169" w:lineRule="exact"/>
        <w:rPr>
          <w:sz w:val="20"/>
          <w:szCs w:val="20"/>
          <w:color w:val="auto"/>
        </w:rPr>
      </w:pPr>
    </w:p>
    <w:p>
      <w:pPr>
        <w:ind w:firstLine="637"/>
        <w:spacing w:after="0" w:line="271"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32" w:name="page33"/>
    <w:bookmarkEnd w:id="32"/>
    <w:p>
      <w:pPr>
        <w:ind w:right="60"/>
        <w:spacing w:after="0" w:line="247" w:lineRule="auto"/>
        <w:rPr>
          <w:sz w:val="20"/>
          <w:szCs w:val="20"/>
          <w:color w:val="auto"/>
        </w:rPr>
      </w:pPr>
      <w:r>
        <w:rPr>
          <w:rFonts w:ascii="Arial" w:cs="Arial" w:eastAsia="Arial" w:hAnsi="Arial"/>
          <w:sz w:val="18"/>
          <w:szCs w:val="18"/>
          <w:color w:val="auto"/>
        </w:rPr>
        <w:t>revenues for future periods. Many of our contracts and task orders are subject to renewal and rebidding at the end of their term, and some are subject to the exercise of contract options and issuance of task orders by the applicable government entity. In addition to focusing on increasing our revenues through increased contract awards and backlog, we focus our financial performance on margin expansion and cash flow.</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Key Metrics</w:t>
      </w:r>
    </w:p>
    <w:p>
      <w:pPr>
        <w:spacing w:after="0" w:line="212" w:lineRule="exact"/>
        <w:rPr>
          <w:sz w:val="20"/>
          <w:szCs w:val="20"/>
          <w:color w:val="auto"/>
        </w:rPr>
      </w:pPr>
    </w:p>
    <w:p>
      <w:pPr>
        <w:ind w:right="240" w:firstLine="637"/>
        <w:spacing w:after="0" w:line="271"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126365</wp:posOffset>
            </wp:positionV>
            <wp:extent cx="20059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2022</w:t>
            </w:r>
          </w:p>
        </w:tc>
        <w:tc>
          <w:tcPr>
            <w:tcW w:w="240" w:type="dxa"/>
            <w:vAlign w:val="bottom"/>
          </w:tcPr>
          <w:p>
            <w:pPr>
              <w:spacing w:after="0"/>
              <w:rPr>
                <w:sz w:val="14"/>
                <w:szCs w:val="14"/>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2021</w:t>
            </w:r>
          </w:p>
        </w:tc>
      </w:tr>
      <w:tr>
        <w:trPr>
          <w:trHeight w:val="209"/>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(year to date)</w:t>
            </w:r>
          </w:p>
        </w:tc>
        <w:tc>
          <w:tcPr>
            <w:tcW w:w="24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3,167,023</w:t>
            </w: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3,736,126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Backlog (1)</w:t>
            </w:r>
          </w:p>
        </w:tc>
        <w:tc>
          <w:tcPr>
            <w:tcW w:w="278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8,228,989</w:t>
            </w:r>
          </w:p>
        </w:tc>
        <w:tc>
          <w:tcPr>
            <w:tcW w:w="62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8,584,539</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Book-to-Bill (year to date)</w:t>
            </w:r>
          </w:p>
        </w:tc>
        <w:tc>
          <w:tcPr>
            <w:tcW w:w="24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jc w:val="both"/>
        <w:ind w:left="640" w:right="40" w:hanging="632"/>
        <w:spacing w:after="0" w:line="253"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Difference between our backlog of $8.2 billion and our remaining unsatisfied performance obligations, or RUPO, of $5.8 billion, each as of September 30, 2022, is due to (i) unissued task orders and unexercised option years, to the extent their issuance or exercise is probable, as well as (ii) contract awards, to the extent we believe contract execution and funding is probable.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02" w:lineRule="exact"/>
        <w:rPr>
          <w:sz w:val="20"/>
          <w:szCs w:val="20"/>
          <w:color w:val="auto"/>
        </w:rPr>
      </w:pPr>
    </w:p>
    <w:p>
      <w:pPr>
        <w:ind w:right="220" w:firstLine="637"/>
        <w:spacing w:after="0" w:line="253" w:lineRule="auto"/>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year to-date value of new awards for the periods presented below (in thousands):</w:t>
      </w: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60"/>
        </w:trPr>
        <w:tc>
          <w:tcPr>
            <w:tcW w:w="5120" w:type="dxa"/>
            <w:vAlign w:val="bottom"/>
          </w:tcPr>
          <w:p>
            <w:pPr>
              <w:spacing w:after="0"/>
              <w:rPr>
                <w:sz w:val="13"/>
                <w:szCs w:val="13"/>
                <w:color w:val="auto"/>
              </w:rPr>
            </w:pPr>
          </w:p>
        </w:tc>
        <w:tc>
          <w:tcPr>
            <w:tcW w:w="106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06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08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180" w:type="dxa"/>
            <w:vAlign w:val="bottom"/>
            <w:gridSpan w:val="3"/>
          </w:tcPr>
          <w:p>
            <w:pPr>
              <w:ind w:left="4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5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1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685,599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560,733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1,535,041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2,203,767</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572,657</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482,836</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1,631,982</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1,532,359</w:t>
            </w:r>
          </w:p>
        </w:tc>
        <w:tc>
          <w:tcPr>
            <w:tcW w:w="100" w:type="dxa"/>
            <w:vAlign w:val="bottom"/>
            <w:tcBorders>
              <w:bottom w:val="single" w:sz="8" w:color="CFF0FC"/>
            </w:tcBorders>
          </w:tcPr>
          <w:p>
            <w:pPr>
              <w:spacing w:after="0"/>
              <w:rPr>
                <w:sz w:val="18"/>
                <w:szCs w:val="18"/>
                <w:color w:val="auto"/>
              </w:rPr>
            </w:pPr>
          </w:p>
        </w:tc>
      </w:tr>
      <w:tr>
        <w:trPr>
          <w:trHeight w:val="210"/>
        </w:trPr>
        <w:tc>
          <w:tcPr>
            <w:tcW w:w="5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Awards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1,258,256</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1,043,569</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3,167,023</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3,736,126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firstLine="637"/>
        <w:spacing w:after="0"/>
        <w:rPr>
          <w:sz w:val="20"/>
          <w:szCs w:val="20"/>
          <w:color w:val="auto"/>
        </w:rPr>
      </w:pPr>
      <w:r>
        <w:rPr>
          <w:rFonts w:ascii="Arial" w:cs="Arial" w:eastAsia="Arial" w:hAnsi="Arial"/>
          <w:sz w:val="18"/>
          <w:szCs w:val="18"/>
          <w:color w:val="auto"/>
        </w:rPr>
        <w:t>The change in new awards from year to year is primarily due to ordinary course fluctuations in our business. The volume of contract awards can fluctuate in any given period due to win rate and the timing and size of the awards issued by our customers. The change in new awards in our Federal Solutions segment for the three months ended September 30, 2022 when compared to the corresponding period last year was primarily due to three large awards during 2022. The change in new awards in our Federal Solutions segment for the nine months ended September 30, 2022 when compared to the corresponding period last year was primarily due to a significant contract awarded in the second quarter of 2021. The awards in Critical Infrastructure for the three and nine months ended September 30, 2022 were higher primarily due to several new awards during the third quarter of 2022, a large contract value increase in the second quarter of 2022, partially offset on a year to date basis by several large contracts awarded in the first quarter of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880" w:right="580" w:hanging="238"/>
        <w:spacing w:after="0" w:line="271"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Funded—Funded backlog represents future revenue anticipated from orders for services under existing contracts for which funding is appropriated or otherwise authorized.</w:t>
      </w:r>
    </w:p>
    <w:p>
      <w:pPr>
        <w:spacing w:after="0" w:line="45" w:lineRule="exact"/>
        <w:rPr>
          <w:rFonts w:ascii="Arial" w:cs="Arial" w:eastAsia="Arial" w:hAnsi="Arial"/>
          <w:sz w:val="18"/>
          <w:szCs w:val="18"/>
          <w:color w:val="auto"/>
        </w:rPr>
      </w:pPr>
    </w:p>
    <w:p>
      <w:pPr>
        <w:ind w:left="880" w:right="240" w:hanging="238"/>
        <w:spacing w:after="0" w:line="271"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Unfunded—Unfunded backlog represents future revenue anticipated from orders for services under existing contracts for which funding has not been appropriated or otherwise authorized.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3" w:name="page34"/>
    <w:bookmarkEnd w:id="33"/>
    <w:p>
      <w:pPr>
        <w:ind w:right="160" w:firstLine="637"/>
        <w:spacing w:after="0" w:line="271"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value of our backlog at the respective dates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163195</wp:posOffset>
            </wp:positionV>
            <wp:extent cx="20059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29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60" w:type="dxa"/>
            <w:vAlign w:val="bottom"/>
            <w:vMerge w:val="restart"/>
          </w:tcPr>
          <w:p>
            <w:pPr>
              <w:spacing w:after="0"/>
              <w:rPr>
                <w:sz w:val="20"/>
                <w:szCs w:val="20"/>
                <w:color w:val="auto"/>
              </w:rPr>
            </w:pPr>
            <w:r>
              <w:rPr>
                <w:rFonts w:ascii="Arial" w:cs="Arial" w:eastAsia="Arial" w:hAnsi="Arial"/>
                <w:sz w:val="18"/>
                <w:szCs w:val="18"/>
                <w:color w:val="auto"/>
              </w:rPr>
              <w:t>Federal Solutions:</w:t>
            </w:r>
          </w:p>
        </w:tc>
        <w:tc>
          <w:tcPr>
            <w:tcW w:w="2380" w:type="dxa"/>
            <w:vAlign w:val="bottom"/>
          </w:tcPr>
          <w:p>
            <w:pPr>
              <w:spacing w:after="0"/>
              <w:rPr>
                <w:sz w:val="14"/>
                <w:szCs w:val="14"/>
                <w:color w:val="auto"/>
              </w:rPr>
            </w:pPr>
          </w:p>
        </w:tc>
        <w:tc>
          <w:tcPr>
            <w:tcW w:w="17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2022</w:t>
            </w:r>
          </w:p>
        </w:tc>
        <w:tc>
          <w:tcPr>
            <w:tcW w:w="20" w:type="dxa"/>
            <w:vAlign w:val="bottom"/>
          </w:tcPr>
          <w:p>
            <w:pPr>
              <w:spacing w:after="0"/>
              <w:rPr>
                <w:sz w:val="14"/>
                <w:szCs w:val="14"/>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209"/>
        </w:trPr>
        <w:tc>
          <w:tcPr>
            <w:tcW w:w="4460" w:type="dxa"/>
            <w:vAlign w:val="bottom"/>
            <w:vMerge w:val="continue"/>
          </w:tcPr>
          <w:p>
            <w:pPr>
              <w:spacing w:after="0"/>
              <w:rPr>
                <w:sz w:val="18"/>
                <w:szCs w:val="18"/>
                <w:color w:val="auto"/>
              </w:rPr>
            </w:pPr>
          </w:p>
        </w:tc>
        <w:tc>
          <w:tcPr>
            <w:tcW w:w="23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Funded</w:t>
            </w:r>
          </w:p>
        </w:tc>
        <w:tc>
          <w:tcPr>
            <w:tcW w:w="2760" w:type="dxa"/>
            <w:vAlign w:val="bottom"/>
            <w:gridSpan w:val="2"/>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1,448,615</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1,471,631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23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3,656,421</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4,149,903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Federal Solutions</w:t>
            </w:r>
          </w:p>
        </w:tc>
        <w:tc>
          <w:tcPr>
            <w:tcW w:w="23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5,105,036</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5,621,534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Funded</w:t>
            </w:r>
          </w:p>
        </w:tc>
        <w:tc>
          <w:tcPr>
            <w:tcW w:w="2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3,066,325</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2,893,008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23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57,628</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69,997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Critical Infrastructure</w:t>
            </w:r>
          </w:p>
        </w:tc>
        <w:tc>
          <w:tcPr>
            <w:tcW w:w="23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3,123,953</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2,963,005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rPr>
              <w:t>Total Backlog (1)</w:t>
            </w:r>
          </w:p>
        </w:tc>
        <w:tc>
          <w:tcPr>
            <w:tcW w:w="23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8,228,989</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8,584,539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1000" w:right="240" w:hanging="628"/>
        <w:spacing w:after="0" w:line="25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Difference between our backlog of $8.2 billion and our RUPO of $5.8 billion, each as of September 30, 2022, is due to (i) unissued task orders and unexercised option years, to the extent their issuance or exercise is probable, as well as (ii) contract awards, to the extent we believe contract execution and funding is probable.</w:t>
      </w:r>
    </w:p>
    <w:p>
      <w:pPr>
        <w:spacing w:after="0" w:line="169" w:lineRule="exact"/>
        <w:rPr>
          <w:sz w:val="20"/>
          <w:szCs w:val="20"/>
          <w:color w:val="auto"/>
        </w:rPr>
      </w:pPr>
    </w:p>
    <w:p>
      <w:pPr>
        <w:ind w:right="100" w:firstLine="637"/>
        <w:spacing w:after="0" w:line="244"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76" w:lineRule="exact"/>
        <w:rPr>
          <w:sz w:val="20"/>
          <w:szCs w:val="20"/>
          <w:color w:val="auto"/>
        </w:rPr>
      </w:pPr>
    </w:p>
    <w:p>
      <w:pPr>
        <w:ind w:right="40" w:firstLine="637"/>
        <w:spacing w:after="0" w:line="242" w:lineRule="auto"/>
        <w:rPr>
          <w:sz w:val="20"/>
          <w:szCs w:val="20"/>
          <w:color w:val="auto"/>
        </w:rPr>
      </w:pPr>
      <w:r>
        <w:rPr>
          <w:rFonts w:ascii="Arial" w:cs="Arial" w:eastAsia="Arial" w:hAnsi="Arial"/>
          <w:sz w:val="18"/>
          <w:szCs w:val="18"/>
          <w:color w:val="auto"/>
        </w:rPr>
        <w:t>We expect to recognize $3.1 billion of our funded backlog at September 30, 2022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Factors—Risk Relating to Our Business—We may not realize the full value of our backlog, which may result in lower than expected revenue” in the Company’s Form 10-K for the year ended December 31, 2021.</w:t>
      </w:r>
    </w:p>
    <w:p>
      <w:pPr>
        <w:spacing w:after="0" w:line="179" w:lineRule="exact"/>
        <w:rPr>
          <w:sz w:val="20"/>
          <w:szCs w:val="20"/>
          <w:color w:val="auto"/>
        </w:rPr>
      </w:pPr>
    </w:p>
    <w:p>
      <w:pPr>
        <w:ind w:right="600" w:firstLine="637"/>
        <w:spacing w:after="0" w:line="271" w:lineRule="auto"/>
        <w:rPr>
          <w:sz w:val="20"/>
          <w:szCs w:val="20"/>
          <w:color w:val="auto"/>
        </w:rPr>
      </w:pPr>
      <w:r>
        <w:rPr>
          <w:rFonts w:ascii="Arial" w:cs="Arial" w:eastAsia="Arial" w:hAnsi="Arial"/>
          <w:sz w:val="18"/>
          <w:szCs w:val="18"/>
          <w:color w:val="auto"/>
        </w:rPr>
        <w:t>The changes in backlog in both the Federal Solutions and Critical Infrastructure segments were primarily from ordinary course fluctuations in our business and the impacts related to the Company’s awards discussed above.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02" w:lineRule="exact"/>
        <w:rPr>
          <w:sz w:val="20"/>
          <w:szCs w:val="20"/>
          <w:color w:val="auto"/>
        </w:rPr>
      </w:pPr>
    </w:p>
    <w:p>
      <w:pPr>
        <w:ind w:right="60" w:firstLine="637"/>
        <w:spacing w:after="0" w:line="242"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3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0"/>
        </w:trPr>
        <w:tc>
          <w:tcPr>
            <w:tcW w:w="5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3"/>
                <w:szCs w:val="13"/>
                <w:color w:val="auto"/>
              </w:rPr>
            </w:pPr>
          </w:p>
        </w:tc>
      </w:tr>
      <w:tr>
        <w:trPr>
          <w:trHeight w:val="171"/>
        </w:trPr>
        <w:tc>
          <w:tcPr>
            <w:tcW w:w="5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92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060" w:type="dxa"/>
            <w:vAlign w:val="bottom"/>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040" w:type="dxa"/>
            <w:vAlign w:val="bottom"/>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060" w:type="dxa"/>
            <w:vAlign w:val="bottom"/>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9"/>
        </w:trPr>
        <w:tc>
          <w:tcPr>
            <w:tcW w:w="580" w:type="dxa"/>
            <w:vAlign w:val="bottom"/>
          </w:tcPr>
          <w:p>
            <w:pPr>
              <w:spacing w:after="0"/>
              <w:rPr>
                <w:sz w:val="18"/>
                <w:szCs w:val="18"/>
                <w:color w:val="auto"/>
              </w:rPr>
            </w:pPr>
          </w:p>
        </w:tc>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8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277"/>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279"/>
              <w:spacing w:after="0"/>
              <w:rPr>
                <w:sz w:val="20"/>
                <w:szCs w:val="20"/>
                <w:color w:val="auto"/>
              </w:rPr>
            </w:pPr>
            <w:r>
              <w:rPr>
                <w:rFonts w:ascii="Arial" w:cs="Arial" w:eastAsia="Arial" w:hAnsi="Arial"/>
                <w:sz w:val="18"/>
                <w:szCs w:val="18"/>
                <w:color w:val="auto"/>
              </w:rPr>
              <w:t>0.9</w:t>
            </w:r>
          </w:p>
        </w:tc>
        <w:tc>
          <w:tcPr>
            <w:tcW w:w="2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277"/>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2920" w:type="dxa"/>
            <w:vAlign w:val="bottom"/>
            <w:gridSpan w:val="2"/>
          </w:tcPr>
          <w:p>
            <w:pPr>
              <w:ind w:left="230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060" w:type="dxa"/>
            <w:vAlign w:val="bottom"/>
          </w:tcPr>
          <w:p>
            <w:pPr>
              <w:jc w:val="right"/>
              <w:ind w:right="277"/>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60" w:type="dxa"/>
            <w:vAlign w:val="bottom"/>
          </w:tcPr>
          <w:p>
            <w:pPr>
              <w:jc w:val="right"/>
              <w:ind w:right="27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Overall</w:t>
            </w:r>
          </w:p>
        </w:tc>
        <w:tc>
          <w:tcPr>
            <w:tcW w:w="2920" w:type="dxa"/>
            <w:vAlign w:val="bottom"/>
            <w:gridSpan w:val="2"/>
            <w:shd w:val="clear" w:color="auto" w:fill="CFF0FC"/>
          </w:tcPr>
          <w:p>
            <w:pPr>
              <w:ind w:left="230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77"/>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279"/>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77"/>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436"/>
        </w:trPr>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4"/>
        </w:trPr>
        <w:tc>
          <w:tcPr>
            <w:tcW w:w="58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12" w:lineRule="exact"/>
        <w:rPr>
          <w:sz w:val="20"/>
          <w:szCs w:val="20"/>
          <w:color w:val="auto"/>
        </w:rPr>
      </w:pPr>
    </w:p>
    <w:p>
      <w:pPr>
        <w:ind w:right="60" w:firstLine="637"/>
        <w:spacing w:after="0" w:line="247"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02" w:lineRule="exact"/>
        <w:rPr>
          <w:sz w:val="20"/>
          <w:szCs w:val="20"/>
          <w:color w:val="auto"/>
        </w:rPr>
      </w:pPr>
    </w:p>
    <w:p>
      <w:pPr>
        <w:ind w:right="20" w:firstLine="637"/>
        <w:spacing w:after="0" w:line="239"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02" w:lineRule="exact"/>
        <w:rPr>
          <w:sz w:val="20"/>
          <w:szCs w:val="20"/>
          <w:color w:val="auto"/>
        </w:rPr>
      </w:pPr>
    </w:p>
    <w:p>
      <w:pPr>
        <w:ind w:right="20" w:firstLine="637"/>
        <w:spacing w:after="0" w:line="239"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02" w:lineRule="exact"/>
        <w:rPr>
          <w:sz w:val="20"/>
          <w:szCs w:val="20"/>
          <w:color w:val="auto"/>
        </w:rPr>
      </w:pPr>
    </w:p>
    <w:p>
      <w:pPr>
        <w:ind w:firstLine="637"/>
        <w:spacing w:after="0" w:line="244"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02" w:lineRule="exact"/>
        <w:rPr>
          <w:sz w:val="20"/>
          <w:szCs w:val="20"/>
          <w:color w:val="auto"/>
        </w:rPr>
      </w:pPr>
    </w:p>
    <w:p>
      <w:pPr>
        <w:ind w:right="120" w:firstLine="637"/>
        <w:spacing w:after="0"/>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uniquely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Xator Corporation</w:t>
      </w:r>
    </w:p>
    <w:p>
      <w:pPr>
        <w:spacing w:after="0" w:line="102" w:lineRule="exact"/>
        <w:rPr>
          <w:sz w:val="20"/>
          <w:szCs w:val="20"/>
          <w:color w:val="auto"/>
        </w:rPr>
      </w:pPr>
    </w:p>
    <w:p>
      <w:pPr>
        <w:ind w:firstLine="637"/>
        <w:spacing w:after="0" w:line="245" w:lineRule="auto"/>
        <w:rPr>
          <w:sz w:val="20"/>
          <w:szCs w:val="20"/>
          <w:color w:val="auto"/>
        </w:rPr>
      </w:pPr>
      <w:r>
        <w:rPr>
          <w:rFonts w:ascii="Arial" w:cs="Arial" w:eastAsia="Arial" w:hAnsi="Arial"/>
          <w:sz w:val="18"/>
          <w:szCs w:val="18"/>
          <w:color w:val="auto"/>
        </w:rPr>
        <w:t>On May 31, 2022, we acquired Xator for $388.3 million in cash. We borrowed $300 million under the Credit Agreement, as described in “Note 10 – Debt and Credit Facilities”, to partially fund the acquisition. Xator expands Parsons’ customer base and brings differentiated technical capabilities in critical infrastructure protection, counter-unmanned aircraft systems (cUAS), intelligence and cyber solutions, biometrics, and global threat assessment and operations. The acquisition was funded by cash on-hand and borrowings under our revolving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line of credit. The financial results of Xator have been included in our consolidated results of operations from May 31, 2022 onward.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BlackHorse Solutions, Inc.</w:t>
      </w:r>
    </w:p>
    <w:p>
      <w:pPr>
        <w:spacing w:after="0" w:line="102" w:lineRule="exact"/>
        <w:rPr>
          <w:sz w:val="20"/>
          <w:szCs w:val="20"/>
          <w:color w:val="auto"/>
        </w:rPr>
      </w:pPr>
    </w:p>
    <w:p>
      <w:pPr>
        <w:ind w:right="200" w:firstLine="637"/>
        <w:spacing w:after="0" w:line="248" w:lineRule="auto"/>
        <w:rPr>
          <w:sz w:val="20"/>
          <w:szCs w:val="20"/>
          <w:color w:val="auto"/>
        </w:rPr>
      </w:pPr>
      <w:r>
        <w:rPr>
          <w:rFonts w:ascii="Arial" w:cs="Arial" w:eastAsia="Arial" w:hAnsi="Arial"/>
          <w:sz w:val="18"/>
          <w:szCs w:val="18"/>
          <w:color w:val="auto"/>
        </w:rPr>
        <w:t>On July 6, 2021, we acquired BlackHorse for $ 205.0 million. BlackHorse expands Parsons’ capabilities and products in next-generation military, intelligence, and space operations, specifically in cyber electronic warfare, and information dominance. The acquisition was funded by cash on-hand. The financial results of BlackHorse have been included in our consolidated results of operations from July 6,</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2021 onward.</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Echo Ridge LLC</w:t>
      </w:r>
    </w:p>
    <w:p>
      <w:pPr>
        <w:spacing w:after="0" w:line="102" w:lineRule="exact"/>
        <w:rPr>
          <w:sz w:val="20"/>
          <w:szCs w:val="20"/>
          <w:color w:val="auto"/>
        </w:rPr>
      </w:pPr>
    </w:p>
    <w:p>
      <w:pPr>
        <w:ind w:right="60" w:firstLine="637"/>
        <w:spacing w:after="0" w:line="263" w:lineRule="auto"/>
        <w:rPr>
          <w:sz w:val="20"/>
          <w:szCs w:val="20"/>
          <w:color w:val="auto"/>
        </w:rPr>
      </w:pPr>
      <w:r>
        <w:rPr>
          <w:rFonts w:ascii="Arial" w:cs="Arial" w:eastAsia="Arial" w:hAnsi="Arial"/>
          <w:sz w:val="17"/>
          <w:szCs w:val="17"/>
          <w:color w:val="auto"/>
        </w:rPr>
        <w:t>On July 30, 2021, we acquired Echo Ridge LLC for $9.0 million. Echo Ridge adds position, navigation, and timing devices; modeling, simulation, test, and measurement tools; and deployable software defined radio products and signal processing services to Parsons’ space portfolio. The acquisition was funded by cash on-hand. The financial results of Echo Ridge have been included in our consolidated results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operations from July 30, 2021 onward.</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2" w:lineRule="exact"/>
        <w:rPr>
          <w:sz w:val="20"/>
          <w:szCs w:val="20"/>
          <w:color w:val="auto"/>
        </w:rPr>
      </w:pPr>
    </w:p>
    <w:p>
      <w:pPr>
        <w:ind w:firstLine="637"/>
        <w:spacing w:after="0" w:line="239"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ind w:right="80" w:firstLine="637"/>
        <w:spacing w:after="0" w:line="253" w:lineRule="auto"/>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enter into the following types of contracts with our customers:</w:t>
      </w:r>
    </w:p>
    <w:p>
      <w:pPr>
        <w:spacing w:after="0" w:line="104" w:lineRule="exact"/>
        <w:rPr>
          <w:sz w:val="20"/>
          <w:szCs w:val="20"/>
          <w:color w:val="auto"/>
        </w:rPr>
      </w:pPr>
    </w:p>
    <w:p>
      <w:pPr>
        <w:ind w:left="1380" w:right="200" w:hanging="373"/>
        <w:spacing w:after="0" w:line="246" w:lineRule="auto"/>
        <w:tabs>
          <w:tab w:leader="none" w:pos="138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68" w:lineRule="exact"/>
        <w:rPr>
          <w:rFonts w:ascii="Times New Roman" w:cs="Times New Roman" w:eastAsia="Times New Roman" w:hAnsi="Times New Roman"/>
          <w:sz w:val="18"/>
          <w:szCs w:val="18"/>
          <w:color w:val="auto"/>
        </w:rPr>
      </w:pPr>
    </w:p>
    <w:p>
      <w:pPr>
        <w:jc w:val="both"/>
        <w:ind w:left="1380" w:right="440" w:hanging="373"/>
        <w:spacing w:after="0" w:line="252" w:lineRule="auto"/>
        <w:tabs>
          <w:tab w:leader="none" w:pos="138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62" w:lineRule="exact"/>
        <w:rPr>
          <w:rFonts w:ascii="Times New Roman" w:cs="Times New Roman" w:eastAsia="Times New Roman" w:hAnsi="Times New Roman"/>
          <w:sz w:val="18"/>
          <w:szCs w:val="18"/>
          <w:color w:val="auto"/>
        </w:rPr>
      </w:pPr>
    </w:p>
    <w:p>
      <w:pPr>
        <w:ind w:left="1380" w:hanging="373"/>
        <w:spacing w:after="0"/>
        <w:tabs>
          <w:tab w:leader="none" w:pos="138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6" w:name="page37"/>
    <w:bookmarkEnd w:id="36"/>
    <w:p>
      <w:pPr>
        <w:ind w:right="60" w:firstLine="637"/>
        <w:spacing w:after="0" w:line="253" w:lineRule="auto"/>
        <w:rPr>
          <w:sz w:val="20"/>
          <w:szCs w:val="20"/>
          <w:color w:val="auto"/>
        </w:rPr>
      </w:pPr>
      <w:r>
        <w:rPr>
          <w:rFonts w:ascii="Arial" w:cs="Arial" w:eastAsia="Arial" w:hAnsi="Arial"/>
          <w:sz w:val="18"/>
          <w:szCs w:val="18"/>
          <w:color w:val="auto"/>
        </w:rPr>
        <w:t>Refer to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2021 for a description of our policies on revenue recognition.</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3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3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60"/>
        </w:trPr>
        <w:tc>
          <w:tcPr>
            <w:tcW w:w="5140" w:type="dxa"/>
            <w:vAlign w:val="bottom"/>
          </w:tcPr>
          <w:p>
            <w:pPr>
              <w:spacing w:after="0"/>
              <w:rPr>
                <w:sz w:val="13"/>
                <w:szCs w:val="13"/>
                <w:color w:val="auto"/>
              </w:rPr>
            </w:pPr>
          </w:p>
        </w:tc>
        <w:tc>
          <w:tcPr>
            <w:tcW w:w="12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128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51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0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Fixed-price</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29.5%</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27.6%</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Time-and-materials</w:t>
            </w:r>
          </w:p>
        </w:tc>
        <w:tc>
          <w:tcPr>
            <w:tcW w:w="1060" w:type="dxa"/>
            <w:vAlign w:val="bottom"/>
          </w:tcPr>
          <w:p>
            <w:pPr>
              <w:jc w:val="center"/>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27.1%</w:t>
            </w: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45.3%</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FF0FC"/>
          </w:tcPr>
          <w:p>
            <w:pPr>
              <w:spacing w:after="0"/>
              <w:rPr>
                <w:sz w:val="18"/>
                <w:szCs w:val="18"/>
                <w:color w:val="auto"/>
              </w:rPr>
            </w:pPr>
          </w:p>
        </w:tc>
      </w:tr>
    </w:tbl>
    <w:p>
      <w:pPr>
        <w:spacing w:after="0" w:line="224" w:lineRule="exact"/>
        <w:rPr>
          <w:sz w:val="20"/>
          <w:szCs w:val="20"/>
          <w:color w:val="auto"/>
        </w:rPr>
      </w:pPr>
    </w:p>
    <w:p>
      <w:pPr>
        <w:ind w:right="20" w:firstLine="637"/>
        <w:spacing w:after="0" w:line="238"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experienced a relatively stable contract mix.</w:t>
      </w:r>
    </w:p>
    <w:p>
      <w:pPr>
        <w:spacing w:after="0" w:line="186" w:lineRule="exact"/>
        <w:rPr>
          <w:sz w:val="20"/>
          <w:szCs w:val="20"/>
          <w:color w:val="auto"/>
        </w:rPr>
      </w:pPr>
    </w:p>
    <w:p>
      <w:pPr>
        <w:ind w:right="200" w:firstLine="637"/>
        <w:spacing w:after="0" w:line="253" w:lineRule="auto"/>
        <w:rPr>
          <w:sz w:val="20"/>
          <w:szCs w:val="20"/>
          <w:color w:val="auto"/>
        </w:rPr>
      </w:pPr>
      <w:r>
        <w:rPr>
          <w:rFonts w:ascii="Arial" w:cs="Arial" w:eastAsia="Arial" w:hAnsi="Arial"/>
          <w:sz w:val="18"/>
          <w:szCs w:val="18"/>
          <w:color w:val="auto"/>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02" w:lineRule="exact"/>
        <w:rPr>
          <w:sz w:val="20"/>
          <w:szCs w:val="20"/>
          <w:color w:val="auto"/>
        </w:rPr>
      </w:pPr>
    </w:p>
    <w:p>
      <w:pPr>
        <w:ind w:firstLine="637"/>
        <w:spacing w:after="0" w:line="242"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earnings (loss) of unconsolidated joint ventures. Our revenues included amounts related to services we provided to our unconsolidated joint ventures for the three months ended September 30, 2022 and September 30, 2021 of $59.9 million and $48.3 million, respectively, and for the nine months ended September 30, 2022 and September 30, 2021 of $159.0 million and $152.9 million,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02" w:lineRule="exact"/>
        <w:rPr>
          <w:sz w:val="20"/>
          <w:szCs w:val="20"/>
          <w:color w:val="auto"/>
        </w:rPr>
      </w:pPr>
    </w:p>
    <w:p>
      <w:pPr>
        <w:ind w:right="200" w:firstLine="637"/>
        <w:spacing w:after="0" w:line="242" w:lineRule="auto"/>
        <w:rPr>
          <w:sz w:val="20"/>
          <w:szCs w:val="20"/>
          <w:color w:val="auto"/>
        </w:rPr>
      </w:pPr>
      <w:r>
        <w:rPr>
          <w:rFonts w:ascii="Arial" w:cs="Arial" w:eastAsia="Arial" w:hAnsi="Arial"/>
          <w:sz w:val="18"/>
          <w:szCs w:val="18"/>
          <w:color w:val="auto"/>
        </w:rPr>
        <w:t>Operating costs and expenses primarily include direct costs of contracts and selling, general and administrative expenses. Costs associated with compensation-related expenses for our people and facilities, which includes ESOP contribution expenses, are the most significant component of our operating expenses. Total ESOP contribution expense for the three months ended September 30, 2022 and September 30, 2021 was $ 15.4 million and $14.8 million, respectively, and for the nine months ended September 30, 2022 and September 30, 2021 was $42.0 million and $41.3 million, respectively, and is recorded in “Direct cost of contracts” and “Selling, general and administrative expenses.”</w:t>
      </w:r>
    </w:p>
    <w:p>
      <w:pPr>
        <w:spacing w:after="0" w:line="179" w:lineRule="exact"/>
        <w:rPr>
          <w:sz w:val="20"/>
          <w:szCs w:val="20"/>
          <w:color w:val="auto"/>
        </w:rPr>
      </w:pPr>
    </w:p>
    <w:p>
      <w:pPr>
        <w:ind w:right="60" w:firstLine="637"/>
        <w:spacing w:after="0" w:line="271"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and materials (“pass-through costs”), travel expenses and other expenses incurred to perform on contracts.</w:t>
      </w:r>
    </w:p>
    <w:p>
      <w:pPr>
        <w:spacing w:after="0" w:line="154" w:lineRule="exact"/>
        <w:rPr>
          <w:sz w:val="20"/>
          <w:szCs w:val="20"/>
          <w:color w:val="auto"/>
        </w:rPr>
      </w:pPr>
    </w:p>
    <w:p>
      <w:pPr>
        <w:ind w:right="740" w:firstLine="637"/>
        <w:spacing w:after="0" w:line="271" w:lineRule="auto"/>
        <w:rPr>
          <w:sz w:val="20"/>
          <w:szCs w:val="20"/>
          <w:color w:val="auto"/>
        </w:rPr>
      </w:pPr>
      <w:r>
        <w:rPr>
          <w:rFonts w:ascii="Arial" w:cs="Arial" w:eastAsia="Arial" w:hAnsi="Arial"/>
          <w:sz w:val="18"/>
          <w:szCs w:val="18"/>
          <w:color w:val="auto"/>
        </w:rPr>
        <w:t>Selling, general and administrative expenses (“SG&amp;A”) include salaries and wages and fringe benefits of our employees not performing work directly for customers, facility costs and other costs related to these indirect functions.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and expenses primarily consist of interest income, interest expense and other income, net.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consists of interest expense incurred under our Senior Notes, Convertible Senior Notes, and Credit Agreement.</w:t>
      </w:r>
    </w:p>
    <w:p>
      <w:pPr>
        <w:spacing w:after="0" w:line="212" w:lineRule="exact"/>
        <w:rPr>
          <w:sz w:val="20"/>
          <w:szCs w:val="20"/>
          <w:color w:val="auto"/>
        </w:rPr>
      </w:pPr>
    </w:p>
    <w:p>
      <w:pPr>
        <w:ind w:right="520" w:firstLine="637"/>
        <w:spacing w:after="0" w:line="271" w:lineRule="auto"/>
        <w:rPr>
          <w:sz w:val="20"/>
          <w:szCs w:val="20"/>
          <w:color w:val="auto"/>
        </w:rPr>
      </w:pPr>
      <w:r>
        <w:rPr>
          <w:rFonts w:ascii="Arial" w:cs="Arial" w:eastAsia="Arial" w:hAnsi="Arial"/>
          <w:sz w:val="18"/>
          <w:szCs w:val="18"/>
          <w:color w:val="auto"/>
        </w:rPr>
        <w:t>Other income, net primarily consists of gain or loss on sale of assets, sublease income and transaction gain or loss related to movements in foreign currency exchange rates.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10" w:lineRule="exact"/>
        <w:rPr>
          <w:sz w:val="20"/>
          <w:szCs w:val="20"/>
          <w:color w:val="auto"/>
        </w:rPr>
      </w:pPr>
    </w:p>
    <w:p>
      <w:pPr>
        <w:ind w:right="240" w:firstLine="637"/>
        <w:spacing w:after="0" w:line="271" w:lineRule="auto"/>
        <w:rPr>
          <w:sz w:val="20"/>
          <w:szCs w:val="20"/>
          <w:color w:val="auto"/>
        </w:rPr>
      </w:pPr>
      <w:r>
        <w:rPr>
          <w:rFonts w:ascii="Arial" w:cs="Arial" w:eastAsia="Arial" w:hAnsi="Arial"/>
          <w:sz w:val="18"/>
          <w:szCs w:val="18"/>
          <w:color w:val="auto"/>
        </w:rPr>
        <w:t>The following table sets forth Adjusted EBITDA, Net Income Margin, and Adjusted EBITDA Margin for the three and nine months ended September 30, 2022 and September 30, 2021.</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42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r>
      <w:tr>
        <w:trPr>
          <w:trHeight w:val="160"/>
        </w:trPr>
        <w:tc>
          <w:tcPr>
            <w:tcW w:w="4800" w:type="dxa"/>
            <w:vAlign w:val="bottom"/>
          </w:tcPr>
          <w:p>
            <w:pPr>
              <w:spacing w:after="0"/>
              <w:rPr>
                <w:sz w:val="13"/>
                <w:szCs w:val="13"/>
                <w:color w:val="auto"/>
              </w:rPr>
            </w:pPr>
          </w:p>
        </w:tc>
        <w:tc>
          <w:tcPr>
            <w:tcW w:w="1360" w:type="dxa"/>
            <w:vAlign w:val="bottom"/>
            <w:gridSpan w:val="2"/>
          </w:tcPr>
          <w:p>
            <w:pPr>
              <w:jc w:val="right"/>
              <w:ind w:right="340"/>
              <w:spacing w:after="0" w:line="160"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2"/>
          </w:tcPr>
          <w:p>
            <w:pPr>
              <w:jc w:val="right"/>
              <w:ind w:right="340"/>
              <w:spacing w:after="0" w:line="160" w:lineRule="exact"/>
              <w:rPr>
                <w:sz w:val="20"/>
                <w:szCs w:val="20"/>
                <w:color w:val="auto"/>
              </w:rPr>
            </w:pPr>
            <w:r>
              <w:rPr>
                <w:rFonts w:ascii="Arial" w:cs="Arial" w:eastAsia="Arial" w:hAnsi="Arial"/>
                <w:sz w:val="14"/>
                <w:szCs w:val="14"/>
                <w:b w:val="1"/>
                <w:bCs w:val="1"/>
                <w:color w:val="auto"/>
              </w:rPr>
              <w:t>September 30,</w:t>
            </w:r>
          </w:p>
        </w:tc>
        <w:tc>
          <w:tcPr>
            <w:tcW w:w="1240" w:type="dxa"/>
            <w:vAlign w:val="bottom"/>
            <w:gridSpan w:val="2"/>
          </w:tcPr>
          <w:p>
            <w:pPr>
              <w:jc w:val="right"/>
              <w:ind w:right="24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48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102,687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84,392</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254,349</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218,818</w:t>
            </w:r>
          </w:p>
        </w:tc>
        <w:tc>
          <w:tcPr>
            <w:tcW w:w="1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Income Margin (2)</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Margin (3)</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8.8%</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8.2%</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1000" w:hanging="62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reconciliation of net income attributable to Parsons Corporation to Adjusted EBITDA is set forth below (in thousands).</w:t>
      </w:r>
    </w:p>
    <w:p>
      <w:pPr>
        <w:spacing w:after="0" w:line="76" w:lineRule="exact"/>
        <w:rPr>
          <w:rFonts w:ascii="Arial" w:cs="Arial" w:eastAsia="Arial" w:hAnsi="Arial"/>
          <w:sz w:val="18"/>
          <w:szCs w:val="18"/>
          <w:color w:val="auto"/>
        </w:rPr>
      </w:pPr>
    </w:p>
    <w:p>
      <w:pPr>
        <w:ind w:left="1000" w:hanging="62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Net Income Margin is calculated as net income including noncontrolling interest divided by revenue in the applicable period</w:t>
      </w:r>
    </w:p>
    <w:p>
      <w:pPr>
        <w:spacing w:after="0" w:line="144" w:lineRule="exact"/>
        <w:rPr>
          <w:rFonts w:ascii="Arial" w:cs="Arial" w:eastAsia="Arial" w:hAnsi="Arial"/>
          <w:sz w:val="18"/>
          <w:szCs w:val="18"/>
          <w:color w:val="auto"/>
        </w:rPr>
      </w:pPr>
    </w:p>
    <w:p>
      <w:pPr>
        <w:ind w:left="1000" w:hanging="62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EBITDA Margin is calculated as Adjusted EBITDA divided by revenue in the applicable period.</w:t>
      </w:r>
    </w:p>
    <w:p>
      <w:pPr>
        <w:spacing w:after="0" w:line="3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43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60"/>
        </w:trPr>
        <w:tc>
          <w:tcPr>
            <w:tcW w:w="5120" w:type="dxa"/>
            <w:vAlign w:val="bottom"/>
          </w:tcPr>
          <w:p>
            <w:pPr>
              <w:spacing w:after="0"/>
              <w:rPr>
                <w:sz w:val="13"/>
                <w:szCs w:val="13"/>
                <w:color w:val="auto"/>
              </w:rPr>
            </w:pPr>
          </w:p>
        </w:tc>
        <w:tc>
          <w:tcPr>
            <w:tcW w:w="106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06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280" w:type="dxa"/>
            <w:vAlign w:val="bottom"/>
            <w:gridSpan w:val="3"/>
          </w:tcPr>
          <w:p>
            <w:pPr>
              <w:ind w:left="40"/>
              <w:spacing w:after="0" w:line="160"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3"/>
                <w:szCs w:val="13"/>
                <w:color w:val="auto"/>
              </w:rPr>
            </w:pPr>
          </w:p>
        </w:tc>
        <w:tc>
          <w:tcPr>
            <w:tcW w:w="116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5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1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68,533</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35,099</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13,188</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27,643</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18,378</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29,578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37,232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90,668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106,540</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21,685</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17,711</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240"/>
              <w:spacing w:after="0"/>
              <w:rPr>
                <w:sz w:val="20"/>
                <w:szCs w:val="20"/>
                <w:color w:val="auto"/>
              </w:rPr>
            </w:pPr>
            <w:r>
              <w:rPr>
                <w:rFonts w:ascii="Arial" w:cs="Arial" w:eastAsia="Arial" w:hAnsi="Arial"/>
                <w:sz w:val="18"/>
                <w:szCs w:val="18"/>
                <w:color w:val="auto"/>
              </w:rPr>
              <w:t>Equity-based compensation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15,125</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Transaction-related costs (a)</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14,486</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9,269</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240"/>
              <w:spacing w:after="0"/>
              <w:rPr>
                <w:sz w:val="20"/>
                <w:szCs w:val="20"/>
                <w:color w:val="auto"/>
              </w:rPr>
            </w:pPr>
            <w:r>
              <w:rPr>
                <w:rFonts w:ascii="Arial" w:cs="Arial" w:eastAsia="Arial" w:hAnsi="Arial"/>
                <w:sz w:val="18"/>
                <w:szCs w:val="18"/>
                <w:color w:val="auto"/>
              </w:rPr>
              <w:t>Restructuring (b)</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3,001</w:t>
            </w:r>
          </w:p>
        </w:tc>
        <w:tc>
          <w:tcPr>
            <w:tcW w:w="100" w:type="dxa"/>
            <w:vAlign w:val="bottom"/>
            <w:shd w:val="clear" w:color="auto" w:fill="CFF0FC"/>
          </w:tcPr>
          <w:p>
            <w:pPr>
              <w:spacing w:after="0"/>
              <w:rPr>
                <w:sz w:val="18"/>
                <w:szCs w:val="18"/>
                <w:color w:val="auto"/>
              </w:rPr>
            </w:pPr>
          </w:p>
        </w:tc>
      </w:tr>
      <w:tr>
        <w:trPr>
          <w:trHeight w:val="210"/>
        </w:trPr>
        <w:tc>
          <w:tcPr>
            <w:tcW w:w="512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102,687</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84,392</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254,349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218,818</w:t>
            </w:r>
          </w:p>
        </w:tc>
        <w:tc>
          <w:tcPr>
            <w:tcW w:w="10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left="640" w:hanging="632"/>
        <w:spacing w:after="0" w:line="271"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9512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79" w:right="479" w:bottom="1440" w:gutter="0" w:footer="0" w:header="0"/>
        </w:sectPr>
      </w:pPr>
    </w:p>
    <w:bookmarkStart w:id="38" w:name="page39"/>
    <w:bookmarkEnd w:id="38"/>
    <w:p>
      <w:pPr>
        <w:ind w:left="640" w:hanging="63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Reflects costs associated with our corporate restructuring initiatives.</w:t>
      </w:r>
    </w:p>
    <w:p>
      <w:pPr>
        <w:spacing w:after="0" w:line="13" w:lineRule="exact"/>
        <w:rPr>
          <w:rFonts w:ascii="Arial" w:cs="Arial" w:eastAsia="Arial" w:hAnsi="Arial"/>
          <w:sz w:val="18"/>
          <w:szCs w:val="18"/>
          <w:color w:val="auto"/>
        </w:rPr>
      </w:pPr>
    </w:p>
    <w:p>
      <w:pPr>
        <w:ind w:left="640" w:right="120" w:hanging="632"/>
        <w:spacing w:after="0" w:line="250"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72" w:lineRule="exact"/>
        <w:rPr>
          <w:sz w:val="20"/>
          <w:szCs w:val="20"/>
          <w:color w:val="auto"/>
        </w:rPr>
      </w:pPr>
    </w:p>
    <w:p>
      <w:pPr>
        <w:ind w:right="160" w:firstLine="637"/>
        <w:spacing w:after="0" w:line="244" w:lineRule="auto"/>
        <w:rPr>
          <w:sz w:val="20"/>
          <w:szCs w:val="20"/>
          <w:color w:val="auto"/>
        </w:rPr>
      </w:pPr>
      <w:r>
        <w:rPr>
          <w:rFonts w:ascii="Arial" w:cs="Arial" w:eastAsia="Arial" w:hAnsi="Arial"/>
          <w:sz w:val="18"/>
          <w:szCs w:val="18"/>
          <w:color w:val="auto"/>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p>
    <w:p>
      <w:pPr>
        <w:spacing w:after="0" w:line="176" w:lineRule="exact"/>
        <w:rPr>
          <w:sz w:val="20"/>
          <w:szCs w:val="20"/>
          <w:color w:val="auto"/>
        </w:rPr>
      </w:pPr>
    </w:p>
    <w:p>
      <w:pPr>
        <w:ind w:right="60" w:firstLine="637"/>
        <w:spacing w:after="0" w:line="237" w:lineRule="auto"/>
        <w:rPr>
          <w:sz w:val="20"/>
          <w:szCs w:val="20"/>
          <w:color w:val="auto"/>
        </w:rPr>
      </w:pPr>
      <w:r>
        <w:rPr>
          <w:rFonts w:ascii="Arial" w:cs="Arial" w:eastAsia="Arial" w:hAnsi="Arial"/>
          <w:sz w:val="18"/>
          <w:szCs w:val="18"/>
          <w:color w:val="auto"/>
        </w:rPr>
        <w:t>Adjusted EBITDA is not a GAAP measure of our financial performance or liquidity and should not be considered as an alternative to net income as a measure of financial performance or cash flows from operations as measures of liquidity, or any other performance measure derived in accordance with GAAP. We define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expenses incurred in connection with acquisitions and other non-recurring transaction costs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 supplementally. Our measure of Adjusted EBITDA is not necessarily comparable to similarly titled captions of other companies due to different methods of calculation.</w:t>
      </w:r>
    </w:p>
    <w:p>
      <w:pPr>
        <w:spacing w:after="0" w:line="189" w:lineRule="exact"/>
        <w:rPr>
          <w:sz w:val="20"/>
          <w:szCs w:val="20"/>
          <w:color w:val="auto"/>
        </w:rPr>
      </w:pPr>
    </w:p>
    <w:p>
      <w:pPr>
        <w:ind w:right="240" w:firstLine="637"/>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52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40" w:type="dxa"/>
            <w:vAlign w:val="bottom"/>
          </w:tcPr>
          <w:p>
            <w:pPr>
              <w:spacing w:after="0"/>
              <w:rPr>
                <w:sz w:val="13"/>
                <w:szCs w:val="13"/>
                <w:color w:val="auto"/>
              </w:rPr>
            </w:pPr>
          </w:p>
        </w:tc>
        <w:tc>
          <w:tcPr>
            <w:tcW w:w="1380" w:type="dxa"/>
            <w:vAlign w:val="bottom"/>
            <w:gridSpan w:val="4"/>
          </w:tcPr>
          <w:p>
            <w:pPr>
              <w:ind w:left="200"/>
              <w:spacing w:after="0" w:line="160"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4"/>
          </w:tcPr>
          <w:p>
            <w:pPr>
              <w:ind w:left="180"/>
              <w:spacing w:after="0" w:line="160" w:lineRule="exact"/>
              <w:rPr>
                <w:sz w:val="20"/>
                <w:szCs w:val="20"/>
                <w:color w:val="auto"/>
              </w:rPr>
            </w:pPr>
            <w:r>
              <w:rPr>
                <w:rFonts w:ascii="Arial" w:cs="Arial" w:eastAsia="Arial" w:hAnsi="Arial"/>
                <w:sz w:val="14"/>
                <w:szCs w:val="14"/>
                <w:b w:val="1"/>
                <w:bCs w:val="1"/>
                <w:color w:val="auto"/>
              </w:rPr>
              <w:t>September 30,</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740" w:type="dxa"/>
            <w:vAlign w:val="bottom"/>
            <w:vMerge w:val="restart"/>
          </w:tcPr>
          <w:p>
            <w:pPr>
              <w:spacing w:after="0"/>
              <w:rPr>
                <w:sz w:val="20"/>
                <w:szCs w:val="20"/>
                <w:color w:val="auto"/>
              </w:rPr>
            </w:pPr>
            <w:r>
              <w:rPr>
                <w:rFonts w:ascii="Arial" w:cs="Arial" w:eastAsia="Arial" w:hAnsi="Arial"/>
                <w:sz w:val="18"/>
                <w:szCs w:val="18"/>
                <w:color w:val="auto"/>
              </w:rPr>
              <w:t>Federal Solutions Adjusted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Dollar</w:t>
            </w:r>
          </w:p>
        </w:tc>
        <w:tc>
          <w:tcPr>
            <w:tcW w:w="116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Percent</w:t>
            </w: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Dollar</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1"/>
        </w:trPr>
        <w:tc>
          <w:tcPr>
            <w:tcW w:w="2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EBITDA attributable to Parsons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740" w:type="dxa"/>
            <w:vAlign w:val="bottom"/>
          </w:tcPr>
          <w:p>
            <w:pPr>
              <w:spacing w:after="0"/>
              <w:rPr>
                <w:sz w:val="20"/>
                <w:szCs w:val="20"/>
                <w:color w:val="auto"/>
              </w:rPr>
            </w:pPr>
            <w:r>
              <w:rPr>
                <w:rFonts w:ascii="Arial" w:cs="Arial" w:eastAsia="Arial" w:hAnsi="Arial"/>
                <w:sz w:val="18"/>
                <w:szCs w:val="18"/>
                <w:color w:val="auto"/>
              </w:rPr>
              <w:t>Corporation</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61,004</w:t>
            </w:r>
          </w:p>
        </w:tc>
        <w:tc>
          <w:tcPr>
            <w:tcW w:w="2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46,481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$ 14,523</w:t>
            </w:r>
          </w:p>
        </w:tc>
        <w:tc>
          <w:tcPr>
            <w:tcW w:w="180" w:type="dxa"/>
            <w:vAlign w:val="bottom"/>
          </w:tcPr>
          <w:p>
            <w:pPr>
              <w:spacing w:after="0"/>
              <w:rPr>
                <w:sz w:val="19"/>
                <w:szCs w:val="19"/>
                <w:color w:val="auto"/>
              </w:rPr>
            </w:pPr>
          </w:p>
        </w:tc>
        <w:tc>
          <w:tcPr>
            <w:tcW w:w="1160" w:type="dxa"/>
            <w:vAlign w:val="bottom"/>
            <w:gridSpan w:val="3"/>
          </w:tcPr>
          <w:p>
            <w:pPr>
              <w:jc w:val="right"/>
              <w:ind w:right="39"/>
              <w:spacing w:after="0"/>
              <w:rPr>
                <w:sz w:val="20"/>
                <w:szCs w:val="20"/>
                <w:color w:val="auto"/>
              </w:rPr>
            </w:pPr>
            <w:r>
              <w:rPr>
                <w:rFonts w:ascii="Arial" w:cs="Arial" w:eastAsia="Arial" w:hAnsi="Arial"/>
                <w:sz w:val="18"/>
                <w:szCs w:val="18"/>
                <w:color w:val="auto"/>
              </w:rPr>
              <w:t>31.2% $</w:t>
            </w:r>
          </w:p>
        </w:tc>
        <w:tc>
          <w:tcPr>
            <w:tcW w:w="820" w:type="dxa"/>
            <w:vAlign w:val="bottom"/>
          </w:tcPr>
          <w:p>
            <w:pPr>
              <w:jc w:val="right"/>
              <w:spacing w:after="0"/>
              <w:rPr>
                <w:sz w:val="20"/>
                <w:szCs w:val="20"/>
                <w:color w:val="auto"/>
              </w:rPr>
            </w:pPr>
            <w:r>
              <w:rPr>
                <w:rFonts w:ascii="Arial" w:cs="Arial" w:eastAsia="Arial" w:hAnsi="Arial"/>
                <w:sz w:val="18"/>
                <w:szCs w:val="18"/>
                <w:color w:val="auto"/>
              </w:rPr>
              <w:t>151,287</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110,963</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$ 40,324</w:t>
            </w: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197"/>
        </w:trPr>
        <w:tc>
          <w:tcPr>
            <w:tcW w:w="2740" w:type="dxa"/>
            <w:vAlign w:val="bottom"/>
            <w:shd w:val="clear" w:color="auto" w:fill="CFF0FC"/>
          </w:tcPr>
          <w:p>
            <w:pPr>
              <w:spacing w:after="0" w:line="197" w:lineRule="exact"/>
              <w:rPr>
                <w:sz w:val="20"/>
                <w:szCs w:val="20"/>
                <w:color w:val="auto"/>
              </w:rPr>
            </w:pPr>
            <w:r>
              <w:rPr>
                <w:rFonts w:ascii="Arial" w:cs="Arial" w:eastAsia="Arial" w:hAnsi="Arial"/>
                <w:sz w:val="18"/>
                <w:szCs w:val="18"/>
                <w:color w:val="auto"/>
              </w:rPr>
              <w:t>Critical Infrastructure Adjusted</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EBITDA attributable to Parsons</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Corporation</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30,371</w:t>
            </w:r>
          </w:p>
        </w:tc>
        <w:tc>
          <w:tcPr>
            <w:tcW w:w="11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(2,826)</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81,020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89,845</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(8,825)</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7"/>
        </w:trPr>
        <w:tc>
          <w:tcPr>
            <w:tcW w:w="2740" w:type="dxa"/>
            <w:vAlign w:val="bottom"/>
          </w:tcPr>
          <w:p>
            <w:pPr>
              <w:spacing w:after="0" w:line="197" w:lineRule="exact"/>
              <w:rPr>
                <w:sz w:val="20"/>
                <w:szCs w:val="20"/>
                <w:color w:val="auto"/>
              </w:rPr>
            </w:pPr>
            <w:r>
              <w:rPr>
                <w:rFonts w:ascii="Arial" w:cs="Arial" w:eastAsia="Arial" w:hAnsi="Arial"/>
                <w:sz w:val="18"/>
                <w:szCs w:val="18"/>
                <w:color w:val="auto"/>
              </w:rPr>
              <w:t>Adjusted EBITDA attributable to</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7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14,138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7,540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6,598</w:t>
            </w: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22,042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18,010</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4,032</w:t>
            </w: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0"/>
        </w:trPr>
        <w:tc>
          <w:tcPr>
            <w:tcW w:w="2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Adjusted EBITDA</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102,687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84,392</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$ 18,295</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21.7%</w:t>
            </w: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254,349</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218,818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$ 35,531</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gridSpan w:val="2"/>
          </w:tcPr>
          <w:p>
            <w:pPr>
              <w:jc w:val="right"/>
              <w:ind w:right="222"/>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ind w:left="640"/>
        <w:spacing w:after="0"/>
        <w:rPr>
          <w:sz w:val="20"/>
          <w:szCs w:val="20"/>
          <w:color w:val="auto"/>
        </w:rPr>
      </w:pPr>
      <w:r>
        <w:rPr>
          <w:rFonts w:ascii="Arial" w:cs="Arial" w:eastAsia="Arial" w:hAnsi="Arial"/>
          <w:sz w:val="18"/>
          <w:szCs w:val="18"/>
          <w:color w:val="auto"/>
        </w:rPr>
        <w:t>See “Segment Results” below for a further discussion on Adjusted EBITDA by segment.</w:t>
      </w:r>
    </w:p>
    <w:p>
      <w:pPr>
        <w:spacing w:after="0" w:line="104" w:lineRule="exact"/>
        <w:rPr>
          <w:sz w:val="20"/>
          <w:szCs w:val="20"/>
          <w:color w:val="auto"/>
        </w:rPr>
      </w:pPr>
    </w:p>
    <w:p>
      <w:pPr>
        <w:ind w:right="120" w:firstLine="637"/>
        <w:spacing w:after="0" w:line="271" w:lineRule="auto"/>
        <w:rPr>
          <w:sz w:val="20"/>
          <w:szCs w:val="20"/>
          <w:color w:val="auto"/>
        </w:rPr>
      </w:pPr>
      <w:r>
        <w:rPr>
          <w:rFonts w:ascii="Arial" w:cs="Arial" w:eastAsia="Arial" w:hAnsi="Arial"/>
          <w:sz w:val="18"/>
          <w:szCs w:val="18"/>
          <w:color w:val="auto"/>
        </w:rPr>
        <w:t>The following table sets forth our results of operations for the three and nine months ended September 30, 2022 and September 30, 2021 as a percentage of revenue.</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3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3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900" w:type="dxa"/>
            <w:vAlign w:val="bottom"/>
          </w:tcPr>
          <w:p>
            <w:pPr>
              <w:spacing w:after="0"/>
              <w:rPr>
                <w:sz w:val="13"/>
                <w:szCs w:val="13"/>
                <w:color w:val="auto"/>
              </w:rPr>
            </w:pPr>
          </w:p>
        </w:tc>
        <w:tc>
          <w:tcPr>
            <w:tcW w:w="134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rPr>
              <w:t>September 30,</w:t>
            </w:r>
          </w:p>
        </w:tc>
        <w:tc>
          <w:tcPr>
            <w:tcW w:w="132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rPr>
              <w:t>September 30,</w:t>
            </w:r>
          </w:p>
        </w:tc>
        <w:tc>
          <w:tcPr>
            <w:tcW w:w="132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rPr>
              <w:t>September 30,</w:t>
            </w:r>
          </w:p>
        </w:tc>
        <w:tc>
          <w:tcPr>
            <w:tcW w:w="122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490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Direct costs of contracts</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76.9%</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76.8%</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77.2%</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17.4%</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20.0%</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18.8%</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240"/>
              <w:spacing w:after="0"/>
              <w:rPr>
                <w:sz w:val="20"/>
                <w:szCs w:val="20"/>
                <w:color w:val="auto"/>
              </w:rPr>
            </w:pPr>
            <w:r>
              <w:rPr>
                <w:rFonts w:ascii="Arial" w:cs="Arial" w:eastAsia="Arial" w:hAnsi="Arial"/>
                <w:sz w:val="18"/>
                <w:szCs w:val="18"/>
                <w:color w:val="auto"/>
              </w:rPr>
              <w:t>Operating income</w:t>
            </w: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vMerge w:val="continue"/>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Interest expense</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240"/>
              <w:spacing w:after="0"/>
              <w:rPr>
                <w:sz w:val="20"/>
                <w:szCs w:val="20"/>
                <w:color w:val="auto"/>
              </w:rPr>
            </w:pPr>
            <w:r>
              <w:rPr>
                <w:rFonts w:ascii="Arial" w:cs="Arial" w:eastAsia="Arial" w:hAnsi="Arial"/>
                <w:sz w:val="18"/>
                <w:szCs w:val="18"/>
                <w:color w:val="auto"/>
              </w:rPr>
              <w:t>Total other income (expense)</w:t>
            </w: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Income before income tax expense</w:t>
            </w: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vMerge w:val="continue"/>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Net income including noncontrolling interests</w:t>
            </w: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Net income attributable to Parsons Corporation</w:t>
            </w: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vMerge w:val="continue"/>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4"/>
                <w:szCs w:val="14"/>
                <w:color w:val="auto"/>
              </w:rPr>
            </w:pPr>
          </w:p>
        </w:tc>
        <w:tc>
          <w:tcPr>
            <w:tcW w:w="21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6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4"/>
                <w:szCs w:val="14"/>
                <w:color w:val="auto"/>
              </w:rPr>
            </w:pPr>
          </w:p>
        </w:tc>
      </w:tr>
      <w:tr>
        <w:trPr>
          <w:trHeight w:val="160"/>
        </w:trPr>
        <w:tc>
          <w:tcPr>
            <w:tcW w:w="2320" w:type="dxa"/>
            <w:vAlign w:val="bottom"/>
          </w:tcPr>
          <w:p>
            <w:pPr>
              <w:spacing w:after="0"/>
              <w:rPr>
                <w:sz w:val="13"/>
                <w:szCs w:val="13"/>
                <w:color w:val="auto"/>
              </w:rPr>
            </w:pPr>
          </w:p>
        </w:tc>
        <w:tc>
          <w:tcPr>
            <w:tcW w:w="1500" w:type="dxa"/>
            <w:vAlign w:val="bottom"/>
            <w:gridSpan w:val="2"/>
          </w:tcPr>
          <w:p>
            <w:pPr>
              <w:ind w:left="500"/>
              <w:spacing w:after="0" w:line="160"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2"/>
          </w:tcPr>
          <w:p>
            <w:pPr>
              <w:jc w:val="center"/>
              <w:ind w:left="108"/>
              <w:spacing w:after="0" w:line="160"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line="160"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3"/>
          </w:tcPr>
          <w:p>
            <w:pPr>
              <w:ind w:left="180"/>
              <w:spacing w:after="0" w:line="160" w:lineRule="exact"/>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23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50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26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r>
      <w:tr>
        <w:trPr>
          <w:trHeight w:val="21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$ 1,134,370</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   956,050</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$ 178,320</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18.7%</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$ 3,092,160</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$ 2,710,103</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$ 382,057</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14.1%</w:t>
            </w:r>
          </w:p>
        </w:tc>
      </w:tr>
    </w:tbl>
    <w:p>
      <w:pPr>
        <w:spacing w:after="0" w:line="224" w:lineRule="exact"/>
        <w:rPr>
          <w:sz w:val="20"/>
          <w:szCs w:val="20"/>
          <w:color w:val="auto"/>
        </w:rPr>
      </w:pPr>
    </w:p>
    <w:p>
      <w:pPr>
        <w:ind w:right="80" w:firstLine="644"/>
        <w:spacing w:after="0" w:line="244" w:lineRule="auto"/>
        <w:rPr>
          <w:sz w:val="20"/>
          <w:szCs w:val="20"/>
          <w:color w:val="auto"/>
        </w:rPr>
      </w:pPr>
      <w:r>
        <w:rPr>
          <w:rFonts w:ascii="Arial" w:cs="Arial" w:eastAsia="Arial" w:hAnsi="Arial"/>
          <w:sz w:val="18"/>
          <w:szCs w:val="18"/>
          <w:color w:val="auto"/>
        </w:rPr>
        <w:t>Revenue increased $178.3 million for the three months ended September 30, 2022 when compared to the corresponding period last year, due to increases in revenue in both our Federal Solutions and Critical Infrastructure segments of $121.1 million and $57.2 million, respectively. Revenue increased $382.1 million for the nine months ended September 30, 2022 when compared to the corresponding period last year, due to increases in revenue in both our Federal Solutions and Critical Infrastructure segments of $255.6 million and $126.5 million, respectively. See “Segment Results” below for a further discussion.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4"/>
                <w:szCs w:val="14"/>
                <w:color w:val="auto"/>
              </w:rPr>
            </w:pPr>
          </w:p>
        </w:tc>
        <w:tc>
          <w:tcPr>
            <w:tcW w:w="21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6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4"/>
                <w:szCs w:val="14"/>
                <w:color w:val="auto"/>
              </w:rPr>
            </w:pPr>
          </w:p>
        </w:tc>
      </w:tr>
      <w:tr>
        <w:trPr>
          <w:trHeight w:val="160"/>
        </w:trPr>
        <w:tc>
          <w:tcPr>
            <w:tcW w:w="2380" w:type="dxa"/>
            <w:vAlign w:val="bottom"/>
          </w:tcPr>
          <w:p>
            <w:pPr>
              <w:spacing w:after="0"/>
              <w:rPr>
                <w:sz w:val="13"/>
                <w:szCs w:val="13"/>
                <w:color w:val="auto"/>
              </w:rPr>
            </w:pPr>
          </w:p>
        </w:tc>
        <w:tc>
          <w:tcPr>
            <w:tcW w:w="1440" w:type="dxa"/>
            <w:vAlign w:val="bottom"/>
            <w:gridSpan w:val="2"/>
          </w:tcPr>
          <w:p>
            <w:pPr>
              <w:ind w:left="440"/>
              <w:spacing w:after="0" w:line="160"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2"/>
          </w:tcPr>
          <w:p>
            <w:pPr>
              <w:jc w:val="center"/>
              <w:ind w:left="108"/>
              <w:spacing w:after="0" w:line="160"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line="160"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3"/>
          </w:tcPr>
          <w:p>
            <w:pPr>
              <w:ind w:left="180"/>
              <w:spacing w:after="0" w:line="160" w:lineRule="exact"/>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23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44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26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r>
      <w:tr>
        <w:trPr>
          <w:trHeight w:val="209"/>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Direct costs of contracts</w:t>
            </w: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872,423</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   734,652</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$ 137,771</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18.8%</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$ 2,388,095</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$ 2,084,062</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$ 304,033</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w:t>
            </w:r>
          </w:p>
        </w:tc>
      </w:tr>
      <w:tr>
        <w:trPr>
          <w:trHeight w:val="679"/>
        </w:trPr>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gridSpan w:val="2"/>
          </w:tcPr>
          <w:p>
            <w:pPr>
              <w:jc w:val="right"/>
              <w:ind w:right="142"/>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3"/>
        </w:trPr>
        <w:tc>
          <w:tcPr>
            <w:tcW w:w="2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right="120" w:firstLine="637"/>
        <w:spacing w:after="0" w:line="244" w:lineRule="auto"/>
        <w:rPr>
          <w:sz w:val="20"/>
          <w:szCs w:val="20"/>
          <w:color w:val="auto"/>
        </w:rPr>
      </w:pPr>
      <w:r>
        <w:rPr>
          <w:rFonts w:ascii="Arial" w:cs="Arial" w:eastAsia="Arial" w:hAnsi="Arial"/>
          <w:sz w:val="18"/>
          <w:szCs w:val="18"/>
          <w:color w:val="auto"/>
        </w:rPr>
        <w:t>Direct cost of contracts increased $137.8 million for the three months ended September 30, 2022 when compared to the corresponding period last year, due to increases of $98.9 million in our Federal Solutions segment and $38.9 million in our Critical Infrastructure segment. Direct cost of contracts increased $304.0 million for the nine months ended September 30, 2022 when compared to the corresponding period last year, due to increases of $203.3 million in our Federal Solutions segment and $100.7 million in our Critical Infrastructure segment. The increases were primarily due to an increase in business volume from recent contract awards and acquisitions.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unconsolidated joint ventures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5"/>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80" w:type="dxa"/>
            <w:vAlign w:val="bottom"/>
            <w:gridSpan w:val="5"/>
          </w:tcPr>
          <w:p>
            <w:pPr>
              <w:jc w:val="right"/>
              <w:ind w:right="908"/>
              <w:spacing w:after="0"/>
              <w:rPr>
                <w:sz w:val="20"/>
                <w:szCs w:val="20"/>
                <w:color w:val="auto"/>
              </w:rPr>
            </w:pPr>
            <w:r>
              <w:rPr>
                <w:rFonts w:ascii="Arial" w:cs="Arial" w:eastAsia="Arial" w:hAnsi="Arial"/>
                <w:sz w:val="14"/>
                <w:szCs w:val="14"/>
                <w:b w:val="1"/>
                <w:bCs w:val="1"/>
                <w:color w:val="auto"/>
              </w:rPr>
              <w:t>Variance</w:t>
            </w:r>
          </w:p>
        </w:tc>
        <w:tc>
          <w:tcPr>
            <w:tcW w:w="1940" w:type="dxa"/>
            <w:vAlign w:val="bottom"/>
            <w:gridSpan w:val="4"/>
          </w:tcPr>
          <w:p>
            <w:pPr>
              <w:jc w:val="right"/>
              <w:ind w:right="339"/>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8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Variance</w:t>
            </w:r>
          </w:p>
        </w:tc>
      </w:tr>
      <w:tr>
        <w:trPr>
          <w:trHeight w:val="160"/>
        </w:trPr>
        <w:tc>
          <w:tcPr>
            <w:tcW w:w="2900" w:type="dxa"/>
            <w:vAlign w:val="bottom"/>
          </w:tcPr>
          <w:p>
            <w:pPr>
              <w:spacing w:after="0"/>
              <w:rPr>
                <w:sz w:val="13"/>
                <w:szCs w:val="13"/>
                <w:color w:val="auto"/>
              </w:rPr>
            </w:pPr>
          </w:p>
        </w:tc>
        <w:tc>
          <w:tcPr>
            <w:tcW w:w="1100" w:type="dxa"/>
            <w:vAlign w:val="bottom"/>
            <w:tcBorders>
              <w:top w:val="single" w:sz="8" w:color="auto"/>
            </w:tcBorders>
            <w:gridSpan w:val="3"/>
          </w:tcPr>
          <w:p>
            <w:pPr>
              <w:spacing w:after="0" w:line="160" w:lineRule="exact"/>
              <w:rPr>
                <w:sz w:val="20"/>
                <w:szCs w:val="20"/>
                <w:color w:val="auto"/>
              </w:rPr>
            </w:pPr>
            <w:r>
              <w:rPr>
                <w:rFonts w:ascii="Arial" w:cs="Arial" w:eastAsia="Arial" w:hAnsi="Arial"/>
                <w:sz w:val="14"/>
                <w:szCs w:val="14"/>
                <w:b w:val="1"/>
                <w:bCs w:val="1"/>
                <w:color w:val="auto"/>
              </w:rPr>
              <w:t>September 30,</w:t>
            </w:r>
          </w:p>
        </w:tc>
        <w:tc>
          <w:tcPr>
            <w:tcW w:w="1060" w:type="dxa"/>
            <w:vAlign w:val="bottom"/>
            <w:tcBorders>
              <w:top w:val="single" w:sz="8" w:color="auto"/>
            </w:tcBorders>
            <w:gridSpan w:val="3"/>
          </w:tcPr>
          <w:p>
            <w:pPr>
              <w:ind w:left="80"/>
              <w:spacing w:after="0" w:line="160"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Borders>
              <w:top w:val="single" w:sz="8" w:color="auto"/>
            </w:tcBorders>
            <w:gridSpan w:val="3"/>
          </w:tcPr>
          <w:p>
            <w:pPr>
              <w:jc w:val="center"/>
              <w:ind w:right="160"/>
              <w:spacing w:after="0" w:line="160" w:lineRule="exact"/>
              <w:rPr>
                <w:sz w:val="20"/>
                <w:szCs w:val="20"/>
                <w:color w:val="auto"/>
              </w:rPr>
            </w:pPr>
            <w:r>
              <w:rPr>
                <w:rFonts w:ascii="Arial" w:cs="Arial" w:eastAsia="Arial" w:hAnsi="Arial"/>
                <w:sz w:val="14"/>
                <w:szCs w:val="14"/>
                <w:b w:val="1"/>
                <w:bCs w:val="1"/>
                <w:color w:val="auto"/>
              </w:rPr>
              <w:t>September 30,</w:t>
            </w:r>
          </w:p>
        </w:tc>
        <w:tc>
          <w:tcPr>
            <w:tcW w:w="1000" w:type="dxa"/>
            <w:vAlign w:val="bottom"/>
            <w:tcBorders>
              <w:top w:val="single" w:sz="8" w:color="auto"/>
            </w:tcBorders>
            <w:gridSpan w:val="2"/>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290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200" w:type="dxa"/>
            <w:vAlign w:val="bottom"/>
          </w:tcPr>
          <w:p>
            <w:pPr>
              <w:spacing w:after="0"/>
              <w:rPr>
                <w:sz w:val="14"/>
                <w:szCs w:val="14"/>
                <w:color w:val="auto"/>
              </w:rPr>
            </w:pPr>
          </w:p>
        </w:tc>
        <w:tc>
          <w:tcPr>
            <w:tcW w:w="780" w:type="dxa"/>
            <w:vAlign w:val="bottom"/>
          </w:tcPr>
          <w:p>
            <w:pPr>
              <w:jc w:val="right"/>
              <w:ind w:right="26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Dollar</w:t>
            </w:r>
          </w:p>
        </w:tc>
        <w:tc>
          <w:tcPr>
            <w:tcW w:w="114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Percent</w:t>
            </w:r>
          </w:p>
        </w:tc>
        <w:tc>
          <w:tcPr>
            <w:tcW w:w="780" w:type="dxa"/>
            <w:vAlign w:val="bottom"/>
          </w:tcPr>
          <w:p>
            <w:pPr>
              <w:jc w:val="right"/>
              <w:ind w:right="26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Dollar</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r>
      <w:tr>
        <w:trPr>
          <w:trHeight w:val="191"/>
        </w:trPr>
        <w:tc>
          <w:tcPr>
            <w:tcW w:w="290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Equity in earnings of</w:t>
            </w:r>
          </w:p>
        </w:tc>
        <w:tc>
          <w:tcPr>
            <w:tcW w:w="2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r>
      <w:tr>
        <w:trPr>
          <w:trHeight w:val="221"/>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unconsolidated joint ventures</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(974)</w:t>
            </w: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9,570</w:t>
            </w:r>
          </w:p>
        </w:tc>
        <w:tc>
          <w:tcPr>
            <w:tcW w:w="11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 (10,544)</w:t>
            </w:r>
          </w:p>
        </w:tc>
        <w:tc>
          <w:tcPr>
            <w:tcW w:w="114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-110.2% $</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26,528</w:t>
            </w: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 (16,291)</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-61.4%</w:t>
            </w:r>
          </w:p>
        </w:tc>
      </w:tr>
    </w:tbl>
    <w:p>
      <w:pPr>
        <w:spacing w:after="0" w:line="224" w:lineRule="exact"/>
        <w:rPr>
          <w:sz w:val="20"/>
          <w:szCs w:val="20"/>
          <w:color w:val="auto"/>
        </w:rPr>
      </w:pPr>
    </w:p>
    <w:p>
      <w:pPr>
        <w:jc w:val="both"/>
        <w:ind w:right="240" w:firstLine="637"/>
        <w:spacing w:after="0" w:line="253" w:lineRule="auto"/>
        <w:rPr>
          <w:sz w:val="20"/>
          <w:szCs w:val="20"/>
          <w:color w:val="auto"/>
        </w:rPr>
      </w:pPr>
      <w:r>
        <w:rPr>
          <w:rFonts w:ascii="Arial" w:cs="Arial" w:eastAsia="Arial" w:hAnsi="Arial"/>
          <w:sz w:val="18"/>
          <w:szCs w:val="18"/>
          <w:color w:val="auto"/>
        </w:rPr>
        <w:t>Equity in earnings of unconsolidated joint ventures decreased $10.5 million and $16.3 million for the three and nine months ended September 30, 2022, respectively, compared to the corresponding periods last year. The decreases were primarily related to a $6.4 million write-down on a joint venture in Q3 2022 and change orders which delayed profits of a joint venture to future periods.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54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4"/>
                <w:szCs w:val="14"/>
                <w:color w:val="auto"/>
              </w:rPr>
            </w:pPr>
          </w:p>
        </w:tc>
      </w:tr>
      <w:tr>
        <w:trPr>
          <w:trHeight w:val="160"/>
        </w:trPr>
        <w:tc>
          <w:tcPr>
            <w:tcW w:w="2860" w:type="dxa"/>
            <w:vAlign w:val="bottom"/>
          </w:tcPr>
          <w:p>
            <w:pPr>
              <w:spacing w:after="0"/>
              <w:rPr>
                <w:sz w:val="13"/>
                <w:szCs w:val="13"/>
                <w:color w:val="auto"/>
              </w:rPr>
            </w:pPr>
          </w:p>
        </w:tc>
        <w:tc>
          <w:tcPr>
            <w:tcW w:w="1280" w:type="dxa"/>
            <w:vAlign w:val="bottom"/>
            <w:gridSpan w:val="3"/>
          </w:tcPr>
          <w:p>
            <w:pPr>
              <w:ind w:left="100"/>
              <w:spacing w:after="0" w:line="160" w:lineRule="exact"/>
              <w:rPr>
                <w:sz w:val="20"/>
                <w:szCs w:val="20"/>
                <w:color w:val="auto"/>
              </w:rPr>
            </w:pPr>
            <w:r>
              <w:rPr>
                <w:rFonts w:ascii="Arial" w:cs="Arial" w:eastAsia="Arial" w:hAnsi="Arial"/>
                <w:sz w:val="14"/>
                <w:szCs w:val="14"/>
                <w:b w:val="1"/>
                <w:bCs w:val="1"/>
                <w:color w:val="auto"/>
              </w:rPr>
              <w:t>September 30,</w:t>
            </w:r>
          </w:p>
        </w:tc>
        <w:tc>
          <w:tcPr>
            <w:tcW w:w="980" w:type="dxa"/>
            <w:vAlign w:val="bottom"/>
          </w:tcPr>
          <w:p>
            <w:pPr>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40" w:type="dxa"/>
            <w:vAlign w:val="bottom"/>
            <w:gridSpan w:val="4"/>
          </w:tcPr>
          <w:p>
            <w:pPr>
              <w:ind w:left="260"/>
              <w:spacing w:after="0" w:line="160" w:lineRule="exact"/>
              <w:rPr>
                <w:sz w:val="20"/>
                <w:szCs w:val="20"/>
                <w:color w:val="auto"/>
              </w:rPr>
            </w:pPr>
            <w:r>
              <w:rPr>
                <w:rFonts w:ascii="Arial" w:cs="Arial" w:eastAsia="Arial" w:hAnsi="Arial"/>
                <w:sz w:val="14"/>
                <w:szCs w:val="14"/>
                <w:b w:val="1"/>
                <w:bCs w:val="1"/>
                <w:color w:val="auto"/>
              </w:rPr>
              <w:t>September 30,</w:t>
            </w:r>
          </w:p>
        </w:tc>
        <w:tc>
          <w:tcPr>
            <w:tcW w:w="980" w:type="dxa"/>
            <w:vAlign w:val="bottom"/>
          </w:tcPr>
          <w:p>
            <w:pPr>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286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108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980" w:type="dxa"/>
            <w:vAlign w:val="bottom"/>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Dollar</w:t>
            </w:r>
          </w:p>
        </w:tc>
        <w:tc>
          <w:tcPr>
            <w:tcW w:w="11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Percent</w:t>
            </w:r>
          </w:p>
        </w:tc>
        <w:tc>
          <w:tcPr>
            <w:tcW w:w="760" w:type="dxa"/>
            <w:vAlign w:val="bottom"/>
          </w:tcPr>
          <w:p>
            <w:pPr>
              <w:ind w:left="10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980" w:type="dxa"/>
            <w:vAlign w:val="bottom"/>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Dollar</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r>
      <w:tr>
        <w:trPr>
          <w:trHeight w:val="191"/>
        </w:trPr>
        <w:tc>
          <w:tcPr>
            <w:tcW w:w="286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Selling, general and administrative</w:t>
            </w:r>
          </w:p>
        </w:tc>
        <w:tc>
          <w:tcPr>
            <w:tcW w:w="100" w:type="dxa"/>
            <w:vAlign w:val="bottom"/>
            <w:tcBorders>
              <w:top w:val="single" w:sz="8" w:color="CFF0FC"/>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r>
      <w:tr>
        <w:trPr>
          <w:trHeight w:val="221"/>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196,960</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191,231</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5,729</w:t>
            </w: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3.0% $</w:t>
            </w:r>
          </w:p>
        </w:tc>
        <w:tc>
          <w:tcPr>
            <w:tcW w:w="76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8"/>
              </w:rPr>
              <w:t>581,969</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566,991</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$ 14,978</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bl>
    <w:p>
      <w:pPr>
        <w:spacing w:after="0" w:line="197" w:lineRule="exact"/>
        <w:rPr>
          <w:sz w:val="20"/>
          <w:szCs w:val="20"/>
          <w:color w:val="auto"/>
        </w:rPr>
      </w:pPr>
    </w:p>
    <w:p>
      <w:pPr>
        <w:ind w:right="40" w:firstLine="637"/>
        <w:spacing w:after="0" w:line="247" w:lineRule="auto"/>
        <w:rPr>
          <w:sz w:val="20"/>
          <w:szCs w:val="20"/>
          <w:color w:val="auto"/>
        </w:rPr>
      </w:pPr>
      <w:r>
        <w:rPr>
          <w:rFonts w:ascii="Arial" w:cs="Arial" w:eastAsia="Arial" w:hAnsi="Arial"/>
          <w:sz w:val="18"/>
          <w:szCs w:val="18"/>
          <w:color w:val="auto"/>
        </w:rPr>
        <w:t>The increase in SG&amp;A of $5.7 million for the three months ended September 30, 2022 when compared to the corresponding period last year was primarily due to a $7.0 million increase from acquisitions, a $3.9 million increase in compensation cost related to equity-based awards, and a $3.4 million in incentive costs. These increases were partially offset by a $8.0 million decrease in intangible asset amortization and a $0.6 million decrease from other costs.</w:t>
      </w:r>
    </w:p>
    <w:p>
      <w:pPr>
        <w:spacing w:after="0" w:line="174" w:lineRule="exact"/>
        <w:rPr>
          <w:sz w:val="20"/>
          <w:szCs w:val="20"/>
          <w:color w:val="auto"/>
        </w:rPr>
      </w:pPr>
    </w:p>
    <w:p>
      <w:pPr>
        <w:ind w:right="160" w:firstLine="637"/>
        <w:spacing w:after="0" w:line="247" w:lineRule="auto"/>
        <w:rPr>
          <w:sz w:val="20"/>
          <w:szCs w:val="20"/>
          <w:color w:val="auto"/>
        </w:rPr>
      </w:pPr>
      <w:r>
        <w:rPr>
          <w:rFonts w:ascii="Arial" w:cs="Arial" w:eastAsia="Arial" w:hAnsi="Arial"/>
          <w:sz w:val="18"/>
          <w:szCs w:val="18"/>
          <w:color w:val="auto"/>
        </w:rPr>
        <w:t>The increase in SG&amp;A of $15.0 million for the nine months ended September 30, 2022 when compared to the corresponding period last year was primarily due to a $17.6 million increase from acquisitions, $6.8 million increase in transaction related costs, $5.4 million increase in incentive costs, and $2.4 million increase from other costs. These increases were partially offset by a $17.2 million decrease in intangible asset amortization.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Variance</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4"/>
                <w:szCs w:val="14"/>
                <w:color w:val="auto"/>
              </w:rPr>
            </w:pPr>
          </w:p>
        </w:tc>
      </w:tr>
      <w:tr>
        <w:trPr>
          <w:trHeight w:val="160"/>
        </w:trPr>
        <w:tc>
          <w:tcPr>
            <w:tcW w:w="2360" w:type="dxa"/>
            <w:vAlign w:val="bottom"/>
          </w:tcPr>
          <w:p>
            <w:pPr>
              <w:spacing w:after="0"/>
              <w:rPr>
                <w:sz w:val="13"/>
                <w:szCs w:val="13"/>
                <w:color w:val="auto"/>
              </w:rPr>
            </w:pPr>
          </w:p>
        </w:tc>
        <w:tc>
          <w:tcPr>
            <w:tcW w:w="1240" w:type="dxa"/>
            <w:vAlign w:val="bottom"/>
            <w:gridSpan w:val="4"/>
          </w:tcPr>
          <w:p>
            <w:pPr>
              <w:ind w:left="120"/>
              <w:spacing w:after="0" w:line="160" w:lineRule="exact"/>
              <w:rPr>
                <w:sz w:val="20"/>
                <w:szCs w:val="20"/>
                <w:color w:val="auto"/>
              </w:rPr>
            </w:pPr>
            <w:r>
              <w:rPr>
                <w:rFonts w:ascii="Arial" w:cs="Arial" w:eastAsia="Arial" w:hAnsi="Arial"/>
                <w:sz w:val="14"/>
                <w:szCs w:val="14"/>
                <w:b w:val="1"/>
                <w:bCs w:val="1"/>
                <w:color w:val="auto"/>
              </w:rPr>
              <w:t>September 30,</w:t>
            </w:r>
          </w:p>
        </w:tc>
        <w:tc>
          <w:tcPr>
            <w:tcW w:w="1180" w:type="dxa"/>
            <w:vAlign w:val="bottom"/>
            <w:gridSpan w:val="4"/>
          </w:tcPr>
          <w:p>
            <w:pPr>
              <w:ind w:left="60"/>
              <w:spacing w:after="0" w:line="160"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4"/>
          </w:tcPr>
          <w:p>
            <w:pPr>
              <w:ind w:left="40"/>
              <w:spacing w:after="0" w:line="160" w:lineRule="exact"/>
              <w:rPr>
                <w:sz w:val="20"/>
                <w:szCs w:val="20"/>
                <w:color w:val="auto"/>
              </w:rPr>
            </w:pPr>
            <w:r>
              <w:rPr>
                <w:rFonts w:ascii="Arial" w:cs="Arial" w:eastAsia="Arial" w:hAnsi="Arial"/>
                <w:sz w:val="14"/>
                <w:szCs w:val="14"/>
                <w:b w:val="1"/>
                <w:bCs w:val="1"/>
                <w:color w:val="auto"/>
              </w:rPr>
              <w:t>September 30,</w:t>
            </w:r>
          </w:p>
        </w:tc>
        <w:tc>
          <w:tcPr>
            <w:tcW w:w="1200" w:type="dxa"/>
            <w:vAlign w:val="bottom"/>
            <w:gridSpan w:val="4"/>
          </w:tcPr>
          <w:p>
            <w:pPr>
              <w:ind w:left="80"/>
              <w:spacing w:after="0" w:line="160"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23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r>
      <w:tr>
        <w:trPr>
          <w:trHeight w:val="210"/>
        </w:trPr>
        <w:tc>
          <w:tcPr>
            <w:tcW w:w="2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487.7%</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96.2%</w:t>
            </w:r>
          </w:p>
        </w:tc>
      </w:tr>
      <w:tr>
        <w:trPr>
          <w:trHeight w:val="216"/>
        </w:trPr>
        <w:tc>
          <w:tcPr>
            <w:tcW w:w="23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(6,323)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(4,052)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(2,271)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56.0%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(14,786)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(13,503)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(1,283)</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r>
      <w:tr>
        <w:trPr>
          <w:trHeight w:val="197"/>
        </w:trPr>
        <w:tc>
          <w:tcPr>
            <w:tcW w:w="2360" w:type="dxa"/>
            <w:vAlign w:val="bottom"/>
            <w:shd w:val="clear" w:color="auto" w:fill="CFF0FC"/>
          </w:tcPr>
          <w:p>
            <w:pPr>
              <w:ind w:left="260"/>
              <w:spacing w:after="0" w:line="197" w:lineRule="exact"/>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21"/>
        </w:trPr>
        <w:tc>
          <w:tcPr>
            <w:tcW w:w="2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(685)</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(869)</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-472.3%</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(1,202)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-74.7%</w:t>
            </w:r>
          </w:p>
        </w:tc>
      </w:tr>
      <w:tr>
        <w:trPr>
          <w:trHeight w:val="191"/>
        </w:trPr>
        <w:tc>
          <w:tcPr>
            <w:tcW w:w="2360" w:type="dxa"/>
            <w:vAlign w:val="bottom"/>
          </w:tcPr>
          <w:p>
            <w:pPr>
              <w:ind w:left="260"/>
              <w:spacing w:after="0" w:line="191" w:lineRule="exact"/>
              <w:rPr>
                <w:sz w:val="20"/>
                <w:szCs w:val="20"/>
                <w:color w:val="auto"/>
              </w:rPr>
            </w:pPr>
            <w:r>
              <w:rPr>
                <w:rFonts w:ascii="Arial" w:cs="Arial" w:eastAsia="Arial" w:hAnsi="Arial"/>
                <w:sz w:val="18"/>
                <w:szCs w:val="18"/>
                <w:color w:val="auto"/>
              </w:rPr>
              <w:t>Total other income</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221"/>
        </w:trPr>
        <w:tc>
          <w:tcPr>
            <w:tcW w:w="2360" w:type="dxa"/>
            <w:vAlign w:val="bottom"/>
          </w:tcPr>
          <w:p>
            <w:pPr>
              <w:ind w:left="260"/>
              <w:spacing w:after="0"/>
              <w:rPr>
                <w:sz w:val="20"/>
                <w:szCs w:val="20"/>
                <w:color w:val="auto"/>
              </w:rPr>
            </w:pPr>
            <w:r>
              <w:rPr>
                <w:rFonts w:ascii="Arial" w:cs="Arial" w:eastAsia="Arial" w:hAnsi="Arial"/>
                <w:sz w:val="18"/>
                <w:szCs w:val="18"/>
                <w:color w:val="auto"/>
              </w:rPr>
              <w:t>(expense)</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(6,626)</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(3,803)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(2,823)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74.2%</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(14,472)</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(14,390)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0"/>
        </w:trPr>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right="60" w:firstLine="637"/>
        <w:spacing w:after="0" w:line="253" w:lineRule="auto"/>
        <w:rPr>
          <w:sz w:val="20"/>
          <w:szCs w:val="20"/>
          <w:color w:val="auto"/>
        </w:rPr>
      </w:pPr>
      <w:r>
        <w:rPr>
          <w:rFonts w:ascii="Arial" w:cs="Arial" w:eastAsia="Arial" w:hAnsi="Arial"/>
          <w:sz w:val="18"/>
          <w:szCs w:val="18"/>
          <w:color w:val="auto"/>
        </w:rPr>
        <w:t>Interest income is related to interest earned on cash balances held. Interest expense is primarily due to debt related to our business acquisitions and Convertible Senior Notes. The amounts in other income (expense), net are primarily related to transaction gains and losses on foreign currency transactions and sublease income.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Income tax expense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5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5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4"/>
                <w:szCs w:val="14"/>
                <w:color w:val="auto"/>
              </w:rPr>
            </w:pPr>
          </w:p>
        </w:tc>
      </w:tr>
      <w:tr>
        <w:trPr>
          <w:trHeight w:val="160"/>
        </w:trPr>
        <w:tc>
          <w:tcPr>
            <w:tcW w:w="2400" w:type="dxa"/>
            <w:vAlign w:val="bottom"/>
          </w:tcPr>
          <w:p>
            <w:pPr>
              <w:spacing w:after="0"/>
              <w:rPr>
                <w:sz w:val="13"/>
                <w:szCs w:val="13"/>
                <w:color w:val="auto"/>
              </w:rPr>
            </w:pPr>
          </w:p>
        </w:tc>
        <w:tc>
          <w:tcPr>
            <w:tcW w:w="1740" w:type="dxa"/>
            <w:vAlign w:val="bottom"/>
            <w:gridSpan w:val="4"/>
          </w:tcPr>
          <w:p>
            <w:pPr>
              <w:ind w:left="560"/>
              <w:spacing w:after="0" w:line="160"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4"/>
          </w:tcPr>
          <w:p>
            <w:pPr>
              <w:ind w:left="200"/>
              <w:spacing w:after="0" w:line="160" w:lineRule="exact"/>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24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5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r>
      <w:tr>
        <w:trPr>
          <w:trHeight w:val="209"/>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9,165</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4,627</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50.5%</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8"/>
              </w:rPr>
              <w:t>27,643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18,378</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9,265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50.4%</w:t>
            </w:r>
          </w:p>
        </w:tc>
      </w:tr>
    </w:tbl>
    <w:p>
      <w:pPr>
        <w:spacing w:after="0" w:line="224" w:lineRule="exact"/>
        <w:rPr>
          <w:sz w:val="20"/>
          <w:szCs w:val="20"/>
          <w:color w:val="auto"/>
        </w:rPr>
      </w:pPr>
    </w:p>
    <w:p>
      <w:pPr>
        <w:ind w:right="40" w:firstLine="637"/>
        <w:spacing w:after="0" w:line="239" w:lineRule="auto"/>
        <w:rPr>
          <w:sz w:val="20"/>
          <w:szCs w:val="20"/>
          <w:color w:val="auto"/>
        </w:rPr>
      </w:pPr>
      <w:r>
        <w:rPr>
          <w:rFonts w:ascii="Arial" w:cs="Arial" w:eastAsia="Arial" w:hAnsi="Arial"/>
          <w:sz w:val="18"/>
          <w:szCs w:val="18"/>
          <w:color w:val="auto"/>
        </w:rPr>
        <w:t>The Company’s effective tax rate was 24.0% and 25.5% for the three months ended September 30, 2022 and September 30, 2021, respectively. The most significant items contributing to the change in the effective tax rate relate to a decrease in withholding tax, a change in jurisdictional mix of earnings and a nonrecurring write down of a foreign tax receivable included in 2021, partially offset by a release of a valuation allowance included in 2021. The Company’s effective tax rate for the nine months ended September 30, 2022 and September 30, 2021 was 23.5% and 25.8%, respectively. The change in effective tax rate was due primarily to a decrease in withholding tax, a change in jurisdictional mix of earnings, a settlement of an uncertain tax position and a nonrecurring write down of a foreign tax receivable included in 2021, partially offset by a release of a valuation allowance included in 2021. The difference between the statutory U.S. federal income tax rate of 21.0% and the effective tax rate for the three and nine months ended September 30, 2022 primarily relates to state income taxes, partially offset by benefits related to untaxed income attributable to noncontrolling interests, earnings in lower tax jurisdictions and federal research tax credits.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Results</w:t>
      </w:r>
    </w:p>
    <w:p>
      <w:pPr>
        <w:spacing w:after="0" w:line="212" w:lineRule="exact"/>
        <w:rPr>
          <w:sz w:val="20"/>
          <w:szCs w:val="20"/>
          <w:color w:val="auto"/>
        </w:rPr>
      </w:pPr>
    </w:p>
    <w:p>
      <w:pPr>
        <w:ind w:right="680" w:firstLine="637"/>
        <w:spacing w:after="0" w:line="255"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w:t>
      </w:r>
    </w:p>
    <w:p>
      <w:pPr>
        <w:spacing w:after="0" w:line="2"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noncontrolling interests. Presented above, in this Management’s Discussion and Analysis of Financial Condition and Results of Operations, is a discussion of our definition of Adjusted EBITDA, how we use this metric, why we present this metric and the material limitations on the usefulness of this metric. See “Note 18—Segments Information” in the notes to the consolidated financial statements in this Form 10-Q for further discussion regarding our segment Adjusted EBITDA attributable to Parsons Corporation.</w:t>
      </w:r>
    </w:p>
    <w:p>
      <w:pPr>
        <w:spacing w:after="0" w:line="175" w:lineRule="exact"/>
        <w:rPr>
          <w:sz w:val="20"/>
          <w:szCs w:val="20"/>
          <w:color w:val="auto"/>
        </w:rPr>
      </w:pPr>
    </w:p>
    <w:p>
      <w:pPr>
        <w:ind w:right="240" w:firstLine="637"/>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gridSpan w:val="5"/>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1140" w:type="dxa"/>
            <w:vAlign w:val="bottom"/>
            <w:gridSpan w:val="4"/>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060" w:type="dxa"/>
            <w:vAlign w:val="bottom"/>
            <w:gridSpan w:val="4"/>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7"/>
          </w:tcPr>
          <w:p>
            <w:pPr>
              <w:jc w:val="right"/>
              <w:ind w:right="700"/>
              <w:spacing w:after="0" w:line="160"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26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4740" w:type="dxa"/>
            <w:vAlign w:val="bottom"/>
            <w:tcBorders>
              <w:top w:val="single" w:sz="8" w:color="CFF0FC"/>
            </w:tcBorders>
            <w:gridSpan w:val="8"/>
            <w:shd w:val="clear" w:color="auto" w:fill="CFF0FC"/>
          </w:tcPr>
          <w:p>
            <w:pPr>
              <w:spacing w:after="0" w:line="191" w:lineRule="exact"/>
              <w:rPr>
                <w:sz w:val="20"/>
                <w:szCs w:val="20"/>
                <w:color w:val="auto"/>
              </w:rPr>
            </w:pPr>
            <w:r>
              <w:rPr>
                <w:rFonts w:ascii="Arial" w:cs="Arial" w:eastAsia="Arial" w:hAnsi="Arial"/>
                <w:sz w:val="18"/>
                <w:szCs w:val="18"/>
                <w:color w:val="auto"/>
              </w:rPr>
              <w:t>Federal Solutions Adjusted EBITDA attributable to Parsons</w:t>
            </w:r>
          </w:p>
        </w:tc>
        <w:tc>
          <w:tcPr>
            <w:tcW w:w="40" w:type="dxa"/>
            <w:vAlign w:val="bottom"/>
            <w:tcBorders>
              <w:top w:val="single" w:sz="8" w:color="CFF0FC"/>
            </w:tcBorders>
            <w:shd w:val="clear" w:color="auto" w:fill="CFF0FC"/>
          </w:tcPr>
          <w:p>
            <w:pPr>
              <w:spacing w:after="0"/>
              <w:rPr>
                <w:sz w:val="16"/>
                <w:szCs w:val="16"/>
                <w:color w:val="auto"/>
              </w:rPr>
            </w:pPr>
          </w:p>
        </w:tc>
        <w:tc>
          <w:tcPr>
            <w:tcW w:w="42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Corporation</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3"/>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61,004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46,481</w:t>
            </w:r>
          </w:p>
        </w:tc>
        <w:tc>
          <w:tcPr>
            <w:tcW w:w="100" w:type="dxa"/>
            <w:vAlign w:val="bottom"/>
            <w:shd w:val="clear" w:color="auto" w:fill="CFF0FC"/>
          </w:tcPr>
          <w:p>
            <w:pPr>
              <w:spacing w:after="0"/>
              <w:rPr>
                <w:sz w:val="19"/>
                <w:szCs w:val="19"/>
                <w:color w:val="auto"/>
              </w:rPr>
            </w:pPr>
          </w:p>
        </w:tc>
        <w:tc>
          <w:tcPr>
            <w:tcW w:w="3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151,287</w:t>
            </w:r>
          </w:p>
        </w:tc>
        <w:tc>
          <w:tcPr>
            <w:tcW w:w="2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110,963</w:t>
            </w:r>
          </w:p>
        </w:tc>
        <w:tc>
          <w:tcPr>
            <w:tcW w:w="100" w:type="dxa"/>
            <w:vAlign w:val="bottom"/>
            <w:shd w:val="clear" w:color="auto" w:fill="CFF0FC"/>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5580" w:type="dxa"/>
            <w:vAlign w:val="bottom"/>
            <w:gridSpan w:val="11"/>
          </w:tcPr>
          <w:p>
            <w:pPr>
              <w:spacing w:after="0" w:line="197" w:lineRule="exact"/>
              <w:rPr>
                <w:sz w:val="20"/>
                <w:szCs w:val="20"/>
                <w:color w:val="auto"/>
              </w:rPr>
            </w:pPr>
            <w:r>
              <w:rPr>
                <w:rFonts w:ascii="Arial" w:cs="Arial" w:eastAsia="Arial" w:hAnsi="Arial"/>
                <w:sz w:val="18"/>
                <w:szCs w:val="18"/>
                <w:color w:val="auto"/>
              </w:rPr>
              <w:t>Critical Infrastructure Adjusted EBITDA attributable to Parsons</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Corporation</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27,545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w w:val="98"/>
              </w:rPr>
              <w:t>30,371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81,020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89,845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8"/>
            <w:shd w:val="clear" w:color="auto" w:fill="CFF0FC"/>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14,138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97"/>
              </w:rPr>
              <w:t>7,540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22,042</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18,010</w:t>
            </w:r>
          </w:p>
        </w:tc>
        <w:tc>
          <w:tcPr>
            <w:tcW w:w="10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260" w:type="dxa"/>
            <w:vAlign w:val="bottom"/>
          </w:tcPr>
          <w:p>
            <w:pPr>
              <w:ind w:left="240"/>
              <w:spacing w:after="0"/>
              <w:rPr>
                <w:sz w:val="20"/>
                <w:szCs w:val="20"/>
                <w:color w:val="auto"/>
              </w:rPr>
            </w:pPr>
            <w:r>
              <w:rPr>
                <w:rFonts w:ascii="Arial" w:cs="Arial" w:eastAsia="Arial" w:hAnsi="Arial"/>
                <w:sz w:val="18"/>
                <w:szCs w:val="18"/>
                <w:color w:val="auto"/>
              </w:rPr>
              <w:t>Total Adjusted EBITDA</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   102,687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8"/>
              </w:rPr>
              <w:t>84,392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218,818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Federal Solutions</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28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Variance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360" w:type="dxa"/>
            <w:vAlign w:val="bottom"/>
            <w:gridSpan w:val="4"/>
          </w:tcPr>
          <w:p>
            <w:pPr>
              <w:ind w:left="180"/>
              <w:spacing w:after="0" w:line="160" w:lineRule="exact"/>
              <w:rPr>
                <w:sz w:val="20"/>
                <w:szCs w:val="20"/>
                <w:color w:val="auto"/>
              </w:rPr>
            </w:pPr>
            <w:r>
              <w:rPr>
                <w:rFonts w:ascii="Arial" w:cs="Arial" w:eastAsia="Arial" w:hAnsi="Arial"/>
                <w:sz w:val="14"/>
                <w:szCs w:val="14"/>
                <w:b w:val="1"/>
                <w:bCs w:val="1"/>
                <w:color w:val="auto"/>
              </w:rPr>
              <w:t>September 30,</w:t>
            </w:r>
          </w:p>
        </w:tc>
        <w:tc>
          <w:tcPr>
            <w:tcW w:w="112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4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b w:val="1"/>
                <w:bCs w:val="1"/>
                <w:color w:val="auto"/>
              </w:rPr>
              <w:t>(U.S. dollars in thousands)</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Percent</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620,416</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499,291</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$ 121,125</w:t>
            </w:r>
          </w:p>
        </w:tc>
        <w:tc>
          <w:tcPr>
            <w:tcW w:w="200" w:type="dxa"/>
            <w:vAlign w:val="bottom"/>
            <w:shd w:val="clear" w:color="auto" w:fill="CFF0FC"/>
          </w:tcPr>
          <w:p>
            <w:pPr>
              <w:spacing w:after="0"/>
              <w:rPr>
                <w:sz w:val="18"/>
                <w:szCs w:val="18"/>
                <w:color w:val="auto"/>
              </w:rPr>
            </w:pPr>
          </w:p>
        </w:tc>
        <w:tc>
          <w:tcPr>
            <w:tcW w:w="800" w:type="dxa"/>
            <w:vAlign w:val="bottom"/>
            <w:gridSpan w:val="4"/>
            <w:shd w:val="clear" w:color="auto" w:fill="CFF0FC"/>
          </w:tcPr>
          <w:p>
            <w:pPr>
              <w:jc w:val="right"/>
              <w:ind w:right="16"/>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99"/>
              </w:rPr>
              <w:t>1,649,601</w:t>
            </w:r>
          </w:p>
        </w:tc>
        <w:tc>
          <w:tcPr>
            <w:tcW w:w="200" w:type="dxa"/>
            <w:vAlign w:val="bottom"/>
            <w:gridSpan w:val="2"/>
            <w:shd w:val="clear" w:color="auto" w:fill="CFF0FC"/>
          </w:tcPr>
          <w:p>
            <w:pPr>
              <w:spacing w:after="0"/>
              <w:rPr>
                <w:sz w:val="18"/>
                <w:szCs w:val="18"/>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98"/>
              </w:rPr>
              <w:t>$ 1,394,035</w:t>
            </w:r>
          </w:p>
        </w:tc>
        <w:tc>
          <w:tcPr>
            <w:tcW w:w="18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255,566</w:t>
            </w:r>
          </w:p>
        </w:tc>
        <w:tc>
          <w:tcPr>
            <w:tcW w:w="200" w:type="dxa"/>
            <w:vAlign w:val="bottom"/>
            <w:shd w:val="clear" w:color="auto" w:fill="CFF0FC"/>
          </w:tcPr>
          <w:p>
            <w:pPr>
              <w:spacing w:after="0"/>
              <w:rPr>
                <w:sz w:val="18"/>
                <w:szCs w:val="18"/>
                <w:color w:val="auto"/>
              </w:rPr>
            </w:pPr>
          </w:p>
        </w:tc>
        <w:tc>
          <w:tcPr>
            <w:tcW w:w="7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97"/>
        </w:trPr>
        <w:tc>
          <w:tcPr>
            <w:tcW w:w="2840" w:type="dxa"/>
            <w:vAlign w:val="bottom"/>
            <w:gridSpan w:val="2"/>
          </w:tcPr>
          <w:p>
            <w:pPr>
              <w:spacing w:after="0" w:line="197" w:lineRule="exact"/>
              <w:rPr>
                <w:sz w:val="20"/>
                <w:szCs w:val="20"/>
                <w:color w:val="auto"/>
              </w:rPr>
            </w:pPr>
            <w:r>
              <w:rPr>
                <w:rFonts w:ascii="Arial" w:cs="Arial" w:eastAsia="Arial" w:hAnsi="Arial"/>
                <w:sz w:val="18"/>
                <w:szCs w:val="18"/>
                <w:color w:val="auto"/>
              </w:rPr>
              <w:t>Adjusted EBITDA attributable to</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840" w:type="dxa"/>
            <w:vAlign w:val="bottom"/>
            <w:gridSpan w:val="2"/>
          </w:tcPr>
          <w:p>
            <w:pPr>
              <w:spacing w:after="0"/>
              <w:rPr>
                <w:sz w:val="20"/>
                <w:szCs w:val="20"/>
                <w:color w:val="auto"/>
              </w:rPr>
            </w:pPr>
            <w:r>
              <w:rPr>
                <w:rFonts w:ascii="Arial" w:cs="Arial" w:eastAsia="Arial" w:hAnsi="Arial"/>
                <w:sz w:val="18"/>
                <w:szCs w:val="18"/>
                <w:color w:val="auto"/>
              </w:rPr>
              <w:t>Parsons Corporation</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61,004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46,481</w:t>
            </w:r>
          </w:p>
        </w:tc>
        <w:tc>
          <w:tcPr>
            <w:tcW w:w="1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  14,523</w:t>
            </w:r>
          </w:p>
        </w:tc>
        <w:tc>
          <w:tcPr>
            <w:tcW w:w="1000" w:type="dxa"/>
            <w:vAlign w:val="bottom"/>
            <w:gridSpan w:val="5"/>
          </w:tcPr>
          <w:p>
            <w:pPr>
              <w:jc w:val="right"/>
              <w:ind w:right="16"/>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w w:val="98"/>
              </w:rPr>
              <w:t>151,287</w:t>
            </w:r>
          </w:p>
        </w:tc>
        <w:tc>
          <w:tcPr>
            <w:tcW w:w="3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110,963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40,324</w:t>
            </w:r>
          </w:p>
        </w:tc>
        <w:tc>
          <w:tcPr>
            <w:tcW w:w="200" w:type="dxa"/>
            <w:vAlign w:val="bottom"/>
          </w:tcPr>
          <w:p>
            <w:pPr>
              <w:spacing w:after="0"/>
              <w:rPr>
                <w:sz w:val="20"/>
                <w:szCs w:val="20"/>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5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42" w:name="page43"/>
    <w:bookmarkEnd w:id="42"/>
    <w:p>
      <w:pPr>
        <w:ind w:right="480" w:firstLine="637"/>
        <w:spacing w:after="0" w:line="253" w:lineRule="auto"/>
        <w:rPr>
          <w:sz w:val="20"/>
          <w:szCs w:val="20"/>
          <w:color w:val="auto"/>
        </w:rPr>
      </w:pPr>
      <w:r>
        <w:rPr>
          <w:rFonts w:ascii="Arial" w:cs="Arial" w:eastAsia="Arial" w:hAnsi="Arial"/>
          <w:sz w:val="18"/>
          <w:szCs w:val="18"/>
          <w:color w:val="auto"/>
        </w:rPr>
        <w:t>Federal Solutions revenue for the three months ended September 30, 2022 compared to the corresponding period last year increased primarily due to increases from business acquisitions of $70.6 million, and increases in business volume from recent contract awards and increased activity on existing contracts.</w:t>
      </w:r>
    </w:p>
    <w:p>
      <w:pPr>
        <w:spacing w:after="0" w:line="169" w:lineRule="exact"/>
        <w:rPr>
          <w:sz w:val="20"/>
          <w:szCs w:val="20"/>
          <w:color w:val="auto"/>
        </w:rPr>
      </w:pPr>
    </w:p>
    <w:p>
      <w:pPr>
        <w:ind w:right="20" w:firstLine="637"/>
        <w:spacing w:after="0" w:line="253" w:lineRule="auto"/>
        <w:rPr>
          <w:sz w:val="20"/>
          <w:szCs w:val="20"/>
          <w:color w:val="auto"/>
        </w:rPr>
      </w:pPr>
      <w:r>
        <w:rPr>
          <w:rFonts w:ascii="Arial" w:cs="Arial" w:eastAsia="Arial" w:hAnsi="Arial"/>
          <w:sz w:val="18"/>
          <w:szCs w:val="18"/>
          <w:color w:val="auto"/>
        </w:rPr>
        <w:t>Federal Solutions revenue for the nine months ended September 30, 2022 compared to the corresponding period last year increased primarily due to increases from business acquisitions of $138.3 million, and increases in business volume from recent contract awards and increased activity on existing contracts.</w:t>
      </w:r>
    </w:p>
    <w:p>
      <w:pPr>
        <w:spacing w:after="0" w:line="169" w:lineRule="exact"/>
        <w:rPr>
          <w:sz w:val="20"/>
          <w:szCs w:val="20"/>
          <w:color w:val="auto"/>
        </w:rPr>
      </w:pPr>
    </w:p>
    <w:p>
      <w:pPr>
        <w:jc w:val="both"/>
        <w:ind w:right="240" w:firstLine="644"/>
        <w:spacing w:after="0" w:line="253" w:lineRule="auto"/>
        <w:rPr>
          <w:sz w:val="20"/>
          <w:szCs w:val="20"/>
          <w:color w:val="auto"/>
        </w:rPr>
      </w:pPr>
      <w:r>
        <w:rPr>
          <w:rFonts w:ascii="Arial" w:cs="Arial" w:eastAsia="Arial" w:hAnsi="Arial"/>
          <w:sz w:val="18"/>
          <w:szCs w:val="18"/>
          <w:color w:val="auto"/>
        </w:rPr>
        <w:t>Federal Solutions Adjusted EBITDA attributable to Parsons Corporation for the three and nine months ended September 30, 2022 compared to the corresponding period last year increased primarily due to increases in business volume, increases related to acquisitions, cost control, and a write down on a project in the comparable period of the second quarter of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4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Variance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4"/>
                <w:szCs w:val="14"/>
                <w:color w:val="auto"/>
              </w:rPr>
            </w:pPr>
          </w:p>
        </w:tc>
      </w:tr>
      <w:tr>
        <w:trPr>
          <w:trHeight w:val="160"/>
        </w:trPr>
        <w:tc>
          <w:tcPr>
            <w:tcW w:w="3120" w:type="dxa"/>
            <w:vAlign w:val="bottom"/>
          </w:tcPr>
          <w:p>
            <w:pPr>
              <w:spacing w:after="0"/>
              <w:rPr>
                <w:sz w:val="13"/>
                <w:szCs w:val="13"/>
                <w:color w:val="auto"/>
              </w:rPr>
            </w:pPr>
          </w:p>
        </w:tc>
        <w:tc>
          <w:tcPr>
            <w:tcW w:w="98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4"/>
          </w:tcPr>
          <w:p>
            <w:pPr>
              <w:ind w:left="180"/>
              <w:spacing w:after="0" w:line="160" w:lineRule="exact"/>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4"/>
          </w:tcPr>
          <w:p>
            <w:pPr>
              <w:ind w:left="60"/>
              <w:spacing w:after="0" w:line="160"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31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Dollar</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r>
      <w:tr>
        <w:trPr>
          <w:trHeight w:val="21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513,954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456,759</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20"/>
                <w:szCs w:val="20"/>
                <w:color w:val="auto"/>
              </w:rPr>
            </w:pPr>
            <w:r>
              <w:rPr>
                <w:rFonts w:ascii="Arial" w:cs="Arial" w:eastAsia="Arial" w:hAnsi="Arial"/>
                <w:sz w:val="18"/>
                <w:szCs w:val="18"/>
                <w:color w:val="auto"/>
                <w:w w:val="96"/>
              </w:rPr>
              <w:t>$ 57,195</w:t>
            </w:r>
          </w:p>
        </w:tc>
        <w:tc>
          <w:tcPr>
            <w:tcW w:w="2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1,442,559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1,316,068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126,491</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w:t>
            </w:r>
          </w:p>
        </w:tc>
      </w:tr>
      <w:tr>
        <w:trPr>
          <w:trHeight w:val="197"/>
        </w:trPr>
        <w:tc>
          <w:tcPr>
            <w:tcW w:w="3120" w:type="dxa"/>
            <w:vAlign w:val="bottom"/>
          </w:tcPr>
          <w:p>
            <w:pPr>
              <w:spacing w:after="0" w:line="197" w:lineRule="exact"/>
              <w:rPr>
                <w:sz w:val="20"/>
                <w:szCs w:val="20"/>
                <w:color w:val="auto"/>
              </w:rPr>
            </w:pPr>
            <w:r>
              <w:rPr>
                <w:rFonts w:ascii="Arial" w:cs="Arial" w:eastAsia="Arial" w:hAnsi="Arial"/>
                <w:sz w:val="18"/>
                <w:szCs w:val="18"/>
                <w:color w:val="auto"/>
              </w:rPr>
              <w:t>Adjusted EBITDA attributable to</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9"/>
        </w:trPr>
        <w:tc>
          <w:tcPr>
            <w:tcW w:w="3120" w:type="dxa"/>
            <w:vAlign w:val="bottom"/>
          </w:tcPr>
          <w:p>
            <w:pPr>
              <w:spacing w:after="0"/>
              <w:rPr>
                <w:sz w:val="20"/>
                <w:szCs w:val="20"/>
                <w:color w:val="auto"/>
              </w:rPr>
            </w:pPr>
            <w:r>
              <w:rPr>
                <w:rFonts w:ascii="Arial" w:cs="Arial" w:eastAsia="Arial" w:hAnsi="Arial"/>
                <w:sz w:val="18"/>
                <w:szCs w:val="18"/>
                <w:color w:val="auto"/>
              </w:rPr>
              <w:t>Parsons Corporation</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27,545</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30,371</w:t>
            </w:r>
          </w:p>
        </w:tc>
        <w:tc>
          <w:tcPr>
            <w:tcW w:w="18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 (2,826)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81,020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89,845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(8,825)</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-9.8%</w:t>
            </w:r>
          </w:p>
        </w:tc>
      </w:tr>
    </w:tbl>
    <w:p>
      <w:pPr>
        <w:spacing w:after="0" w:line="180" w:lineRule="exact"/>
        <w:rPr>
          <w:sz w:val="20"/>
          <w:szCs w:val="20"/>
          <w:color w:val="auto"/>
        </w:rPr>
      </w:pPr>
    </w:p>
    <w:p>
      <w:pPr>
        <w:ind w:right="140" w:firstLine="637"/>
        <w:spacing w:after="0" w:line="275" w:lineRule="auto"/>
        <w:rPr>
          <w:sz w:val="20"/>
          <w:szCs w:val="20"/>
          <w:color w:val="auto"/>
        </w:rPr>
      </w:pPr>
      <w:r>
        <w:rPr>
          <w:rFonts w:ascii="Arial" w:cs="Arial" w:eastAsia="Arial" w:hAnsi="Arial"/>
          <w:sz w:val="17"/>
          <w:szCs w:val="17"/>
          <w:color w:val="auto"/>
        </w:rPr>
        <w:t>The increase in Critical Infrastructure revenue for the three and nine months ended September 30, 2022 compared to the corresponding periods last year was primarily due to an increase in business volume from recent contract awards, increased activity on existing contracts, increased hiring activity, and write downs on projects in the comparable periods of the second and third quarters of 2021.</w:t>
      </w:r>
    </w:p>
    <w:p>
      <w:pPr>
        <w:spacing w:after="0" w:line="152" w:lineRule="exact"/>
        <w:rPr>
          <w:sz w:val="20"/>
          <w:szCs w:val="20"/>
          <w:color w:val="auto"/>
        </w:rPr>
      </w:pPr>
    </w:p>
    <w:p>
      <w:pPr>
        <w:ind w:right="360" w:firstLine="637"/>
        <w:spacing w:after="0" w:line="253" w:lineRule="auto"/>
        <w:rPr>
          <w:sz w:val="20"/>
          <w:szCs w:val="20"/>
          <w:color w:val="auto"/>
        </w:rPr>
      </w:pPr>
      <w:r>
        <w:rPr>
          <w:rFonts w:ascii="Arial" w:cs="Arial" w:eastAsia="Arial" w:hAnsi="Arial"/>
          <w:sz w:val="18"/>
          <w:szCs w:val="18"/>
          <w:color w:val="auto"/>
        </w:rPr>
        <w:t>Critical Infrastructure Adjusted EBITDA attributable to Parsons Corporation decreased for the three and nine months ended September 30, 2022 primarily due to decreases in equity in earnings, increases in selling, general and administrative expenses driven by investments in future growth, cost adjustments on legacy programs, and program completions.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right="180" w:firstLine="637"/>
        <w:spacing w:after="0" w:line="271" w:lineRule="auto"/>
        <w:rPr>
          <w:sz w:val="20"/>
          <w:szCs w:val="20"/>
          <w:color w:val="auto"/>
        </w:rPr>
      </w:pPr>
      <w:r>
        <w:rPr>
          <w:rFonts w:ascii="Arial" w:cs="Arial" w:eastAsia="Arial" w:hAnsi="Arial"/>
          <w:sz w:val="18"/>
          <w:szCs w:val="18"/>
          <w:color w:val="auto"/>
        </w:rPr>
        <w:t>We finance our operations and capital expenditures through a combination of internally generated cash from operations, our Senior Notes, Convertible Senior Notes, Delayed Draw Term Loan, and periodic borrowings under our Revolving Credit Facility.</w:t>
      </w:r>
    </w:p>
    <w:p>
      <w:pPr>
        <w:spacing w:after="0" w:line="154" w:lineRule="exact"/>
        <w:rPr>
          <w:sz w:val="20"/>
          <w:szCs w:val="20"/>
          <w:color w:val="auto"/>
        </w:rPr>
      </w:pPr>
    </w:p>
    <w:p>
      <w:pPr>
        <w:ind w:right="100" w:firstLine="637"/>
        <w:spacing w:after="0" w:line="247"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174" w:lineRule="exact"/>
        <w:rPr>
          <w:sz w:val="20"/>
          <w:szCs w:val="20"/>
          <w:color w:val="auto"/>
        </w:rPr>
      </w:pPr>
    </w:p>
    <w:p>
      <w:pPr>
        <w:ind w:right="280" w:firstLine="637"/>
        <w:spacing w:after="0" w:line="247" w:lineRule="auto"/>
        <w:rPr>
          <w:sz w:val="20"/>
          <w:szCs w:val="20"/>
          <w:color w:val="auto"/>
        </w:rPr>
      </w:pPr>
      <w:r>
        <w:rPr>
          <w:rFonts w:ascii="Arial" w:cs="Arial" w:eastAsia="Arial" w:hAnsi="Arial"/>
          <w:sz w:val="18"/>
          <w:szCs w:val="18"/>
          <w:color w:val="auto"/>
        </w:rPr>
        <w:t>As of September 30, 2022, 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on-hand and our borrowing capacity under our Revolving Credit Facility and Delayed Draw Term Loan.</w:t>
      </w:r>
    </w:p>
    <w:p>
      <w:pPr>
        <w:spacing w:after="0" w:line="174" w:lineRule="exact"/>
        <w:rPr>
          <w:sz w:val="20"/>
          <w:szCs w:val="20"/>
          <w:color w:val="auto"/>
        </w:rPr>
      </w:pPr>
    </w:p>
    <w:p>
      <w:pPr>
        <w:ind w:right="140" w:firstLine="637"/>
        <w:spacing w:after="0" w:line="247" w:lineRule="auto"/>
        <w:rPr>
          <w:sz w:val="20"/>
          <w:szCs w:val="20"/>
          <w:color w:val="auto"/>
        </w:rPr>
      </w:pPr>
      <w:r>
        <w:rPr>
          <w:rFonts w:ascii="Arial" w:cs="Arial" w:eastAsia="Arial" w:hAnsi="Arial"/>
          <w:sz w:val="18"/>
          <w:szCs w:val="18"/>
          <w:color w:val="auto"/>
        </w:rPr>
        <w:t>During October 2022, we prepaid the private placement debt of $200.0 million with borrowings under the revolving credit facility and subsequently borrowed $350.0 million on the 2022 Delayed Draw Term Loan. Proceeds were used to pay down the borrowings under the revolving credit facility. See “Note 10 – Debt and Credit Facilities” and “Note 19 – Subsequent Events” in the notes to the consolidated financial statements in this Form 10-Q for further information.</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3" w:name="page44"/>
    <w:bookmarkEnd w:id="43"/>
    <w:p>
      <w:pPr>
        <w:ind w:right="20" w:firstLine="637"/>
        <w:spacing w:after="0"/>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185" w:lineRule="exact"/>
        <w:rPr>
          <w:sz w:val="20"/>
          <w:szCs w:val="20"/>
          <w:color w:val="auto"/>
        </w:rPr>
      </w:pPr>
    </w:p>
    <w:p>
      <w:pPr>
        <w:ind w:firstLine="637"/>
        <w:spacing w:after="0"/>
        <w:rPr>
          <w:sz w:val="20"/>
          <w:szCs w:val="20"/>
          <w:color w:val="auto"/>
        </w:rPr>
      </w:pPr>
      <w:r>
        <w:rPr>
          <w:rFonts w:ascii="Arial" w:cs="Arial" w:eastAsia="Arial" w:hAnsi="Arial"/>
          <w:sz w:val="18"/>
          <w:szCs w:val="18"/>
          <w:color w:val="auto"/>
        </w:rPr>
        <w:t>Accounts receivable is the principal component of our working capital and is generally driven by revenue growth. Accounts receivable reflects amounts billed to our clients as of each balance sheet date and receivable amounts that are currently due but unbilled. The total amount of our accounts receivable can vary significantly over time but is generally sensitive to revenue levels. Net days sales outstanding, which we refer to as Net DSO, is calculated by dividing (i) (accounts receivable plus contract assets) less (contract liabilities plus accounts payable) by (ii) average revenue per day (calculated by dividing trailing twelve months revenue by the number of days in that period). We focus on collecting outstanding receivables to reduce Net DSO and working capital. Net DSO was 68 days at both September 30, 2022 and September 30, 2021. Our working capital (current assets less current liabilities) was $461.3 million at September 30, 2022 and $601.6 million at December 31, 2021.</w:t>
      </w:r>
    </w:p>
    <w:p>
      <w:pPr>
        <w:spacing w:after="0" w:line="180" w:lineRule="exact"/>
        <w:rPr>
          <w:sz w:val="20"/>
          <w:szCs w:val="20"/>
          <w:color w:val="auto"/>
        </w:rPr>
      </w:pPr>
    </w:p>
    <w:p>
      <w:pPr>
        <w:ind w:right="320" w:firstLine="637"/>
        <w:spacing w:after="0" w:line="271" w:lineRule="auto"/>
        <w:rPr>
          <w:sz w:val="20"/>
          <w:szCs w:val="20"/>
          <w:color w:val="auto"/>
        </w:rPr>
      </w:pPr>
      <w:r>
        <w:rPr>
          <w:rFonts w:ascii="Arial" w:cs="Arial" w:eastAsia="Arial" w:hAnsi="Arial"/>
          <w:sz w:val="18"/>
          <w:szCs w:val="18"/>
          <w:color w:val="auto"/>
        </w:rPr>
        <w:t>Our cash, cash equivalents and restricted cash decreased by $196.3 million to $147.5 million at September 30, 2022 from $343.9 million at December 31, 2021.</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60" w:type="dxa"/>
            <w:vAlign w:val="bottom"/>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tcPr>
          <w:p>
            <w:pPr>
              <w:spacing w:after="0"/>
              <w:rPr>
                <w:sz w:val="14"/>
                <w:szCs w:val="14"/>
                <w:color w:val="auto"/>
              </w:rPr>
            </w:pPr>
          </w:p>
        </w:tc>
        <w:tc>
          <w:tcPr>
            <w:tcW w:w="17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September 30, 2022</w:t>
            </w:r>
          </w:p>
        </w:tc>
        <w:tc>
          <w:tcPr>
            <w:tcW w:w="20" w:type="dxa"/>
            <w:vAlign w:val="bottom"/>
          </w:tcPr>
          <w:p>
            <w:pPr>
              <w:spacing w:after="0"/>
              <w:rPr>
                <w:sz w:val="14"/>
                <w:szCs w:val="14"/>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148,368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(402,677)</w:t>
            </w:r>
          </w:p>
        </w:tc>
        <w:tc>
          <w:tcPr>
            <w:tcW w:w="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(230,464)</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60,185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(95,665)</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w:t>
            </w: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(2,220)</w:t>
            </w:r>
          </w:p>
        </w:tc>
        <w:tc>
          <w:tcPr>
            <w:tcW w:w="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0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(196,344)</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right="140" w:firstLine="637"/>
        <w:spacing w:after="0" w:line="242"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such as: equity in earnings (loss) of unconsolidated joint ventures, contributions of treasury stock, depreciation and amortization of property and equipment and intangible assets, and provisions for doubtful accounts.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71" w:lineRule="exact"/>
        <w:rPr>
          <w:sz w:val="20"/>
          <w:szCs w:val="20"/>
          <w:color w:val="auto"/>
        </w:rPr>
      </w:pPr>
    </w:p>
    <w:p>
      <w:pPr>
        <w:ind w:right="20" w:firstLine="637"/>
        <w:spacing w:after="0"/>
        <w:rPr>
          <w:sz w:val="20"/>
          <w:szCs w:val="20"/>
          <w:color w:val="auto"/>
        </w:rPr>
      </w:pPr>
      <w:r>
        <w:rPr>
          <w:rFonts w:ascii="Arial" w:cs="Arial" w:eastAsia="Arial" w:hAnsi="Arial"/>
          <w:sz w:val="18"/>
          <w:szCs w:val="18"/>
          <w:color w:val="auto"/>
        </w:rPr>
        <w:t>Net cash provided by operating activities increased $32.7 million for the nine months ended September 30, 2022 compared to the nine months ended September 30, 2021. The increase net cash from operating activities is primarily attributable to a $40.6 million increase in net income after adjusting for non-cash items, partially offset by a $19.4 million increase in cash outflows from our working capital accounts (primarily from accounts receivable and contract assets offset by accrued expenses, accounts payable and contract liabilities). A large component of the change was due to legacy cash-settled long-term incentive plans which paid out their last cycle during the first quarter of 2021. The Company paid $26.4 million related to these plans in the first quarter of 2021 compared to no payments during the first quarter of 2022.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right="20" w:firstLine="637"/>
        <w:spacing w:after="0" w:line="271" w:lineRule="auto"/>
        <w:rPr>
          <w:sz w:val="20"/>
          <w:szCs w:val="20"/>
          <w:color w:val="auto"/>
        </w:rPr>
      </w:pPr>
      <w:r>
        <w:rPr>
          <w:rFonts w:ascii="Arial" w:cs="Arial" w:eastAsia="Arial" w:hAnsi="Arial"/>
          <w:sz w:val="18"/>
          <w:szCs w:val="18"/>
          <w:color w:val="auto"/>
        </w:rPr>
        <w:t>Net cash used in investing activities consists primarily of cash flows associated with capital expenditures, joint ventures and business acquisitions.</w:t>
      </w:r>
    </w:p>
    <w:p>
      <w:pPr>
        <w:spacing w:after="0" w:line="154" w:lineRule="exact"/>
        <w:rPr>
          <w:sz w:val="20"/>
          <w:szCs w:val="20"/>
          <w:color w:val="auto"/>
        </w:rPr>
      </w:pPr>
    </w:p>
    <w:p>
      <w:pPr>
        <w:ind w:right="160" w:firstLine="637"/>
        <w:spacing w:after="0" w:line="271" w:lineRule="auto"/>
        <w:rPr>
          <w:sz w:val="20"/>
          <w:szCs w:val="20"/>
          <w:color w:val="auto"/>
        </w:rPr>
      </w:pPr>
      <w:r>
        <w:rPr>
          <w:rFonts w:ascii="Arial" w:cs="Arial" w:eastAsia="Arial" w:hAnsi="Arial"/>
          <w:sz w:val="18"/>
          <w:szCs w:val="18"/>
          <w:color w:val="auto"/>
        </w:rPr>
        <w:t>Net cash used in investing activities increased 172.2 million for the nine months ended September 30, 2022, when compared to the nine months ended September 30, 2021, primarily due to the acquisition of Xator for $379.3 million net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ind w:right="640"/>
        <w:spacing w:after="0" w:line="271" w:lineRule="auto"/>
        <w:rPr>
          <w:sz w:val="20"/>
          <w:szCs w:val="20"/>
          <w:color w:val="auto"/>
        </w:rPr>
      </w:pPr>
      <w:r>
        <w:rPr>
          <w:rFonts w:ascii="Arial" w:cs="Arial" w:eastAsia="Arial" w:hAnsi="Arial"/>
          <w:sz w:val="18"/>
          <w:szCs w:val="18"/>
          <w:color w:val="auto"/>
        </w:rPr>
        <w:t>cash acquired during the second quarter of 2022 compared to $197.7 million, net of cash acquired, for the acquisitions of BlackHorse Solutions and Echo Ridge during the third quarter of 2021.</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right="580" w:firstLine="637"/>
        <w:spacing w:after="0" w:line="271" w:lineRule="auto"/>
        <w:rPr>
          <w:sz w:val="20"/>
          <w:szCs w:val="20"/>
          <w:color w:val="auto"/>
        </w:rPr>
      </w:pPr>
      <w:r>
        <w:rPr>
          <w:rFonts w:ascii="Arial" w:cs="Arial" w:eastAsia="Arial" w:hAnsi="Arial"/>
          <w:sz w:val="18"/>
          <w:szCs w:val="18"/>
          <w:color w:val="auto"/>
        </w:rPr>
        <w:t>Net cash provided by (used in) financing activities is primarily associated with proceeds from debt, the repayment thereof, and distributions to noncontrolling interests.</w:t>
      </w:r>
    </w:p>
    <w:p>
      <w:pPr>
        <w:spacing w:after="0" w:line="154" w:lineRule="exact"/>
        <w:rPr>
          <w:sz w:val="20"/>
          <w:szCs w:val="20"/>
          <w:color w:val="auto"/>
        </w:rPr>
      </w:pPr>
    </w:p>
    <w:p>
      <w:pPr>
        <w:ind w:firstLine="637"/>
        <w:spacing w:after="0" w:line="242" w:lineRule="auto"/>
        <w:rPr>
          <w:sz w:val="20"/>
          <w:szCs w:val="20"/>
          <w:color w:val="auto"/>
        </w:rPr>
      </w:pPr>
      <w:r>
        <w:rPr>
          <w:rFonts w:ascii="Arial" w:cs="Arial" w:eastAsia="Arial" w:hAnsi="Arial"/>
          <w:sz w:val="18"/>
          <w:szCs w:val="18"/>
          <w:color w:val="auto"/>
        </w:rPr>
        <w:t>Net cash provided by financing activities increased $155.9 million for the nine months ended September 30, 2022 compared to the nine months ended September 30, 2021. The change in cash flows from financing activities is primarily due to $101.2 million net borrowings under the Credit Agreement in connection with the acquisition of Xator partially offset by payments made to settle warrants in connection with the acquisition, compared to $50.0 million repayment under the Credit Agreement in 2021. Other drivers were reduced distributions to noncontrolling interest of $23.0 million, partially offset by increased outflows of $10.8 million of repurchases of common stock under the stock repurchase program which began in August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02" w:lineRule="exact"/>
        <w:rPr>
          <w:sz w:val="20"/>
          <w:szCs w:val="20"/>
          <w:color w:val="auto"/>
        </w:rPr>
      </w:pPr>
    </w:p>
    <w:p>
      <w:pPr>
        <w:ind w:right="120" w:firstLine="637"/>
        <w:spacing w:after="0" w:line="253" w:lineRule="auto"/>
        <w:rPr>
          <w:sz w:val="20"/>
          <w:szCs w:val="20"/>
          <w:color w:val="auto"/>
        </w:rPr>
      </w:pPr>
      <w:r>
        <w:rPr>
          <w:rFonts w:ascii="Arial" w:cs="Arial" w:eastAsia="Arial" w:hAnsi="Arial"/>
          <w:sz w:val="18"/>
          <w:szCs w:val="18"/>
          <w:color w:val="auto"/>
        </w:rPr>
        <w:t>We have in place several secondary bank credit lines for issuing letters of credit, principally for foreign contracts, to support performance and completion guarantees. Letters of credit commitments outstanding under these bank lines aggregated to $239.8 million as of September 30, 2022. Letters of credit outstanding under the Credit Agreement total $44.5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2" w:lineRule="exact"/>
        <w:rPr>
          <w:sz w:val="20"/>
          <w:szCs w:val="20"/>
          <w:color w:val="auto"/>
        </w:rPr>
      </w:pPr>
    </w:p>
    <w:p>
      <w:pPr>
        <w:ind w:right="1300" w:firstLine="637"/>
        <w:spacing w:after="0" w:line="271" w:lineRule="auto"/>
        <w:rPr>
          <w:sz w:val="20"/>
          <w:szCs w:val="20"/>
          <w:color w:val="auto"/>
        </w:rPr>
      </w:pPr>
      <w:r>
        <w:rPr>
          <w:rFonts w:ascii="Arial" w:cs="Arial" w:eastAsia="Arial" w:hAnsi="Arial"/>
          <w:sz w:val="18"/>
          <w:szCs w:val="18"/>
          <w:color w:val="auto"/>
        </w:rPr>
        <w:t>See the information set forth in “Note 3—Summary of Significant Accounting Policies—Recently Adopted Accounting Pronouncements” in the notes to our consolidated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2" w:lineRule="exact"/>
        <w:rPr>
          <w:sz w:val="20"/>
          <w:szCs w:val="20"/>
          <w:color w:val="auto"/>
        </w:rPr>
      </w:pPr>
    </w:p>
    <w:p>
      <w:pPr>
        <w:ind w:right="100" w:firstLine="637"/>
        <w:spacing w:after="0" w:line="253" w:lineRule="auto"/>
        <w:rPr>
          <w:sz w:val="20"/>
          <w:szCs w:val="20"/>
          <w:color w:val="auto"/>
        </w:rPr>
      </w:pPr>
      <w:r>
        <w:rPr>
          <w:rFonts w:ascii="Arial" w:cs="Arial" w:eastAsia="Arial" w:hAnsi="Arial"/>
          <w:sz w:val="18"/>
          <w:szCs w:val="18"/>
          <w:color w:val="auto"/>
        </w:rPr>
        <w:t>As of September 30, 2022,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ind w:right="40" w:firstLine="637"/>
        <w:spacing w:after="0" w:line="245" w:lineRule="auto"/>
        <w:rPr>
          <w:sz w:val="20"/>
          <w:szCs w:val="20"/>
          <w:color w:val="auto"/>
        </w:rPr>
      </w:pPr>
      <w:r>
        <w:rPr>
          <w:rFonts w:ascii="Arial" w:cs="Arial" w:eastAsia="Arial" w:hAnsi="Arial"/>
          <w:sz w:val="18"/>
          <w:szCs w:val="18"/>
          <w:color w:val="auto"/>
        </w:rPr>
        <w:t>We are exposed to interest rate risks related to the Company’s Revolving Credit Facility and Delayed Draw Term Loan. As of September 30, 2022, there was $ 101.2 million outstanding under the Revolving Credit Facility and no debt drawn on the Delayed Draw Term Loan. Borrowings under the new Credit Facility effective June 2021 bear interest at either an adjusted Term SOFR rate plus a margin between 1.0% and 1.625%, or a base rate (as defined in the Credit Agreement) plus a margin of between 0% and 0.625%, both based on</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leverage ratio of the Company at the end of each quarter. Prior to June 2021, interest on borrowings under the Credit Facility were at either the base rate (as defined in the Credit Agreement), plus an applicable margin, or LIBOR plus an applicable margin. The applicable margin for base rate loans was a range of 0.125% to 1.00% and the applicable margin for LIBOR loans was a range of 1.125% to 2.00%, both based on the leverage ratio of the Company at the end of each quarter. The rates on September 30, 2022 and December 31, 2021 were 4.46% and 1.36%, respectively. Borrowings under the 2022 Delayed Draw Term Loan Agreement will bear interest at either an adjusted Term SOFR benchmark rate plus a margin between 0.875% and 1.500% or a base rate plus a margin of between 0% and 0.500% and will initially bear interest at the middle of this range.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2" w:lineRule="exact"/>
        <w:rPr>
          <w:sz w:val="20"/>
          <w:szCs w:val="20"/>
          <w:color w:val="auto"/>
        </w:rPr>
      </w:pPr>
    </w:p>
    <w:p>
      <w:pPr>
        <w:ind w:right="60" w:firstLine="637"/>
        <w:spacing w:after="0" w:line="247"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104" w:lineRule="exact"/>
        <w:rPr>
          <w:sz w:val="20"/>
          <w:szCs w:val="20"/>
          <w:color w:val="auto"/>
        </w:rPr>
      </w:pPr>
    </w:p>
    <w:p>
      <w:pPr>
        <w:ind w:firstLine="637"/>
        <w:spacing w:after="0"/>
        <w:rPr>
          <w:sz w:val="20"/>
          <w:szCs w:val="20"/>
          <w:color w:val="auto"/>
        </w:rPr>
      </w:pPr>
      <w:r>
        <w:rPr>
          <w:rFonts w:ascii="Arial" w:cs="Arial" w:eastAsia="Arial" w:hAnsi="Arial"/>
          <w:sz w:val="18"/>
          <w:szCs w:val="18"/>
          <w:color w:val="auto"/>
        </w:rPr>
        <w:t>Our management carried out, as of September 30, 2022,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September 30, 2022,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ind w:right="100" w:firstLine="637"/>
        <w:spacing w:after="0" w:line="271" w:lineRule="auto"/>
        <w:rPr>
          <w:sz w:val="20"/>
          <w:szCs w:val="20"/>
          <w:color w:val="auto"/>
        </w:rPr>
      </w:pPr>
      <w:r>
        <w:rPr>
          <w:rFonts w:ascii="Arial" w:cs="Arial" w:eastAsia="Arial" w:hAnsi="Arial"/>
          <w:sz w:val="18"/>
          <w:szCs w:val="18"/>
          <w:color w:val="auto"/>
        </w:rPr>
        <w:t>During the third quarter of 2022, there were no changes to our internal control over financial reporting that have materially affected, or are reasonably likely to materially affect, our internal control over financial reporting.</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77" w:right="4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ind w:right="480" w:firstLine="637"/>
        <w:spacing w:after="0" w:line="271" w:lineRule="auto"/>
        <w:rPr>
          <w:sz w:val="20"/>
          <w:szCs w:val="20"/>
          <w:color w:val="auto"/>
        </w:rPr>
      </w:pPr>
      <w:r>
        <w:rPr>
          <w:rFonts w:ascii="Arial" w:cs="Arial" w:eastAsia="Arial" w:hAnsi="Arial"/>
          <w:sz w:val="18"/>
          <w:szCs w:val="18"/>
          <w:color w:val="auto"/>
        </w:rPr>
        <w:t>The information required by this Item 1 is included in “Note 12 – Contingencies” included in the Notes to Consolidated Financial Statements appearing under Part I, Item 1 of this Form 10-Q which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47" w:lineRule="exact"/>
        <w:rPr>
          <w:sz w:val="20"/>
          <w:szCs w:val="20"/>
          <w:color w:val="auto"/>
        </w:rPr>
      </w:pPr>
    </w:p>
    <w:p>
      <w:pPr>
        <w:ind w:right="260" w:firstLine="637"/>
        <w:spacing w:after="0" w:line="271" w:lineRule="auto"/>
        <w:rPr>
          <w:sz w:val="20"/>
          <w:szCs w:val="20"/>
          <w:color w:val="auto"/>
        </w:rPr>
      </w:pPr>
      <w:r>
        <w:rPr>
          <w:rFonts w:ascii="Arial" w:cs="Arial" w:eastAsia="Arial" w:hAnsi="Arial"/>
          <w:sz w:val="18"/>
          <w:szCs w:val="18"/>
          <w:color w:val="auto"/>
        </w:rPr>
        <w:t>There have been no material changes from our Risk Factors disclosed in the Company’s Form 10-K for the year ended December 31, 2021.</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334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Information.</w:t>
            </w:r>
          </w:p>
        </w:tc>
        <w:tc>
          <w:tcPr>
            <w:tcW w:w="7300" w:type="dxa"/>
            <w:vAlign w:val="bottom"/>
          </w:tcPr>
          <w:p>
            <w:pPr>
              <w:spacing w:after="0"/>
              <w:rPr>
                <w:sz w:val="21"/>
                <w:szCs w:val="21"/>
                <w:color w:val="auto"/>
              </w:rPr>
            </w:pPr>
          </w:p>
        </w:tc>
      </w:tr>
      <w:tr>
        <w:trPr>
          <w:trHeight w:val="303"/>
        </w:trPr>
        <w:tc>
          <w:tcPr>
            <w:tcW w:w="60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18"/>
                <w:szCs w:val="18"/>
                <w:color w:val="auto"/>
              </w:rPr>
              <w:t>None</w:t>
            </w:r>
          </w:p>
        </w:tc>
        <w:tc>
          <w:tcPr>
            <w:tcW w:w="7300" w:type="dxa"/>
            <w:vAlign w:val="bottom"/>
          </w:tcPr>
          <w:p>
            <w:pPr>
              <w:spacing w:after="0"/>
              <w:rPr>
                <w:sz w:val="24"/>
                <w:szCs w:val="24"/>
                <w:color w:val="auto"/>
              </w:rPr>
            </w:pPr>
          </w:p>
        </w:tc>
      </w:tr>
      <w:tr>
        <w:trPr>
          <w:trHeight w:val="885"/>
        </w:trPr>
        <w:tc>
          <w:tcPr>
            <w:tcW w:w="6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34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Exhibits.</w:t>
            </w:r>
          </w:p>
        </w:tc>
        <w:tc>
          <w:tcPr>
            <w:tcW w:w="7300" w:type="dxa"/>
            <w:vAlign w:val="bottom"/>
          </w:tcPr>
          <w:p>
            <w:pPr>
              <w:spacing w:after="0"/>
              <w:rPr>
                <w:sz w:val="24"/>
                <w:szCs w:val="24"/>
                <w:color w:val="auto"/>
              </w:rPr>
            </w:pPr>
          </w:p>
        </w:tc>
      </w:tr>
      <w:tr>
        <w:trPr>
          <w:trHeight w:val="370"/>
        </w:trPr>
        <w:tc>
          <w:tcPr>
            <w:tcW w:w="3940" w:type="dxa"/>
            <w:vAlign w:val="bottom"/>
            <w:gridSpan w:val="4"/>
          </w:tcPr>
          <w:p>
            <w:pPr>
              <w:jc w:val="center"/>
              <w:ind w:right="3100"/>
              <w:spacing w:after="0"/>
              <w:rPr>
                <w:sz w:val="20"/>
                <w:szCs w:val="20"/>
                <w:color w:val="auto"/>
              </w:rPr>
            </w:pPr>
            <w:r>
              <w:rPr>
                <w:rFonts w:ascii="Arial" w:cs="Arial" w:eastAsia="Arial" w:hAnsi="Arial"/>
                <w:sz w:val="14"/>
                <w:szCs w:val="14"/>
                <w:b w:val="1"/>
                <w:bCs w:val="1"/>
                <w:color w:val="auto"/>
              </w:rPr>
              <w:t>Exhibit</w:t>
            </w:r>
          </w:p>
        </w:tc>
        <w:tc>
          <w:tcPr>
            <w:tcW w:w="7300" w:type="dxa"/>
            <w:vAlign w:val="bottom"/>
          </w:tcPr>
          <w:p>
            <w:pPr>
              <w:spacing w:after="0"/>
              <w:rPr>
                <w:sz w:val="24"/>
                <w:szCs w:val="24"/>
                <w:color w:val="auto"/>
              </w:rPr>
            </w:pPr>
          </w:p>
        </w:tc>
      </w:tr>
      <w:tr>
        <w:trPr>
          <w:trHeight w:val="171"/>
        </w:trPr>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730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Description</w:t>
            </w:r>
          </w:p>
        </w:tc>
      </w:tr>
    </w:tbl>
    <w:p>
      <w:pPr>
        <w:spacing w:after="0" w:line="103" w:lineRule="exact"/>
        <w:rPr>
          <w:sz w:val="20"/>
          <w:szCs w:val="20"/>
          <w:color w:val="auto"/>
        </w:rPr>
      </w:pPr>
    </w:p>
    <w:p>
      <w:pPr>
        <w:jc w:val="both"/>
        <w:ind w:left="940" w:hanging="930"/>
        <w:spacing w:after="0" w:line="271" w:lineRule="auto"/>
        <w:tabs>
          <w:tab w:leader="none" w:pos="9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EE"/>
        </w:rPr>
        <w:t>Certification of Principal Executive Officer Pursuant to Rules 13a-14(a) and 15d-14(a) under the Securities Exchange Act of 1934, as Adopted Pursuant to Section 302 of the Sarbanes-Oxley Act of 2002.</w:t>
      </w:r>
    </w:p>
    <w:p>
      <w:pPr>
        <w:spacing w:after="0" w:line="59" w:lineRule="exact"/>
        <w:rPr>
          <w:sz w:val="20"/>
          <w:szCs w:val="20"/>
          <w:color w:val="auto"/>
        </w:rPr>
      </w:pPr>
    </w:p>
    <w:p>
      <w:pPr>
        <w:ind w:left="940" w:right="60" w:hanging="930"/>
        <w:spacing w:after="0" w:line="271" w:lineRule="auto"/>
        <w:tabs>
          <w:tab w:leader="none" w:pos="9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EE"/>
        </w:rPr>
        <w:t>Certification of Principal Financial Officer Pursuant to Rules 13a-14(a) and 15d-14(a) under the Securities Exchange Act of 1934, as Adopted Pursuant to Section 302 of the Sarbanes-Oxley Act of 2002.</w:t>
      </w:r>
    </w:p>
    <w:p>
      <w:pPr>
        <w:spacing w:after="0" w:line="59" w:lineRule="exact"/>
        <w:rPr>
          <w:sz w:val="20"/>
          <w:szCs w:val="20"/>
          <w:color w:val="auto"/>
        </w:rPr>
      </w:pPr>
    </w:p>
    <w:p>
      <w:pPr>
        <w:ind w:left="940" w:right="620" w:hanging="930"/>
        <w:spacing w:after="0" w:line="271" w:lineRule="auto"/>
        <w:tabs>
          <w:tab w:leader="none" w:pos="9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EE"/>
        </w:rPr>
        <w:t>Certification of Principal Executive Officer Pursuant to 18 U.S.C. Section 1350, as Adopted Pursuant to Section 906 of the Sarbanes-Oxley Act of 2002.</w:t>
      </w:r>
    </w:p>
    <w:p>
      <w:pPr>
        <w:spacing w:after="0" w:line="59" w:lineRule="exact"/>
        <w:rPr>
          <w:sz w:val="20"/>
          <w:szCs w:val="20"/>
          <w:color w:val="auto"/>
        </w:rPr>
      </w:pPr>
    </w:p>
    <w:p>
      <w:pPr>
        <w:ind w:left="940" w:right="680" w:hanging="930"/>
        <w:spacing w:after="0" w:line="271" w:lineRule="auto"/>
        <w:tabs>
          <w:tab w:leader="none" w:pos="9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EE"/>
        </w:rPr>
        <w:t>Certification of Principal Financial Officer Pursuant to 18 U.S.C. Section 1350, as Adopted Pursuant to Section 906 of the Sarbanes-Oxley Act of 2002.</w:t>
      </w:r>
    </w:p>
    <w:p>
      <w:pPr>
        <w:spacing w:after="0" w:line="59" w:lineRule="exact"/>
        <w:rPr>
          <w:sz w:val="20"/>
          <w:szCs w:val="20"/>
          <w:color w:val="auto"/>
        </w:rPr>
      </w:pPr>
    </w:p>
    <w:p>
      <w:pPr>
        <w:ind w:left="940" w:right="40" w:hanging="932"/>
        <w:spacing w:after="0" w:line="266" w:lineRule="auto"/>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following financial statements from the Company’s Quarterly Report on Form 10-Q for the quarter ended September 30, 2022, formatted in Inline XBRL: (i) Consolidated Balance Sheets, (ii) Consolidated Statements of Earnings, (iii) Consolidated Statements of Comprehensive Income (Loss), (iv) Consolidated Statements of Stockholders’ Equity, (v) Consolidated Statements of Cash Flows and (vi) Notes to Consolidated Financial Statements, tagged as blocks of text and including detailed tags.</w:t>
      </w:r>
    </w:p>
    <w:p>
      <w:pPr>
        <w:spacing w:after="0" w:line="65" w:lineRule="exact"/>
        <w:rPr>
          <w:sz w:val="20"/>
          <w:szCs w:val="20"/>
          <w:color w:val="auto"/>
        </w:rPr>
      </w:pPr>
    </w:p>
    <w:p>
      <w:pPr>
        <w:ind w:left="940" w:right="80" w:hanging="932"/>
        <w:spacing w:after="0" w:line="271" w:lineRule="auto"/>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9512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07" w:lineRule="exact"/>
        <w:rPr>
          <w:sz w:val="20"/>
          <w:szCs w:val="20"/>
          <w:color w:val="auto"/>
        </w:rPr>
      </w:pPr>
    </w:p>
    <w:p>
      <w:pPr>
        <w:ind w:left="640" w:hanging="632"/>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7" w:name="page48"/>
    <w:bookmarkEnd w:id="47"/>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637"/>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Parsons Corporation</w:t>
      </w:r>
    </w:p>
    <w:p>
      <w:pPr>
        <w:spacing w:after="0" w:line="198" w:lineRule="exact"/>
        <w:rPr>
          <w:sz w:val="20"/>
          <w:szCs w:val="20"/>
          <w:color w:val="auto"/>
        </w:rPr>
      </w:pPr>
    </w:p>
    <w:p>
      <w:pPr>
        <w:spacing w:after="0"/>
        <w:tabs>
          <w:tab w:leader="none" w:pos="5860" w:val="left"/>
          <w:tab w:leader="none" w:pos="7880" w:val="left"/>
        </w:tabs>
        <w:rPr>
          <w:sz w:val="20"/>
          <w:szCs w:val="20"/>
          <w:color w:val="auto"/>
        </w:rPr>
      </w:pPr>
      <w:r>
        <w:rPr>
          <w:rFonts w:ascii="Arial" w:cs="Arial" w:eastAsia="Arial" w:hAnsi="Arial"/>
          <w:sz w:val="18"/>
          <w:szCs w:val="18"/>
          <w:color w:val="auto"/>
        </w:rPr>
        <w:t>Date: November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8890</wp:posOffset>
            </wp:positionV>
            <wp:extent cx="31629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30"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Matthew M. Ofilos</w:t>
      </w:r>
    </w:p>
    <w:p>
      <w:pPr>
        <w:spacing w:after="0" w:line="14"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320" w:top="769" w:right="5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bCERTIFICATION PURSUANT TO</w:t>
      </w:r>
    </w:p>
    <w:p>
      <w:pPr>
        <w:spacing w:after="0" w:line="31" w:lineRule="exact"/>
        <w:rPr>
          <w:sz w:val="20"/>
          <w:szCs w:val="20"/>
          <w:color w:val="auto"/>
        </w:rPr>
      </w:pPr>
    </w:p>
    <w:p>
      <w:pPr>
        <w:ind w:left="2020" w:right="2020" w:firstLine="63"/>
        <w:spacing w:after="0" w:line="290" w:lineRule="auto"/>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 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Carey A. Smith, certify that:</w:t>
      </w:r>
    </w:p>
    <w:p>
      <w:pPr>
        <w:spacing w:after="0" w:line="212"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7" w:lineRule="exact"/>
        <w:rPr>
          <w:rFonts w:ascii="Arial" w:cs="Arial" w:eastAsia="Arial" w:hAnsi="Arial"/>
          <w:sz w:val="18"/>
          <w:szCs w:val="18"/>
          <w:color w:val="auto"/>
        </w:rPr>
      </w:pPr>
    </w:p>
    <w:p>
      <w:pPr>
        <w:ind w:left="1040" w:right="280" w:hanging="519"/>
        <w:spacing w:after="0" w:line="253"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7" w:lineRule="exact"/>
        <w:rPr>
          <w:rFonts w:ascii="Arial" w:cs="Arial" w:eastAsia="Arial" w:hAnsi="Arial"/>
          <w:sz w:val="18"/>
          <w:szCs w:val="18"/>
          <w:color w:val="auto"/>
        </w:rPr>
      </w:pPr>
    </w:p>
    <w:p>
      <w:pPr>
        <w:ind w:left="1040" w:right="260" w:hanging="519"/>
        <w:spacing w:after="0" w:line="253"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7" w:lineRule="exact"/>
        <w:rPr>
          <w:rFonts w:ascii="Arial" w:cs="Arial" w:eastAsia="Arial" w:hAnsi="Arial"/>
          <w:sz w:val="18"/>
          <w:szCs w:val="18"/>
          <w:color w:val="auto"/>
        </w:rPr>
      </w:pPr>
    </w:p>
    <w:p>
      <w:pPr>
        <w:jc w:val="both"/>
        <w:ind w:left="1040" w:right="200" w:hanging="519"/>
        <w:spacing w:after="0" w:line="253"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7" w:lineRule="exact"/>
        <w:rPr>
          <w:rFonts w:ascii="Arial" w:cs="Arial" w:eastAsia="Arial" w:hAnsi="Arial"/>
          <w:sz w:val="18"/>
          <w:szCs w:val="18"/>
          <w:color w:val="auto"/>
        </w:rPr>
      </w:pPr>
    </w:p>
    <w:p>
      <w:pPr>
        <w:ind w:left="1040" w:right="20" w:hanging="519"/>
        <w:spacing w:after="0" w:line="253"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7"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40" w:right="200" w:hanging="519"/>
        <w:spacing w:after="0" w:line="253"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40" w:right="120" w:hanging="519"/>
        <w:spacing w:after="0" w:line="271"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spacing w:after="0"/>
        <w:tabs>
          <w:tab w:leader="none" w:pos="6740" w:val="left"/>
          <w:tab w:leader="none" w:pos="8420" w:val="left"/>
        </w:tabs>
        <w:rPr>
          <w:sz w:val="20"/>
          <w:szCs w:val="20"/>
          <w:color w:val="auto"/>
        </w:rPr>
      </w:pPr>
      <w:r>
        <w:rPr>
          <w:rFonts w:ascii="Arial" w:cs="Arial" w:eastAsia="Arial" w:hAnsi="Arial"/>
          <w:sz w:val="18"/>
          <w:szCs w:val="18"/>
          <w:color w:val="auto"/>
        </w:rPr>
        <w:t>Date: November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Carey A. Smith</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2"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Matthew M. Ofilos, certify that:</w:t>
      </w:r>
    </w:p>
    <w:p>
      <w:pPr>
        <w:spacing w:after="0" w:line="212"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40" w:right="280" w:hanging="519"/>
        <w:spacing w:after="0" w:line="253"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40" w:right="260" w:hanging="519"/>
        <w:spacing w:after="0" w:line="253"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40" w:right="200" w:hanging="519"/>
        <w:spacing w:after="0" w:line="253"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40" w:right="20" w:hanging="519"/>
        <w:spacing w:after="0" w:line="253"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40" w:right="200" w:hanging="519"/>
        <w:spacing w:after="0" w:line="253"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40" w:right="120" w:hanging="519"/>
        <w:spacing w:after="0" w:line="271"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spacing w:after="0"/>
        <w:tabs>
          <w:tab w:leader="none" w:pos="6740" w:val="left"/>
          <w:tab w:leader="none" w:pos="8300" w:val="left"/>
        </w:tabs>
        <w:rPr>
          <w:sz w:val="20"/>
          <w:szCs w:val="20"/>
          <w:color w:val="auto"/>
        </w:rPr>
      </w:pPr>
      <w:r>
        <w:rPr>
          <w:rFonts w:ascii="Arial" w:cs="Arial" w:eastAsia="Arial" w:hAnsi="Arial"/>
          <w:sz w:val="18"/>
          <w:szCs w:val="18"/>
          <w:color w:val="auto"/>
        </w:rPr>
        <w:t>Date: November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Matthew M. Ofilos</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2"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ind w:right="220" w:firstLine="526"/>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September 30, 2022 as filed with the Securities and Exchange Commission on the date hereof (the “Report”), I, Carey A. Smith, Chief Executive Officer of the Company, certify, pursuant to 18 U.S.C. § 1350, as adopted pursuant to § 906 of the Sarbanes-Oxley Act of 2002, that:</w:t>
      </w:r>
    </w:p>
    <w:p>
      <w:pPr>
        <w:spacing w:after="0" w:line="169" w:lineRule="exact"/>
        <w:rPr>
          <w:sz w:val="20"/>
          <w:szCs w:val="20"/>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40" w:right="20" w:hanging="519"/>
        <w:spacing w:after="0" w:line="271"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6180" w:val="left"/>
          <w:tab w:leader="none" w:pos="8120" w:val="left"/>
        </w:tabs>
        <w:rPr>
          <w:sz w:val="20"/>
          <w:szCs w:val="20"/>
          <w:color w:val="auto"/>
        </w:rPr>
      </w:pPr>
      <w:r>
        <w:rPr>
          <w:rFonts w:ascii="Arial" w:cs="Arial" w:eastAsia="Arial" w:hAnsi="Arial"/>
          <w:sz w:val="18"/>
          <w:szCs w:val="18"/>
          <w:color w:val="auto"/>
        </w:rPr>
        <w:t>Date: November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8890</wp:posOffset>
            </wp:positionV>
            <wp:extent cx="30086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0" w:lineRule="exact"/>
        <w:rPr>
          <w:sz w:val="20"/>
          <w:szCs w:val="20"/>
          <w:color w:val="auto"/>
        </w:rPr>
      </w:pPr>
    </w:p>
    <w:p>
      <w:pPr>
        <w:jc w:val="center"/>
        <w:ind w:left="6480"/>
        <w:spacing w:after="0"/>
        <w:rPr>
          <w:sz w:val="20"/>
          <w:szCs w:val="20"/>
          <w:color w:val="auto"/>
        </w:rPr>
      </w:pPr>
      <w:r>
        <w:rPr>
          <w:rFonts w:ascii="Arial" w:cs="Arial" w:eastAsia="Arial" w:hAnsi="Arial"/>
          <w:sz w:val="18"/>
          <w:szCs w:val="18"/>
          <w:color w:val="auto"/>
        </w:rPr>
        <w:t>Carey A. Smith</w:t>
      </w:r>
    </w:p>
    <w:p>
      <w:pPr>
        <w:spacing w:after="0" w:line="14" w:lineRule="exact"/>
        <w:rPr>
          <w:sz w:val="20"/>
          <w:szCs w:val="20"/>
          <w:color w:val="auto"/>
        </w:rPr>
      </w:pPr>
    </w:p>
    <w:p>
      <w:pPr>
        <w:jc w:val="center"/>
        <w:ind w:left="64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80" w:firstLine="526"/>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2"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September 30, 2022 as filed with the Securities and Exchange Commission on the date hereof (the “Report”), I, Matthew M. Ofilos, Chief Financial Officer of the Company, certify, pursuant to 18 U.S.C. § 1350, as adopted pursuant to § 906 of the Sarbanes-Oxley Act of 2002, that:</w:t>
      </w:r>
    </w:p>
    <w:p>
      <w:pPr>
        <w:spacing w:after="0" w:line="169" w:lineRule="exact"/>
        <w:rPr>
          <w:sz w:val="20"/>
          <w:szCs w:val="20"/>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00" w:right="60" w:hanging="493"/>
        <w:spacing w:after="0" w:line="271"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6180" w:val="left"/>
          <w:tab w:leader="none" w:pos="8020" w:val="left"/>
        </w:tabs>
        <w:rPr>
          <w:sz w:val="20"/>
          <w:szCs w:val="20"/>
          <w:color w:val="auto"/>
        </w:rPr>
      </w:pPr>
      <w:r>
        <w:rPr>
          <w:rFonts w:ascii="Arial" w:cs="Arial" w:eastAsia="Arial" w:hAnsi="Arial"/>
          <w:sz w:val="18"/>
          <w:szCs w:val="18"/>
          <w:color w:val="auto"/>
        </w:rPr>
        <w:t>Date: November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8890</wp:posOffset>
            </wp:positionV>
            <wp:extent cx="30086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0" w:lineRule="exact"/>
        <w:rPr>
          <w:sz w:val="20"/>
          <w:szCs w:val="20"/>
          <w:color w:val="auto"/>
        </w:rPr>
      </w:pPr>
    </w:p>
    <w:p>
      <w:pPr>
        <w:jc w:val="center"/>
        <w:ind w:left="6480"/>
        <w:spacing w:after="0"/>
        <w:rPr>
          <w:sz w:val="20"/>
          <w:szCs w:val="20"/>
          <w:color w:val="auto"/>
        </w:rPr>
      </w:pPr>
      <w:r>
        <w:rPr>
          <w:rFonts w:ascii="Arial" w:cs="Arial" w:eastAsia="Arial" w:hAnsi="Arial"/>
          <w:sz w:val="18"/>
          <w:szCs w:val="18"/>
          <w:color w:val="auto"/>
        </w:rPr>
        <w:t>Matthew M. Ofilos</w:t>
      </w:r>
    </w:p>
    <w:p>
      <w:pPr>
        <w:spacing w:after="0" w:line="14" w:lineRule="exact"/>
        <w:rPr>
          <w:sz w:val="20"/>
          <w:szCs w:val="20"/>
          <w:color w:val="auto"/>
        </w:rPr>
      </w:pPr>
    </w:p>
    <w:p>
      <w:pPr>
        <w:jc w:val="center"/>
        <w:ind w:left="64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0" w:firstLine="51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1."/>
      <w:numFmt w:val="decimal"/>
      <w:start w:val="3"/>
    </w:lvl>
  </w:abstractNum>
  <w:abstractNum w:abstractNumId="5">
    <w:nsid w:val="8EDBDAB"/>
    <w:multiLevelType w:val="hybridMultilevel"/>
    <w:lvl w:ilvl="0">
      <w:lvlJc w:val="left"/>
      <w:lvlText w:val="%1."/>
      <w:numFmt w:val="decimal"/>
      <w:start w:val="4"/>
    </w:lvl>
  </w:abstractNum>
  <w:abstractNum w:abstractNumId="6">
    <w:nsid w:val="79838CB2"/>
    <w:multiLevelType w:val="hybridMultilevel"/>
    <w:lvl w:ilvl="0">
      <w:lvlJc w:val="left"/>
      <w:lvlText w:val="%1."/>
      <w:numFmt w:val="decimal"/>
      <w:start w:val="5"/>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lowerLetter"/>
      <w:start w:val="4"/>
    </w:lvl>
  </w:abstractNum>
  <w:abstractNum w:abstractNumId="9">
    <w:nsid w:val="189A769B"/>
    <w:multiLevelType w:val="hybridMultilevel"/>
    <w:lvl w:ilvl="0">
      <w:lvlJc w:val="left"/>
      <w:lvlText w:val="%1."/>
      <w:numFmt w:val="decimal"/>
      <w:start w:val="6"/>
    </w:lvl>
  </w:abstractNum>
  <w:abstractNum w:abstractNumId="10">
    <w:nsid w:val="54E49EB4"/>
    <w:multiLevelType w:val="hybridMultilevel"/>
    <w:lvl w:ilvl="0">
      <w:lvlJc w:val="left"/>
      <w:lvlText w:val="%1."/>
      <w:numFmt w:val="decimal"/>
      <w:start w:val="7"/>
    </w:lvl>
  </w:abstractNum>
  <w:abstractNum w:abstractNumId="11">
    <w:nsid w:val="71F32454"/>
    <w:multiLevelType w:val="hybridMultilevel"/>
    <w:lvl w:ilvl="0">
      <w:lvlJc w:val="left"/>
      <w:lvlText w:val="%1."/>
      <w:numFmt w:val="decimal"/>
      <w:start w:val="8"/>
    </w:lvl>
  </w:abstractNum>
  <w:abstractNum w:abstractNumId="12">
    <w:nsid w:val="2CA88611"/>
    <w:multiLevelType w:val="hybridMultilevel"/>
    <w:lvl w:ilvl="0">
      <w:lvlJc w:val="left"/>
      <w:lvlText w:val="%1."/>
      <w:numFmt w:val="decimal"/>
      <w:start w:val="9"/>
    </w:lvl>
  </w:abstractNum>
  <w:abstractNum w:abstractNumId="13">
    <w:nsid w:val="836C40E"/>
    <w:multiLevelType w:val="hybridMultilevel"/>
    <w:lvl w:ilvl="0">
      <w:lvlJc w:val="left"/>
      <w:lvlText w:val="%1."/>
      <w:numFmt w:val="decimal"/>
      <w:start w:val="10"/>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decimal"/>
      <w:start w:val="11"/>
    </w:lvl>
  </w:abstractNum>
  <w:abstractNum w:abstractNumId="17">
    <w:nsid w:val="1E7FF521"/>
    <w:multiLevelType w:val="hybridMultilevel"/>
    <w:lvl w:ilvl="0">
      <w:lvlJc w:val="left"/>
      <w:lvlText w:val="%1."/>
      <w:numFmt w:val="decimal"/>
      <w:start w:val="12"/>
    </w:lvl>
  </w:abstractNum>
  <w:abstractNum w:abstractNumId="18">
    <w:nsid w:val="7C3DBD3D"/>
    <w:multiLevelType w:val="hybridMultilevel"/>
    <w:lvl w:ilvl="0">
      <w:lvlJc w:val="left"/>
      <w:lvlText w:val="%1."/>
      <w:numFmt w:val="decimal"/>
      <w:start w:val="13"/>
    </w:lvl>
  </w:abstractNum>
  <w:abstractNum w:abstractNumId="19">
    <w:nsid w:val="737B8DDC"/>
    <w:multiLevelType w:val="hybridMultilevel"/>
    <w:lvl w:ilvl="0">
      <w:lvlJc w:val="left"/>
      <w:lvlText w:val="%1."/>
      <w:numFmt w:val="decimal"/>
      <w:start w:val="14"/>
    </w:lvl>
  </w:abstractNum>
  <w:abstractNum w:abstractNumId="20">
    <w:nsid w:val="6CEAF087"/>
    <w:multiLevelType w:val="hybridMultilevel"/>
    <w:lvl w:ilvl="0">
      <w:lvlJc w:val="left"/>
      <w:lvlText w:val="%1."/>
      <w:numFmt w:val="decimal"/>
      <w:start w:val="15"/>
    </w:lvl>
  </w:abstractNum>
  <w:abstractNum w:abstractNumId="21">
    <w:nsid w:val="22221A70"/>
    <w:multiLevelType w:val="hybridMultilevel"/>
    <w:lvl w:ilvl="0">
      <w:lvlJc w:val="left"/>
      <w:lvlText w:val="%1."/>
      <w:numFmt w:val="decimal"/>
      <w:start w:val="16"/>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1."/>
      <w:numFmt w:val="decimal"/>
      <w:start w:val="17"/>
    </w:lvl>
  </w:abstractNum>
  <w:abstractNum w:abstractNumId="25">
    <w:nsid w:val="419AC241"/>
    <w:multiLevelType w:val="hybridMultilevel"/>
    <w:lvl w:ilvl="0">
      <w:lvlJc w:val="left"/>
      <w:lvlText w:val="%1."/>
      <w:numFmt w:val="decimal"/>
      <w:start w:val="6"/>
    </w:lvl>
  </w:abstractNum>
  <w:abstractNum w:abstractNumId="26">
    <w:nsid w:val="5577F8E1"/>
    <w:multiLevelType w:val="hybridMultilevel"/>
    <w:lvl w:ilvl="0">
      <w:lvlJc w:val="left"/>
      <w:lvlText w:val="%1."/>
      <w:numFmt w:val="decimal"/>
      <w:start w:val="18"/>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1."/>
      <w:numFmt w:val="decimal"/>
      <w:start w:val="19"/>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lowerLetter"/>
      <w:start w:val="2"/>
    </w:lvl>
  </w:abstractNum>
  <w:abstractNum w:abstractNumId="36">
    <w:nsid w:val="2D517796"/>
    <w:multiLevelType w:val="hybridMultilevel"/>
    <w:lvl w:ilvl="0">
      <w:lvlJc w:val="left"/>
      <w:lvlText w:val="%1"/>
      <w:numFmt w:val="decimal"/>
      <w:start w:val="101"/>
    </w:lvl>
  </w:abstractNum>
  <w:abstractNum w:abstractNumId="37">
    <w:nsid w:val="580BD78F"/>
    <w:multiLevelType w:val="hybridMultilevel"/>
    <w:lvl w:ilvl="0">
      <w:lvlJc w:val="left"/>
      <w:lvlText w:val="%1"/>
      <w:numFmt w:val="decimal"/>
      <w:start w:val="104"/>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2022-11-02T05:43:29Z</dcterms:created>
  <dcterms:modified xsi:type="dcterms:W3CDTF">2022-11-02T05:43:29Z</dcterms:modified>
</cp:coreProperties>
</file>